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rsidRPr="00C41532" w14:paraId="55F792BC" w14:textId="77777777">
        <w:tc>
          <w:tcPr>
            <w:tcW w:w="1620" w:type="dxa"/>
            <w:tcBorders>
              <w:bottom w:val="single" w:sz="4" w:space="0" w:color="auto"/>
            </w:tcBorders>
            <w:shd w:val="clear" w:color="auto" w:fill="FFFFFF"/>
            <w:vAlign w:val="center"/>
          </w:tcPr>
          <w:p w14:paraId="4BD5A190" w14:textId="77777777" w:rsidR="00BA73EB" w:rsidRPr="00C41532" w:rsidRDefault="00BA73EB" w:rsidP="00BA73EB">
            <w:pPr>
              <w:pStyle w:val="Header"/>
              <w:rPr>
                <w:rFonts w:cs="Arial"/>
              </w:rPr>
            </w:pPr>
            <w:r w:rsidRPr="00C41532">
              <w:rPr>
                <w:rFonts w:cs="Arial"/>
              </w:rPr>
              <w:t>NPRR Number</w:t>
            </w:r>
          </w:p>
        </w:tc>
        <w:tc>
          <w:tcPr>
            <w:tcW w:w="1260" w:type="dxa"/>
            <w:tcBorders>
              <w:bottom w:val="single" w:sz="4" w:space="0" w:color="auto"/>
            </w:tcBorders>
            <w:vAlign w:val="center"/>
          </w:tcPr>
          <w:p w14:paraId="5DA3EDD9" w14:textId="5EDB31DD" w:rsidR="00BA73EB" w:rsidRPr="00C41532" w:rsidRDefault="00BA73EB" w:rsidP="00BA73EB">
            <w:pPr>
              <w:pStyle w:val="Header"/>
              <w:rPr>
                <w:rFonts w:cs="Arial"/>
              </w:rPr>
            </w:pPr>
            <w:hyperlink r:id="rId8" w:history="1">
              <w:r w:rsidRPr="00C41532">
                <w:rPr>
                  <w:rStyle w:val="Hyperlink"/>
                  <w:rFonts w:cs="Arial"/>
                </w:rPr>
                <w:t>1310</w:t>
              </w:r>
            </w:hyperlink>
          </w:p>
        </w:tc>
        <w:tc>
          <w:tcPr>
            <w:tcW w:w="900" w:type="dxa"/>
            <w:tcBorders>
              <w:bottom w:val="single" w:sz="4" w:space="0" w:color="auto"/>
            </w:tcBorders>
            <w:shd w:val="clear" w:color="auto" w:fill="FFFFFF"/>
            <w:vAlign w:val="center"/>
          </w:tcPr>
          <w:p w14:paraId="74E8842E" w14:textId="26E13C72" w:rsidR="00BA73EB" w:rsidRPr="00C41532" w:rsidRDefault="00BA73EB" w:rsidP="00BA73EB">
            <w:pPr>
              <w:pStyle w:val="Header"/>
              <w:rPr>
                <w:rFonts w:cs="Arial"/>
              </w:rPr>
            </w:pPr>
            <w:r w:rsidRPr="00C41532">
              <w:rPr>
                <w:rFonts w:cs="Arial"/>
              </w:rPr>
              <w:t>NPRR Title</w:t>
            </w:r>
          </w:p>
        </w:tc>
        <w:tc>
          <w:tcPr>
            <w:tcW w:w="6660" w:type="dxa"/>
            <w:tcBorders>
              <w:bottom w:val="single" w:sz="4" w:space="0" w:color="auto"/>
            </w:tcBorders>
            <w:vAlign w:val="center"/>
          </w:tcPr>
          <w:p w14:paraId="1723DD90" w14:textId="29D8A41A" w:rsidR="00BA73EB" w:rsidRPr="00C41532" w:rsidRDefault="00BA73EB" w:rsidP="00BA73EB">
            <w:pPr>
              <w:pStyle w:val="Header"/>
              <w:rPr>
                <w:rFonts w:cs="Arial"/>
              </w:rPr>
            </w:pPr>
            <w:bookmarkStart w:id="0" w:name="_Hlk214556874"/>
            <w:r w:rsidRPr="00C41532">
              <w:rPr>
                <w:rFonts w:cs="Arial"/>
              </w:rPr>
              <w:t>Dispatchable Reliability Reserve Service Plus Energy Storage Resource Participation and Release Factor</w:t>
            </w:r>
            <w:bookmarkEnd w:id="0"/>
          </w:p>
        </w:tc>
      </w:tr>
      <w:tr w:rsidR="00152993" w:rsidRPr="00C41532"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Pr="00C41532" w:rsidRDefault="00152993">
            <w:pPr>
              <w:pStyle w:val="NormalArial"/>
              <w:rPr>
                <w:rFonts w:cs="Arial"/>
              </w:rPr>
            </w:pPr>
          </w:p>
        </w:tc>
        <w:tc>
          <w:tcPr>
            <w:tcW w:w="7560" w:type="dxa"/>
            <w:gridSpan w:val="2"/>
            <w:tcBorders>
              <w:top w:val="single" w:sz="4" w:space="0" w:color="auto"/>
              <w:left w:val="nil"/>
              <w:bottom w:val="nil"/>
              <w:right w:val="nil"/>
            </w:tcBorders>
            <w:vAlign w:val="center"/>
          </w:tcPr>
          <w:p w14:paraId="46F71EA2" w14:textId="77777777" w:rsidR="00152993" w:rsidRPr="00C41532" w:rsidRDefault="00152993">
            <w:pPr>
              <w:pStyle w:val="NormalArial"/>
              <w:rPr>
                <w:rFonts w:cs="Arial"/>
              </w:rPr>
            </w:pPr>
          </w:p>
        </w:tc>
      </w:tr>
      <w:tr w:rsidR="00152993" w:rsidRPr="00C41532"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Pr="00C41532" w:rsidRDefault="00152993">
            <w:pPr>
              <w:pStyle w:val="Header"/>
              <w:rPr>
                <w:rFonts w:cs="Arial"/>
              </w:rPr>
            </w:pPr>
            <w:r w:rsidRPr="00C41532">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5361B11E" w:rsidR="00152993" w:rsidRPr="00C41532" w:rsidRDefault="00595AE2">
            <w:pPr>
              <w:pStyle w:val="NormalArial"/>
              <w:rPr>
                <w:rFonts w:cs="Arial"/>
              </w:rPr>
            </w:pPr>
            <w:r w:rsidRPr="00C41532">
              <w:rPr>
                <w:rFonts w:cs="Arial"/>
              </w:rPr>
              <w:t xml:space="preserve">March </w:t>
            </w:r>
            <w:r w:rsidR="005068C1">
              <w:rPr>
                <w:rFonts w:cs="Arial"/>
              </w:rPr>
              <w:t>6</w:t>
            </w:r>
            <w:r w:rsidR="00BA73EB" w:rsidRPr="00C41532">
              <w:rPr>
                <w:rFonts w:cs="Arial"/>
              </w:rPr>
              <w:t>, 2026</w:t>
            </w:r>
          </w:p>
        </w:tc>
      </w:tr>
      <w:tr w:rsidR="00152993" w:rsidRPr="00C41532"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Pr="00C41532" w:rsidRDefault="00152993">
            <w:pPr>
              <w:pStyle w:val="NormalArial"/>
              <w:rPr>
                <w:rFonts w:cs="Arial"/>
              </w:rPr>
            </w:pPr>
          </w:p>
        </w:tc>
        <w:tc>
          <w:tcPr>
            <w:tcW w:w="7560" w:type="dxa"/>
            <w:gridSpan w:val="2"/>
            <w:tcBorders>
              <w:top w:val="nil"/>
              <w:left w:val="nil"/>
              <w:bottom w:val="nil"/>
              <w:right w:val="nil"/>
            </w:tcBorders>
            <w:vAlign w:val="center"/>
          </w:tcPr>
          <w:p w14:paraId="26909A35" w14:textId="77777777" w:rsidR="00152993" w:rsidRPr="00C41532" w:rsidRDefault="00152993">
            <w:pPr>
              <w:pStyle w:val="NormalArial"/>
              <w:rPr>
                <w:rFonts w:cs="Arial"/>
              </w:rPr>
            </w:pPr>
          </w:p>
        </w:tc>
      </w:tr>
      <w:tr w:rsidR="00595AE2" w:rsidRPr="00C41532" w14:paraId="43156520" w14:textId="77777777" w:rsidTr="002518E4">
        <w:trPr>
          <w:trHeight w:val="440"/>
        </w:trPr>
        <w:tc>
          <w:tcPr>
            <w:tcW w:w="10440" w:type="dxa"/>
            <w:gridSpan w:val="4"/>
            <w:tcBorders>
              <w:top w:val="single" w:sz="4" w:space="0" w:color="auto"/>
            </w:tcBorders>
            <w:shd w:val="clear" w:color="auto" w:fill="FFFFFF"/>
            <w:vAlign w:val="center"/>
          </w:tcPr>
          <w:p w14:paraId="319BDA60" w14:textId="77777777" w:rsidR="00595AE2" w:rsidRPr="00C41532" w:rsidRDefault="00595AE2" w:rsidP="002518E4">
            <w:pPr>
              <w:pStyle w:val="Header"/>
              <w:jc w:val="center"/>
              <w:rPr>
                <w:rFonts w:cs="Arial"/>
              </w:rPr>
            </w:pPr>
            <w:r w:rsidRPr="00C41532">
              <w:rPr>
                <w:rFonts w:cs="Arial"/>
              </w:rPr>
              <w:t>Submitter’s Information</w:t>
            </w:r>
          </w:p>
        </w:tc>
      </w:tr>
      <w:tr w:rsidR="00595AE2" w:rsidRPr="00C41532" w14:paraId="12C44339" w14:textId="77777777" w:rsidTr="002518E4">
        <w:trPr>
          <w:trHeight w:val="350"/>
        </w:trPr>
        <w:tc>
          <w:tcPr>
            <w:tcW w:w="2880" w:type="dxa"/>
            <w:gridSpan w:val="2"/>
            <w:shd w:val="clear" w:color="auto" w:fill="FFFFFF"/>
            <w:vAlign w:val="center"/>
          </w:tcPr>
          <w:p w14:paraId="26D544B5" w14:textId="77777777" w:rsidR="00595AE2" w:rsidRPr="00C41532" w:rsidRDefault="00595AE2" w:rsidP="002518E4">
            <w:pPr>
              <w:pStyle w:val="Header"/>
              <w:rPr>
                <w:rFonts w:cs="Arial"/>
              </w:rPr>
            </w:pPr>
            <w:r w:rsidRPr="00C41532">
              <w:rPr>
                <w:rFonts w:cs="Arial"/>
              </w:rPr>
              <w:t>Name</w:t>
            </w:r>
          </w:p>
        </w:tc>
        <w:tc>
          <w:tcPr>
            <w:tcW w:w="7560" w:type="dxa"/>
            <w:gridSpan w:val="2"/>
            <w:vAlign w:val="center"/>
          </w:tcPr>
          <w:p w14:paraId="5EB9A38D" w14:textId="4625DBA5" w:rsidR="00595AE2" w:rsidRPr="00C41532" w:rsidRDefault="00A20CB7" w:rsidP="002518E4">
            <w:pPr>
              <w:pStyle w:val="NormalArial"/>
              <w:spacing w:before="60" w:after="60"/>
              <w:rPr>
                <w:rFonts w:cs="Arial"/>
              </w:rPr>
            </w:pPr>
            <w:r>
              <w:rPr>
                <w:rFonts w:cs="Arial"/>
                <w:color w:val="000000"/>
              </w:rPr>
              <w:t>Aaron Zubaty</w:t>
            </w:r>
          </w:p>
        </w:tc>
      </w:tr>
      <w:tr w:rsidR="00595AE2" w:rsidRPr="00C41532" w14:paraId="71927458" w14:textId="77777777" w:rsidTr="002518E4">
        <w:trPr>
          <w:trHeight w:val="350"/>
        </w:trPr>
        <w:tc>
          <w:tcPr>
            <w:tcW w:w="2880" w:type="dxa"/>
            <w:gridSpan w:val="2"/>
            <w:shd w:val="clear" w:color="auto" w:fill="FFFFFF"/>
            <w:vAlign w:val="center"/>
          </w:tcPr>
          <w:p w14:paraId="0E53A3DF" w14:textId="77777777" w:rsidR="00595AE2" w:rsidRPr="00C41532" w:rsidRDefault="00595AE2" w:rsidP="002518E4">
            <w:pPr>
              <w:pStyle w:val="Header"/>
              <w:rPr>
                <w:rFonts w:cs="Arial"/>
              </w:rPr>
            </w:pPr>
            <w:r w:rsidRPr="00C41532">
              <w:rPr>
                <w:rFonts w:cs="Arial"/>
              </w:rPr>
              <w:t>E-mail Address</w:t>
            </w:r>
          </w:p>
        </w:tc>
        <w:tc>
          <w:tcPr>
            <w:tcW w:w="7560" w:type="dxa"/>
            <w:gridSpan w:val="2"/>
            <w:vAlign w:val="center"/>
          </w:tcPr>
          <w:p w14:paraId="39C26466" w14:textId="7042DA62" w:rsidR="00595AE2" w:rsidRPr="00C41532" w:rsidRDefault="00106BE8" w:rsidP="002518E4">
            <w:pPr>
              <w:pStyle w:val="NormalArial"/>
              <w:spacing w:before="60" w:after="60"/>
              <w:rPr>
                <w:rFonts w:cs="Arial"/>
              </w:rPr>
            </w:pPr>
            <w:hyperlink r:id="rId9" w:history="1">
              <w:r w:rsidRPr="00714399">
                <w:rPr>
                  <w:rStyle w:val="Hyperlink"/>
                </w:rPr>
                <w:t>aaron@eolianenergy.com</w:t>
              </w:r>
            </w:hyperlink>
          </w:p>
        </w:tc>
      </w:tr>
      <w:tr w:rsidR="00595AE2" w:rsidRPr="00C41532" w14:paraId="4588CF2E" w14:textId="77777777" w:rsidTr="005068C1">
        <w:trPr>
          <w:trHeight w:val="422"/>
        </w:trPr>
        <w:tc>
          <w:tcPr>
            <w:tcW w:w="2880" w:type="dxa"/>
            <w:gridSpan w:val="2"/>
            <w:shd w:val="clear" w:color="auto" w:fill="FFFFFF"/>
            <w:vAlign w:val="center"/>
          </w:tcPr>
          <w:p w14:paraId="1A864543" w14:textId="77777777" w:rsidR="00595AE2" w:rsidRPr="00C41532" w:rsidRDefault="00595AE2" w:rsidP="002518E4">
            <w:pPr>
              <w:pStyle w:val="Header"/>
              <w:rPr>
                <w:rFonts w:cs="Arial"/>
              </w:rPr>
            </w:pPr>
            <w:r w:rsidRPr="00C41532">
              <w:rPr>
                <w:rFonts w:cs="Arial"/>
              </w:rPr>
              <w:t>Company</w:t>
            </w:r>
          </w:p>
        </w:tc>
        <w:tc>
          <w:tcPr>
            <w:tcW w:w="7560" w:type="dxa"/>
            <w:gridSpan w:val="2"/>
            <w:vAlign w:val="center"/>
          </w:tcPr>
          <w:p w14:paraId="2C1BE765" w14:textId="71C7D2D7" w:rsidR="00595AE2" w:rsidRPr="00C41532" w:rsidRDefault="00106BE8" w:rsidP="002518E4">
            <w:pPr>
              <w:pStyle w:val="NormalArial"/>
              <w:spacing w:before="60" w:after="60"/>
              <w:rPr>
                <w:rFonts w:cs="Arial"/>
              </w:rPr>
            </w:pPr>
            <w:r>
              <w:rPr>
                <w:rFonts w:cs="Arial"/>
                <w:color w:val="000000"/>
              </w:rPr>
              <w:t>Eolian</w:t>
            </w:r>
            <w:r w:rsidR="00BA3A12">
              <w:rPr>
                <w:rFonts w:cs="Arial"/>
                <w:color w:val="000000"/>
              </w:rPr>
              <w:t>,</w:t>
            </w:r>
            <w:r w:rsidR="00875141">
              <w:rPr>
                <w:rFonts w:cs="Arial"/>
                <w:color w:val="000000"/>
              </w:rPr>
              <w:t xml:space="preserve"> L</w:t>
            </w:r>
            <w:r w:rsidR="00BA3A12">
              <w:rPr>
                <w:rFonts w:cs="Arial"/>
                <w:color w:val="000000"/>
              </w:rPr>
              <w:t>.</w:t>
            </w:r>
            <w:r w:rsidR="00875141">
              <w:rPr>
                <w:rFonts w:cs="Arial"/>
                <w:color w:val="000000"/>
              </w:rPr>
              <w:t>P</w:t>
            </w:r>
            <w:r w:rsidR="00BA3A12">
              <w:rPr>
                <w:rFonts w:cs="Arial"/>
                <w:color w:val="000000"/>
              </w:rPr>
              <w:t>.</w:t>
            </w:r>
          </w:p>
        </w:tc>
      </w:tr>
      <w:tr w:rsidR="00595AE2" w:rsidRPr="00C41532" w14:paraId="2BF22F5C" w14:textId="77777777" w:rsidTr="002518E4">
        <w:trPr>
          <w:trHeight w:val="350"/>
        </w:trPr>
        <w:tc>
          <w:tcPr>
            <w:tcW w:w="2880" w:type="dxa"/>
            <w:gridSpan w:val="2"/>
            <w:tcBorders>
              <w:bottom w:val="single" w:sz="4" w:space="0" w:color="auto"/>
            </w:tcBorders>
            <w:shd w:val="clear" w:color="auto" w:fill="FFFFFF"/>
            <w:vAlign w:val="center"/>
          </w:tcPr>
          <w:p w14:paraId="2C80E81C" w14:textId="77777777" w:rsidR="00595AE2" w:rsidRPr="00C41532" w:rsidRDefault="00595AE2" w:rsidP="002518E4">
            <w:pPr>
              <w:pStyle w:val="Header"/>
              <w:rPr>
                <w:rFonts w:cs="Arial"/>
              </w:rPr>
            </w:pPr>
            <w:r w:rsidRPr="00C41532">
              <w:rPr>
                <w:rFonts w:cs="Arial"/>
              </w:rPr>
              <w:t>Phone Number</w:t>
            </w:r>
          </w:p>
        </w:tc>
        <w:tc>
          <w:tcPr>
            <w:tcW w:w="7560" w:type="dxa"/>
            <w:gridSpan w:val="2"/>
            <w:tcBorders>
              <w:bottom w:val="single" w:sz="4" w:space="0" w:color="auto"/>
            </w:tcBorders>
            <w:vAlign w:val="center"/>
          </w:tcPr>
          <w:p w14:paraId="68555030" w14:textId="77777777" w:rsidR="00595AE2" w:rsidRPr="00C41532" w:rsidRDefault="00595AE2" w:rsidP="002518E4">
            <w:pPr>
              <w:pStyle w:val="NormalArial"/>
              <w:spacing w:before="60" w:after="60"/>
              <w:rPr>
                <w:rFonts w:cs="Arial"/>
              </w:rPr>
            </w:pPr>
          </w:p>
        </w:tc>
      </w:tr>
      <w:tr w:rsidR="00595AE2" w:rsidRPr="00C41532" w14:paraId="1AA03255" w14:textId="77777777" w:rsidTr="002518E4">
        <w:trPr>
          <w:trHeight w:val="350"/>
        </w:trPr>
        <w:tc>
          <w:tcPr>
            <w:tcW w:w="2880" w:type="dxa"/>
            <w:gridSpan w:val="2"/>
            <w:shd w:val="clear" w:color="auto" w:fill="FFFFFF"/>
            <w:vAlign w:val="center"/>
          </w:tcPr>
          <w:p w14:paraId="050FA1CF" w14:textId="77777777" w:rsidR="00595AE2" w:rsidRPr="00C41532" w:rsidRDefault="00595AE2" w:rsidP="002518E4">
            <w:pPr>
              <w:pStyle w:val="Header"/>
              <w:rPr>
                <w:rFonts w:cs="Arial"/>
              </w:rPr>
            </w:pPr>
            <w:r w:rsidRPr="00C41532">
              <w:rPr>
                <w:rFonts w:cs="Arial"/>
              </w:rPr>
              <w:t>Cell Number</w:t>
            </w:r>
          </w:p>
        </w:tc>
        <w:tc>
          <w:tcPr>
            <w:tcW w:w="7560" w:type="dxa"/>
            <w:gridSpan w:val="2"/>
            <w:vAlign w:val="center"/>
          </w:tcPr>
          <w:p w14:paraId="43BF3D51" w14:textId="206ADA53" w:rsidR="00595AE2" w:rsidRPr="00C41532" w:rsidRDefault="00875141" w:rsidP="002518E4">
            <w:pPr>
              <w:pStyle w:val="NormalArial"/>
              <w:spacing w:before="60" w:after="60"/>
              <w:rPr>
                <w:rFonts w:cs="Arial"/>
              </w:rPr>
            </w:pPr>
            <w:r>
              <w:rPr>
                <w:rFonts w:cs="Arial"/>
              </w:rPr>
              <w:t>(650) 714-2779</w:t>
            </w:r>
          </w:p>
        </w:tc>
      </w:tr>
      <w:tr w:rsidR="00595AE2" w:rsidRPr="00C41532" w14:paraId="463D8B93" w14:textId="77777777" w:rsidTr="002518E4">
        <w:trPr>
          <w:trHeight w:val="350"/>
        </w:trPr>
        <w:tc>
          <w:tcPr>
            <w:tcW w:w="2880" w:type="dxa"/>
            <w:gridSpan w:val="2"/>
            <w:tcBorders>
              <w:bottom w:val="single" w:sz="4" w:space="0" w:color="auto"/>
            </w:tcBorders>
            <w:shd w:val="clear" w:color="auto" w:fill="FFFFFF"/>
            <w:vAlign w:val="center"/>
          </w:tcPr>
          <w:p w14:paraId="0EB79B8F" w14:textId="77777777" w:rsidR="00595AE2" w:rsidRPr="00C41532" w:rsidDel="00075A94" w:rsidRDefault="00595AE2" w:rsidP="002518E4">
            <w:pPr>
              <w:pStyle w:val="Header"/>
              <w:rPr>
                <w:rFonts w:cs="Arial"/>
              </w:rPr>
            </w:pPr>
            <w:r w:rsidRPr="00C41532">
              <w:rPr>
                <w:rFonts w:cs="Arial"/>
              </w:rPr>
              <w:t>Market Segment</w:t>
            </w:r>
          </w:p>
        </w:tc>
        <w:tc>
          <w:tcPr>
            <w:tcW w:w="7560" w:type="dxa"/>
            <w:gridSpan w:val="2"/>
            <w:tcBorders>
              <w:bottom w:val="single" w:sz="4" w:space="0" w:color="auto"/>
            </w:tcBorders>
            <w:vAlign w:val="center"/>
          </w:tcPr>
          <w:p w14:paraId="34D764AA" w14:textId="77777777" w:rsidR="00595AE2" w:rsidRPr="00C41532" w:rsidRDefault="00595AE2" w:rsidP="002518E4">
            <w:pPr>
              <w:pStyle w:val="NormalArial"/>
              <w:spacing w:before="60" w:after="60"/>
              <w:rPr>
                <w:rFonts w:cs="Arial"/>
              </w:rPr>
            </w:pPr>
            <w:r w:rsidRPr="00C41532">
              <w:rPr>
                <w:rFonts w:cs="Arial"/>
              </w:rPr>
              <w:t>Independent Generator</w:t>
            </w:r>
          </w:p>
        </w:tc>
      </w:tr>
    </w:tbl>
    <w:p w14:paraId="58FEEE8C" w14:textId="77777777" w:rsidR="00075A94" w:rsidRPr="00C41532" w:rsidRDefault="00075A9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rsidRPr="00C41532"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Pr="00C41532" w:rsidRDefault="00DE4BA5" w:rsidP="00B9339A">
            <w:pPr>
              <w:pStyle w:val="Header"/>
              <w:jc w:val="center"/>
              <w:rPr>
                <w:rFonts w:cs="Arial"/>
              </w:rPr>
            </w:pPr>
            <w:r w:rsidRPr="00C41532">
              <w:rPr>
                <w:rFonts w:cs="Arial"/>
              </w:rPr>
              <w:t>Comments</w:t>
            </w:r>
          </w:p>
        </w:tc>
      </w:tr>
    </w:tbl>
    <w:p w14:paraId="71C257ED" w14:textId="77777777" w:rsidR="00F15AD6" w:rsidRDefault="00F15AD6" w:rsidP="006028C4">
      <w:pPr>
        <w:pStyle w:val="NormalArial"/>
        <w:jc w:val="both"/>
        <w:rPr>
          <w:rFonts w:cs="Arial"/>
        </w:rPr>
      </w:pPr>
      <w:bookmarkStart w:id="1" w:name="_Hlk221690460"/>
    </w:p>
    <w:p w14:paraId="34E1B866" w14:textId="0F815508" w:rsidR="00BD7258" w:rsidRDefault="00875141" w:rsidP="006028C4">
      <w:pPr>
        <w:pStyle w:val="NormalArial"/>
        <w:jc w:val="both"/>
        <w:rPr>
          <w:rFonts w:cs="Arial"/>
        </w:rPr>
      </w:pPr>
      <w:r>
        <w:rPr>
          <w:rFonts w:cs="Arial"/>
        </w:rPr>
        <w:t xml:space="preserve">Eolian LP </w:t>
      </w:r>
      <w:r w:rsidR="00595AE2" w:rsidRPr="00C41532">
        <w:rPr>
          <w:rFonts w:cs="Arial"/>
        </w:rPr>
        <w:t>(</w:t>
      </w:r>
      <w:r>
        <w:rPr>
          <w:rFonts w:cs="Arial"/>
        </w:rPr>
        <w:t xml:space="preserve">Eolian) </w:t>
      </w:r>
      <w:r w:rsidR="00595AE2" w:rsidRPr="00C41532">
        <w:rPr>
          <w:rFonts w:cs="Arial"/>
        </w:rPr>
        <w:t>appreciate</w:t>
      </w:r>
      <w:r>
        <w:rPr>
          <w:rFonts w:cs="Arial"/>
        </w:rPr>
        <w:t>s</w:t>
      </w:r>
      <w:r w:rsidR="00595AE2" w:rsidRPr="00C41532">
        <w:rPr>
          <w:rFonts w:cs="Arial"/>
        </w:rPr>
        <w:t xml:space="preserve"> the opportunity to file these comments in response to </w:t>
      </w:r>
      <w:r w:rsidR="003579F1" w:rsidRPr="00C41532">
        <w:rPr>
          <w:rFonts w:cs="Arial"/>
        </w:rPr>
        <w:t>ERCOT</w:t>
      </w:r>
      <w:r w:rsidR="00595AE2" w:rsidRPr="00C41532">
        <w:rPr>
          <w:rFonts w:cs="Arial"/>
        </w:rPr>
        <w:t>’s</w:t>
      </w:r>
      <w:r w:rsidR="003579F1" w:rsidRPr="00C41532">
        <w:rPr>
          <w:rFonts w:cs="Arial"/>
        </w:rPr>
        <w:t xml:space="preserve"> </w:t>
      </w:r>
      <w:r w:rsidR="00595AE2" w:rsidRPr="00C41532">
        <w:rPr>
          <w:rFonts w:cs="Arial"/>
        </w:rPr>
        <w:t xml:space="preserve">questions included in their February 27, 2026, comments on </w:t>
      </w:r>
      <w:r w:rsidR="00BA73EB" w:rsidRPr="00C41532">
        <w:rPr>
          <w:rFonts w:cs="Arial"/>
        </w:rPr>
        <w:t>Nodal Protocol Revision Request (NPRR) 1310</w:t>
      </w:r>
      <w:r w:rsidR="006028C4">
        <w:rPr>
          <w:rFonts w:cs="Arial"/>
        </w:rPr>
        <w:t>:</w:t>
      </w:r>
      <w:r w:rsidR="00595AE2" w:rsidRPr="00C41532">
        <w:rPr>
          <w:rFonts w:cs="Arial"/>
        </w:rPr>
        <w:t xml:space="preserve"> </w:t>
      </w:r>
      <w:bookmarkEnd w:id="1"/>
    </w:p>
    <w:p w14:paraId="40D01FA6" w14:textId="7E9F2309" w:rsidR="00595AE2" w:rsidRDefault="00595AE2" w:rsidP="006028C4">
      <w:pPr>
        <w:pStyle w:val="NormalArial"/>
        <w:jc w:val="both"/>
        <w:rPr>
          <w:rFonts w:cs="Arial"/>
          <w:color w:val="0E0E0E"/>
        </w:rPr>
      </w:pPr>
    </w:p>
    <w:p w14:paraId="351162DC" w14:textId="7D1C348F" w:rsidR="003579F1" w:rsidRPr="006028C4" w:rsidRDefault="0002137F" w:rsidP="006028C4">
      <w:pPr>
        <w:pStyle w:val="NormalArial"/>
        <w:numPr>
          <w:ilvl w:val="0"/>
          <w:numId w:val="3"/>
        </w:numPr>
        <w:ind w:left="360"/>
        <w:jc w:val="both"/>
        <w:rPr>
          <w:rFonts w:cs="Arial"/>
          <w:b/>
          <w:bCs/>
        </w:rPr>
      </w:pPr>
      <w:r w:rsidRPr="006028C4">
        <w:rPr>
          <w:rFonts w:cs="Arial"/>
          <w:b/>
          <w:bCs/>
        </w:rPr>
        <w:t>Public Utility Regulatory Act (PURA) § 39.159(d)(2)</w:t>
      </w:r>
      <w:r w:rsidR="001562E3" w:rsidRPr="006028C4">
        <w:rPr>
          <w:rFonts w:cs="Arial"/>
          <w:b/>
          <w:bCs/>
        </w:rPr>
        <w:t>(A)</w:t>
      </w:r>
      <w:r w:rsidRPr="006028C4">
        <w:rPr>
          <w:rFonts w:cs="Arial"/>
          <w:b/>
          <w:bCs/>
        </w:rPr>
        <w:t xml:space="preserve"> states</w:t>
      </w:r>
      <w:r w:rsidR="001562E3" w:rsidRPr="006028C4">
        <w:rPr>
          <w:rFonts w:cs="Arial"/>
          <w:b/>
          <w:bCs/>
        </w:rPr>
        <w:t xml:space="preserve"> that the criteria for resource participation [in DRRS] must require a resource to:</w:t>
      </w:r>
      <w:r w:rsidRPr="006028C4">
        <w:rPr>
          <w:rFonts w:cs="Arial"/>
          <w:b/>
          <w:bCs/>
        </w:rPr>
        <w:t xml:space="preserve"> “</w:t>
      </w:r>
      <w:r w:rsidR="001562E3" w:rsidRPr="006028C4">
        <w:rPr>
          <w:rFonts w:cs="Arial"/>
          <w:b/>
          <w:bCs/>
        </w:rPr>
        <w:t>be capable of running for at least four hours at the resource’s high sustained limit.”  If ESRs were to participate in DRRS, how should that statutory reference to High Sustained Limit (HSL) be interpreted for ESRs’ participation in DRRS?</w:t>
      </w:r>
      <w:r w:rsidR="00D313D7" w:rsidRPr="006028C4">
        <w:rPr>
          <w:rFonts w:cs="Arial"/>
          <w:b/>
          <w:bCs/>
        </w:rPr>
        <w:t xml:space="preserve">  Please also describe </w:t>
      </w:r>
      <w:r w:rsidR="00065E3F" w:rsidRPr="006028C4">
        <w:rPr>
          <w:rFonts w:cs="Arial"/>
          <w:b/>
          <w:bCs/>
        </w:rPr>
        <w:t>the pros and cons to the ERCOT System of your interpretation compared to the pros and cons if an opposing interpretation were adopted.</w:t>
      </w:r>
    </w:p>
    <w:p w14:paraId="2D336165" w14:textId="33BB5F23" w:rsidR="00BD745A" w:rsidRDefault="00BD745A" w:rsidP="006028C4">
      <w:pPr>
        <w:pStyle w:val="NormalArial"/>
        <w:spacing w:line="276" w:lineRule="auto"/>
        <w:jc w:val="both"/>
        <w:rPr>
          <w:rFonts w:cs="Arial"/>
        </w:rPr>
      </w:pPr>
      <w:r>
        <w:rPr>
          <w:rFonts w:cs="Arial"/>
        </w:rPr>
        <w:t xml:space="preserve"> </w:t>
      </w:r>
    </w:p>
    <w:p w14:paraId="10700F3A" w14:textId="15CD3A83" w:rsidR="002232D4" w:rsidRDefault="00940E56" w:rsidP="00C16DF8">
      <w:pPr>
        <w:pStyle w:val="NormalArial"/>
        <w:spacing w:line="276" w:lineRule="auto"/>
        <w:jc w:val="both"/>
        <w:rPr>
          <w:rFonts w:cs="Arial"/>
          <w:color w:val="000000"/>
        </w:rPr>
      </w:pPr>
      <w:r>
        <w:rPr>
          <w:rFonts w:cs="Arial"/>
        </w:rPr>
        <w:t xml:space="preserve">Eolian respectfully submits that </w:t>
      </w:r>
      <w:r w:rsidR="0036792F">
        <w:rPr>
          <w:rFonts w:cs="Arial"/>
        </w:rPr>
        <w:t xml:space="preserve">this requirement </w:t>
      </w:r>
      <w:r w:rsidR="002D43F6">
        <w:rPr>
          <w:rFonts w:cs="Arial"/>
        </w:rPr>
        <w:t>was clearly</w:t>
      </w:r>
      <w:r w:rsidR="0036792F">
        <w:rPr>
          <w:rFonts w:cs="Arial"/>
        </w:rPr>
        <w:t xml:space="preserve"> intended to provide a market signal </w:t>
      </w:r>
      <w:r w:rsidR="001F4B9C">
        <w:rPr>
          <w:rFonts w:cs="Arial"/>
        </w:rPr>
        <w:t xml:space="preserve">to encourage the development of </w:t>
      </w:r>
      <w:r w:rsidR="00E801E2">
        <w:rPr>
          <w:rFonts w:cs="Arial"/>
        </w:rPr>
        <w:t xml:space="preserve">grid-scale </w:t>
      </w:r>
      <w:r w:rsidR="001F4B9C">
        <w:rPr>
          <w:rFonts w:cs="Arial"/>
        </w:rPr>
        <w:t>batter</w:t>
      </w:r>
      <w:r w:rsidR="00E801E2">
        <w:rPr>
          <w:rFonts w:cs="Arial"/>
        </w:rPr>
        <w:t>y storage units</w:t>
      </w:r>
      <w:r w:rsidR="001F4B9C">
        <w:rPr>
          <w:rFonts w:cs="Arial"/>
        </w:rPr>
        <w:t xml:space="preserve"> </w:t>
      </w:r>
      <w:r w:rsidR="00E857C0">
        <w:rPr>
          <w:rFonts w:cs="Arial"/>
        </w:rPr>
        <w:t xml:space="preserve">that have a maximum facility nameplate </w:t>
      </w:r>
      <w:r w:rsidR="00214790">
        <w:rPr>
          <w:rFonts w:cs="Arial"/>
        </w:rPr>
        <w:t xml:space="preserve">duration of four or more hours. </w:t>
      </w:r>
      <w:r w:rsidR="00BA1EC6">
        <w:rPr>
          <w:rFonts w:cs="Arial"/>
        </w:rPr>
        <w:t>This language, which was adopted as part of HB 1500</w:t>
      </w:r>
      <w:r w:rsidR="00D7761D">
        <w:rPr>
          <w:rFonts w:cs="Arial"/>
        </w:rPr>
        <w:t xml:space="preserve"> in 2023, was </w:t>
      </w:r>
      <w:r w:rsidR="002D43F6">
        <w:rPr>
          <w:rFonts w:cs="Arial"/>
        </w:rPr>
        <w:t xml:space="preserve">very </w:t>
      </w:r>
      <w:r w:rsidR="00D7761D">
        <w:rPr>
          <w:rFonts w:cs="Arial"/>
        </w:rPr>
        <w:t>intentional</w:t>
      </w:r>
      <w:r w:rsidR="002D43F6">
        <w:rPr>
          <w:rFonts w:cs="Arial"/>
        </w:rPr>
        <w:t xml:space="preserve"> based on a specific policy goal and the recognition that providing a new market signal for the development of ESRs that have </w:t>
      </w:r>
      <w:r w:rsidR="00536777">
        <w:rPr>
          <w:rFonts w:cs="Arial"/>
        </w:rPr>
        <w:t xml:space="preserve">four or more </w:t>
      </w:r>
      <w:r w:rsidR="002D43F6">
        <w:rPr>
          <w:rFonts w:cs="Arial"/>
        </w:rPr>
        <w:t>hour duration at nameplate capacity would be a valuable addition to ERCOT’s overall resource mix and enhance reliability</w:t>
      </w:r>
      <w:r w:rsidR="00D7761D">
        <w:rPr>
          <w:rFonts w:cs="Arial"/>
        </w:rPr>
        <w:t xml:space="preserve">. As discussed in the </w:t>
      </w:r>
      <w:r w:rsidR="00C145B5">
        <w:rPr>
          <w:rFonts w:cs="Arial"/>
        </w:rPr>
        <w:t xml:space="preserve">July 22, 2024, comments </w:t>
      </w:r>
      <w:r w:rsidR="001E6078">
        <w:rPr>
          <w:rFonts w:cs="Arial"/>
        </w:rPr>
        <w:t>on NP</w:t>
      </w:r>
      <w:r w:rsidR="0038554D">
        <w:rPr>
          <w:rFonts w:cs="Arial"/>
        </w:rPr>
        <w:t xml:space="preserve">RR1235 </w:t>
      </w:r>
      <w:r w:rsidR="00C145B5">
        <w:rPr>
          <w:rFonts w:cs="Arial"/>
        </w:rPr>
        <w:t>of Spearmint Renewable Development Company, LLC</w:t>
      </w:r>
      <w:r w:rsidR="001E6078">
        <w:rPr>
          <w:rFonts w:cs="Arial"/>
        </w:rPr>
        <w:t>; Eolian, L.P.; and Form Energy, Inc. (Joint Commenters)</w:t>
      </w:r>
      <w:r w:rsidR="0038554D">
        <w:rPr>
          <w:rFonts w:cs="Arial"/>
        </w:rPr>
        <w:t xml:space="preserve">, </w:t>
      </w:r>
      <w:r w:rsidR="004E6E2F">
        <w:rPr>
          <w:rFonts w:cs="Arial"/>
        </w:rPr>
        <w:t xml:space="preserve">the Legislature considered imposing a </w:t>
      </w:r>
      <w:r w:rsidR="00D2392C">
        <w:rPr>
          <w:rFonts w:cs="Arial"/>
        </w:rPr>
        <w:t xml:space="preserve">requirement </w:t>
      </w:r>
      <w:r w:rsidR="00C50C9D" w:rsidRPr="00C50C9D">
        <w:rPr>
          <w:rFonts w:cs="Arial"/>
        </w:rPr>
        <w:t xml:space="preserve">requiring dispatchable Resources to be capable of performing to the Resource’s full capacity for ten (10) hours. However, </w:t>
      </w:r>
      <w:r w:rsidR="001B7CDC">
        <w:rPr>
          <w:rFonts w:cs="Arial"/>
        </w:rPr>
        <w:t xml:space="preserve">this was reduced to four </w:t>
      </w:r>
      <w:r w:rsidR="004D74CC">
        <w:rPr>
          <w:rFonts w:cs="Arial"/>
        </w:rPr>
        <w:t xml:space="preserve">(4) </w:t>
      </w:r>
      <w:r w:rsidR="001B7CDC">
        <w:rPr>
          <w:rFonts w:cs="Arial"/>
        </w:rPr>
        <w:t>hours in the final legislation as enacted.</w:t>
      </w:r>
      <w:r w:rsidR="00A9389A">
        <w:rPr>
          <w:rFonts w:cs="Arial"/>
        </w:rPr>
        <w:t xml:space="preserve">  </w:t>
      </w:r>
      <w:r w:rsidR="002232D4">
        <w:rPr>
          <w:rFonts w:cs="Arial"/>
        </w:rPr>
        <w:t xml:space="preserve">Eolian, appreciating the importance of this </w:t>
      </w:r>
      <w:r w:rsidR="00C16DF8">
        <w:rPr>
          <w:rFonts w:cs="Arial"/>
        </w:rPr>
        <w:t xml:space="preserve">clear policy </w:t>
      </w:r>
      <w:r w:rsidR="00C16DF8">
        <w:rPr>
          <w:rFonts w:cs="Arial"/>
        </w:rPr>
        <w:lastRenderedPageBreak/>
        <w:t xml:space="preserve">intent and </w:t>
      </w:r>
      <w:r w:rsidR="002232D4">
        <w:rPr>
          <w:rFonts w:cs="Arial"/>
        </w:rPr>
        <w:t xml:space="preserve">direction to market participants </w:t>
      </w:r>
      <w:r w:rsidR="00C16DF8">
        <w:rPr>
          <w:rFonts w:cs="Arial"/>
        </w:rPr>
        <w:t xml:space="preserve">that was designed to create a new market signal for ESRs of </w:t>
      </w:r>
      <w:r w:rsidR="00216B73">
        <w:rPr>
          <w:rFonts w:cs="Arial"/>
        </w:rPr>
        <w:t xml:space="preserve">four or </w:t>
      </w:r>
      <w:r w:rsidR="00C16DF8">
        <w:rPr>
          <w:rFonts w:cs="Arial"/>
        </w:rPr>
        <w:t>more hour duration</w:t>
      </w:r>
      <w:r w:rsidR="002232D4">
        <w:rPr>
          <w:rFonts w:cs="Arial"/>
        </w:rPr>
        <w:t>, undertook contract negotiations and signed supply agreements in 2024 to allow for full construction in 2025 of 550 MW of ESRs with a capability to discharge at full nameplate for a duration of more than four hours</w:t>
      </w:r>
      <w:r w:rsidR="00C16DF8">
        <w:rPr>
          <w:rFonts w:cs="Arial"/>
        </w:rPr>
        <w:t>.  All of this new ESR capacity will</w:t>
      </w:r>
      <w:r w:rsidR="002232D4">
        <w:rPr>
          <w:rFonts w:cs="Arial"/>
        </w:rPr>
        <w:t xml:space="preserve"> be online before summer of 2026.  Thus</w:t>
      </w:r>
      <w:r w:rsidR="005C6F98">
        <w:rPr>
          <w:rFonts w:cs="Arial"/>
        </w:rPr>
        <w:t>,</w:t>
      </w:r>
      <w:r w:rsidR="002232D4">
        <w:rPr>
          <w:rFonts w:cs="Arial"/>
        </w:rPr>
        <w:t xml:space="preserve"> in less than three years </w:t>
      </w:r>
      <w:proofErr w:type="gramStart"/>
      <w:r w:rsidR="002232D4">
        <w:rPr>
          <w:rFonts w:cs="Arial"/>
        </w:rPr>
        <w:t xml:space="preserve">from </w:t>
      </w:r>
      <w:r w:rsidR="00063B84">
        <w:rPr>
          <w:rFonts w:cs="Arial"/>
        </w:rPr>
        <w:t>enactment</w:t>
      </w:r>
      <w:proofErr w:type="gramEnd"/>
      <w:r w:rsidR="00063B84">
        <w:rPr>
          <w:rFonts w:cs="Arial"/>
        </w:rPr>
        <w:t xml:space="preserve"> </w:t>
      </w:r>
      <w:r w:rsidR="002232D4">
        <w:rPr>
          <w:rFonts w:cs="Arial"/>
        </w:rPr>
        <w:t xml:space="preserve">of the legislation, and with the final </w:t>
      </w:r>
      <w:r w:rsidR="0070136C">
        <w:rPr>
          <w:rFonts w:cs="Arial"/>
        </w:rPr>
        <w:t xml:space="preserve">protocols </w:t>
      </w:r>
      <w:r w:rsidR="002232D4">
        <w:rPr>
          <w:rFonts w:cs="Arial"/>
        </w:rPr>
        <w:t xml:space="preserve">still not even </w:t>
      </w:r>
      <w:r w:rsidR="0070136C">
        <w:rPr>
          <w:rFonts w:cs="Arial"/>
        </w:rPr>
        <w:t xml:space="preserve">adopted, </w:t>
      </w:r>
      <w:r w:rsidR="002232D4">
        <w:rPr>
          <w:rFonts w:cs="Arial"/>
        </w:rPr>
        <w:t>the legislation has already directly led</w:t>
      </w:r>
      <w:r w:rsidR="00C16DF8">
        <w:rPr>
          <w:rFonts w:cs="Arial"/>
        </w:rPr>
        <w:t xml:space="preserve"> to investment in the intended resource.</w:t>
      </w:r>
    </w:p>
    <w:p w14:paraId="19CEEE53" w14:textId="77777777" w:rsidR="00695A8B" w:rsidRDefault="00695A8B" w:rsidP="006028C4">
      <w:pPr>
        <w:pStyle w:val="NormalArial"/>
        <w:spacing w:line="276" w:lineRule="auto"/>
        <w:jc w:val="both"/>
        <w:rPr>
          <w:rFonts w:cs="Arial"/>
        </w:rPr>
      </w:pPr>
    </w:p>
    <w:p w14:paraId="4D4ADD42" w14:textId="7D4A7214" w:rsidR="00695A8B" w:rsidRDefault="00695A8B" w:rsidP="006028C4">
      <w:pPr>
        <w:pStyle w:val="NormalArial"/>
        <w:spacing w:line="276" w:lineRule="auto"/>
        <w:jc w:val="both"/>
        <w:rPr>
          <w:rFonts w:cs="Arial"/>
        </w:rPr>
      </w:pPr>
      <w:r>
        <w:rPr>
          <w:rFonts w:cs="Arial"/>
        </w:rPr>
        <w:t xml:space="preserve">When </w:t>
      </w:r>
      <w:r w:rsidR="0057188F">
        <w:rPr>
          <w:rFonts w:cs="Arial"/>
        </w:rPr>
        <w:t xml:space="preserve">ESRs </w:t>
      </w:r>
      <w:r w:rsidR="00115A4D">
        <w:rPr>
          <w:rFonts w:cs="Arial"/>
        </w:rPr>
        <w:t>seek to participate</w:t>
      </w:r>
      <w:r w:rsidR="0057188F">
        <w:rPr>
          <w:rFonts w:cs="Arial"/>
        </w:rPr>
        <w:t xml:space="preserve"> in DRRS, Eolian recommends that ERCOT </w:t>
      </w:r>
      <w:r w:rsidR="00163165">
        <w:rPr>
          <w:rFonts w:cs="Arial"/>
        </w:rPr>
        <w:t xml:space="preserve">allow </w:t>
      </w:r>
      <w:r w:rsidR="002032B4">
        <w:rPr>
          <w:rFonts w:cs="Arial"/>
        </w:rPr>
        <w:t xml:space="preserve">a </w:t>
      </w:r>
      <w:r w:rsidR="00163165">
        <w:rPr>
          <w:rFonts w:cs="Arial"/>
        </w:rPr>
        <w:t>resource that ha</w:t>
      </w:r>
      <w:r w:rsidR="002032B4">
        <w:rPr>
          <w:rFonts w:cs="Arial"/>
        </w:rPr>
        <w:t>s</w:t>
      </w:r>
      <w:r w:rsidR="00163165">
        <w:rPr>
          <w:rFonts w:cs="Arial"/>
        </w:rPr>
        <w:t xml:space="preserve"> </w:t>
      </w:r>
      <w:r w:rsidR="00E00FA2">
        <w:rPr>
          <w:rFonts w:cs="Arial"/>
        </w:rPr>
        <w:t xml:space="preserve">submitted to ERCOT </w:t>
      </w:r>
      <w:r w:rsidR="00E46F42">
        <w:rPr>
          <w:rFonts w:cs="Arial"/>
        </w:rPr>
        <w:t xml:space="preserve">an attestation </w:t>
      </w:r>
      <w:r w:rsidR="00442541">
        <w:rPr>
          <w:rFonts w:cs="Arial"/>
        </w:rPr>
        <w:t xml:space="preserve">that </w:t>
      </w:r>
      <w:r w:rsidR="00013132">
        <w:rPr>
          <w:rFonts w:cs="Arial"/>
        </w:rPr>
        <w:t xml:space="preserve">it can maintain its maximum possible </w:t>
      </w:r>
      <w:r w:rsidR="008B492E">
        <w:rPr>
          <w:rFonts w:cs="Arial"/>
        </w:rPr>
        <w:t>generation</w:t>
      </w:r>
      <w:r w:rsidR="00013132">
        <w:rPr>
          <w:rFonts w:cs="Arial"/>
        </w:rPr>
        <w:t xml:space="preserve"> capacity</w:t>
      </w:r>
      <w:r w:rsidR="00737FFA">
        <w:rPr>
          <w:rFonts w:cs="Arial"/>
        </w:rPr>
        <w:t xml:space="preserve"> (HSL)</w:t>
      </w:r>
      <w:r w:rsidR="00013132">
        <w:rPr>
          <w:rFonts w:cs="Arial"/>
        </w:rPr>
        <w:t xml:space="preserve"> </w:t>
      </w:r>
      <w:r w:rsidR="008B492E">
        <w:rPr>
          <w:rFonts w:cs="Arial"/>
        </w:rPr>
        <w:t xml:space="preserve">for at least four hours </w:t>
      </w:r>
      <w:r w:rsidR="00013132">
        <w:rPr>
          <w:rFonts w:cs="Arial"/>
        </w:rPr>
        <w:t xml:space="preserve">under </w:t>
      </w:r>
      <w:r w:rsidR="005B75BC">
        <w:rPr>
          <w:rFonts w:cs="Arial"/>
        </w:rPr>
        <w:t xml:space="preserve">the </w:t>
      </w:r>
      <w:r w:rsidR="00013132">
        <w:rPr>
          <w:rFonts w:cs="Arial"/>
        </w:rPr>
        <w:t xml:space="preserve">stated </w:t>
      </w:r>
      <w:r w:rsidR="008B492E">
        <w:rPr>
          <w:rFonts w:cs="Arial"/>
        </w:rPr>
        <w:t xml:space="preserve">ambient conditions for that season. (See </w:t>
      </w:r>
      <w:r w:rsidR="00353963">
        <w:rPr>
          <w:rFonts w:cs="Arial"/>
        </w:rPr>
        <w:t xml:space="preserve">Protocol </w:t>
      </w:r>
      <w:r w:rsidR="00A01BC0">
        <w:rPr>
          <w:rFonts w:cs="Arial"/>
        </w:rPr>
        <w:t xml:space="preserve">Section 8.1.1.2, </w:t>
      </w:r>
      <w:r w:rsidR="00A01BC0" w:rsidRPr="005C4074">
        <w:rPr>
          <w:rFonts w:cs="Arial"/>
        </w:rPr>
        <w:t>General Capacity Testing Requirements</w:t>
      </w:r>
      <w:r w:rsidR="005C4074">
        <w:rPr>
          <w:rFonts w:cs="Arial"/>
        </w:rPr>
        <w:t>)</w:t>
      </w:r>
      <w:r w:rsidR="005B75BC">
        <w:rPr>
          <w:rFonts w:cs="Arial"/>
        </w:rPr>
        <w:t>.</w:t>
      </w:r>
      <w:r w:rsidR="00FA6E69">
        <w:rPr>
          <w:rFonts w:cs="Arial"/>
        </w:rPr>
        <w:t xml:space="preserve">  </w:t>
      </w:r>
      <w:r w:rsidR="00737FFA">
        <w:rPr>
          <w:rFonts w:cs="Arial"/>
        </w:rPr>
        <w:t xml:space="preserve">All ESRs and generators </w:t>
      </w:r>
      <w:r w:rsidR="00E801E2">
        <w:rPr>
          <w:rFonts w:cs="Arial"/>
        </w:rPr>
        <w:t xml:space="preserve">already </w:t>
      </w:r>
      <w:r w:rsidR="00737FFA">
        <w:rPr>
          <w:rFonts w:cs="Arial"/>
        </w:rPr>
        <w:t>file seasonal HSLs</w:t>
      </w:r>
      <w:r w:rsidR="002232D4">
        <w:rPr>
          <w:rFonts w:cs="Arial"/>
        </w:rPr>
        <w:t xml:space="preserve"> under this </w:t>
      </w:r>
      <w:r w:rsidR="00BC40C9">
        <w:rPr>
          <w:rFonts w:cs="Arial"/>
        </w:rPr>
        <w:t>P</w:t>
      </w:r>
      <w:r w:rsidR="002232D4">
        <w:rPr>
          <w:rFonts w:cs="Arial"/>
        </w:rPr>
        <w:t>rotocol</w:t>
      </w:r>
      <w:r w:rsidR="00737FFA">
        <w:rPr>
          <w:rFonts w:cs="Arial"/>
        </w:rPr>
        <w:t xml:space="preserve">. </w:t>
      </w:r>
      <w:r w:rsidR="00FA6E69">
        <w:rPr>
          <w:rFonts w:cs="Arial"/>
        </w:rPr>
        <w:t xml:space="preserve">Reliance on an attestation that all </w:t>
      </w:r>
      <w:r w:rsidR="0080092E">
        <w:rPr>
          <w:rFonts w:cs="Arial"/>
        </w:rPr>
        <w:t xml:space="preserve">generation facilities </w:t>
      </w:r>
      <w:r w:rsidR="002051D4" w:rsidRPr="00737FFA">
        <w:rPr>
          <w:rFonts w:cs="Arial"/>
          <w:i/>
          <w:iCs/>
        </w:rPr>
        <w:t xml:space="preserve">already </w:t>
      </w:r>
      <w:r w:rsidR="0080092E" w:rsidRPr="00737FFA">
        <w:rPr>
          <w:rFonts w:cs="Arial"/>
          <w:i/>
          <w:iCs/>
        </w:rPr>
        <w:t>file</w:t>
      </w:r>
      <w:r w:rsidR="0080092E">
        <w:rPr>
          <w:rFonts w:cs="Arial"/>
        </w:rPr>
        <w:t xml:space="preserve"> with ERCOT provides an administratively efficient process for </w:t>
      </w:r>
      <w:r w:rsidR="00863C40">
        <w:rPr>
          <w:rFonts w:cs="Arial"/>
        </w:rPr>
        <w:t xml:space="preserve">confirming the </w:t>
      </w:r>
      <w:r w:rsidR="002051D4">
        <w:rPr>
          <w:rFonts w:cs="Arial"/>
        </w:rPr>
        <w:t>applicable duration requirement is met.</w:t>
      </w:r>
      <w:r w:rsidR="009C5D61">
        <w:rPr>
          <w:rFonts w:cs="Arial"/>
        </w:rPr>
        <w:t xml:space="preserve"> </w:t>
      </w:r>
      <w:r w:rsidR="002051D4">
        <w:rPr>
          <w:rFonts w:cs="Arial"/>
        </w:rPr>
        <w:t xml:space="preserve"> For new </w:t>
      </w:r>
      <w:r w:rsidR="00E63943">
        <w:rPr>
          <w:rFonts w:cs="Arial"/>
        </w:rPr>
        <w:t xml:space="preserve">resources, accreditation of the duration requirement to provide DRRS can be calculated </w:t>
      </w:r>
      <w:r w:rsidR="009311C6">
        <w:rPr>
          <w:rFonts w:cs="Arial"/>
        </w:rPr>
        <w:t xml:space="preserve">based on the maximum facility </w:t>
      </w:r>
      <w:r w:rsidR="00D11FC4">
        <w:rPr>
          <w:rFonts w:cs="Arial"/>
        </w:rPr>
        <w:t>nameplate MW output</w:t>
      </w:r>
      <w:r w:rsidR="00E801E2">
        <w:rPr>
          <w:rFonts w:cs="Arial"/>
        </w:rPr>
        <w:t xml:space="preserve"> and then validated in the seasonal filings.  </w:t>
      </w:r>
      <w:r w:rsidR="00F52D0F" w:rsidRPr="00F52D0F">
        <w:rPr>
          <w:rFonts w:cs="Arial"/>
        </w:rPr>
        <w:t xml:space="preserve">  </w:t>
      </w:r>
    </w:p>
    <w:p w14:paraId="35F8EB00" w14:textId="77777777" w:rsidR="006028C4" w:rsidRPr="00C41532" w:rsidRDefault="006028C4" w:rsidP="006028C4">
      <w:pPr>
        <w:pStyle w:val="NormalArial"/>
        <w:spacing w:line="276" w:lineRule="auto"/>
        <w:jc w:val="both"/>
        <w:rPr>
          <w:rFonts w:cs="Arial"/>
          <w:b/>
          <w:bCs/>
        </w:rPr>
      </w:pPr>
    </w:p>
    <w:p w14:paraId="482224FF" w14:textId="19EEED28" w:rsidR="001562E3" w:rsidRPr="00F27D20" w:rsidRDefault="00D313D7" w:rsidP="00F27D20">
      <w:pPr>
        <w:pStyle w:val="NormalArial"/>
        <w:numPr>
          <w:ilvl w:val="0"/>
          <w:numId w:val="3"/>
        </w:numPr>
        <w:ind w:left="360"/>
        <w:jc w:val="both"/>
        <w:rPr>
          <w:rFonts w:cs="Arial"/>
          <w:b/>
          <w:bCs/>
        </w:rPr>
      </w:pPr>
      <w:r w:rsidRPr="00F27D20">
        <w:rPr>
          <w:rFonts w:cs="Arial"/>
          <w:b/>
          <w:bCs/>
        </w:rPr>
        <w:t xml:space="preserve">If the reference to HSL in PURA § 39.159(d)(2)(A) were interpreted to mean an ESR’s </w:t>
      </w:r>
      <w:r w:rsidRPr="00F27D20">
        <w:rPr>
          <w:rFonts w:cs="Arial"/>
          <w:b/>
          <w:bCs/>
          <w:i/>
          <w:iCs/>
        </w:rPr>
        <w:t>nameplate</w:t>
      </w:r>
      <w:r w:rsidRPr="00F27D20">
        <w:rPr>
          <w:rFonts w:cs="Arial"/>
          <w:b/>
          <w:bCs/>
        </w:rPr>
        <w:t xml:space="preserve"> HSL (e.g., that a 100 megawatt (MW) / 100 megawatt hour (MWh) ESR is not permitted under that interpretation to adjust its HSL down such that a one-hour ESR can operate as a four-hour ESR), would </w:t>
      </w:r>
      <w:r w:rsidR="00656FF8" w:rsidRPr="00F27D20">
        <w:rPr>
          <w:rFonts w:cs="Arial"/>
          <w:b/>
          <w:bCs/>
        </w:rPr>
        <w:t>DRRS</w:t>
      </w:r>
      <w:r w:rsidR="00E02F7A" w:rsidRPr="00F27D20">
        <w:rPr>
          <w:rFonts w:cs="Arial"/>
          <w:b/>
          <w:bCs/>
        </w:rPr>
        <w:t xml:space="preserve"> </w:t>
      </w:r>
      <w:r w:rsidR="004653BC" w:rsidRPr="00F27D20">
        <w:rPr>
          <w:rFonts w:cs="Arial"/>
          <w:b/>
          <w:bCs/>
        </w:rPr>
        <w:t xml:space="preserve">participation likely provide sufficient </w:t>
      </w:r>
      <w:r w:rsidRPr="00F27D20">
        <w:rPr>
          <w:rFonts w:cs="Arial"/>
          <w:b/>
          <w:bCs/>
        </w:rPr>
        <w:t>incentiv</w:t>
      </w:r>
      <w:r w:rsidR="005A1814" w:rsidRPr="00F27D20">
        <w:rPr>
          <w:rFonts w:cs="Arial"/>
          <w:b/>
          <w:bCs/>
        </w:rPr>
        <w:t>e for</w:t>
      </w:r>
      <w:r w:rsidRPr="00F27D20">
        <w:rPr>
          <w:rFonts w:cs="Arial"/>
          <w:b/>
          <w:bCs/>
        </w:rPr>
        <w:t xml:space="preserve"> </w:t>
      </w:r>
      <w:r w:rsidR="00656FF8" w:rsidRPr="00F27D20">
        <w:rPr>
          <w:rFonts w:cs="Arial"/>
          <w:b/>
          <w:bCs/>
        </w:rPr>
        <w:t xml:space="preserve">ESR developers </w:t>
      </w:r>
      <w:r w:rsidRPr="00F27D20">
        <w:rPr>
          <w:rFonts w:cs="Arial"/>
          <w:b/>
          <w:bCs/>
        </w:rPr>
        <w:t>to build longer, four-hour-plus duration ESRs in the ERCOT Region (e.g., a 100 MW / 400 MWh ESR)?</w:t>
      </w:r>
      <w:r w:rsidR="00656FF8" w:rsidRPr="00F27D20">
        <w:rPr>
          <w:rFonts w:cs="Arial"/>
          <w:b/>
          <w:bCs/>
        </w:rPr>
        <w:t xml:space="preserve">  If your response depends on what the value of </w:t>
      </w:r>
      <w:r w:rsidR="00FB38F7" w:rsidRPr="00F27D20">
        <w:rPr>
          <w:rFonts w:cs="Arial"/>
          <w:b/>
          <w:bCs/>
        </w:rPr>
        <w:t xml:space="preserve">the </w:t>
      </w:r>
      <w:r w:rsidR="00656FF8" w:rsidRPr="00F27D20">
        <w:rPr>
          <w:rFonts w:cs="Arial"/>
          <w:b/>
          <w:bCs/>
        </w:rPr>
        <w:t>DRRS</w:t>
      </w:r>
      <w:r w:rsidR="00FB38F7" w:rsidRPr="00F27D20">
        <w:rPr>
          <w:rFonts w:cs="Arial"/>
          <w:b/>
          <w:bCs/>
        </w:rPr>
        <w:t xml:space="preserve"> Ancillary Service Demand Curve (ASDC)</w:t>
      </w:r>
      <w:r w:rsidR="00656FF8" w:rsidRPr="00F27D20">
        <w:rPr>
          <w:rFonts w:cs="Arial"/>
          <w:b/>
          <w:bCs/>
        </w:rPr>
        <w:t xml:space="preserve"> is, please describe what value would be appropriate to help to provide such incentives.</w:t>
      </w:r>
    </w:p>
    <w:p w14:paraId="5A130EDB" w14:textId="77777777" w:rsidR="00BD745A" w:rsidRDefault="00BD745A" w:rsidP="006028C4">
      <w:pPr>
        <w:pStyle w:val="NormalArial"/>
        <w:jc w:val="both"/>
        <w:rPr>
          <w:rFonts w:cs="Arial"/>
          <w:color w:val="000000"/>
        </w:rPr>
      </w:pPr>
    </w:p>
    <w:p w14:paraId="660B459F" w14:textId="3E67CDC0" w:rsidR="00C16DF8" w:rsidRDefault="00C16DF8" w:rsidP="00C16DF8">
      <w:pPr>
        <w:pStyle w:val="NormalArial"/>
        <w:spacing w:line="276" w:lineRule="auto"/>
        <w:jc w:val="both"/>
        <w:rPr>
          <w:rFonts w:cs="Arial"/>
          <w:color w:val="000000"/>
        </w:rPr>
      </w:pPr>
      <w:r>
        <w:rPr>
          <w:rFonts w:cs="Arial"/>
          <w:color w:val="000000"/>
        </w:rPr>
        <w:t xml:space="preserve">When legislation sets out a clear policy objective, investment follows. </w:t>
      </w:r>
      <w:r w:rsidR="00F27D20">
        <w:rPr>
          <w:rFonts w:cs="Arial"/>
          <w:color w:val="000000"/>
        </w:rPr>
        <w:t xml:space="preserve">As Eolian noted above, </w:t>
      </w:r>
      <w:r w:rsidR="00294D30">
        <w:rPr>
          <w:rFonts w:cs="Arial"/>
          <w:color w:val="000000"/>
        </w:rPr>
        <w:t xml:space="preserve">the Legislature’s </w:t>
      </w:r>
      <w:r w:rsidR="00FA6E69">
        <w:rPr>
          <w:rFonts w:cs="Arial"/>
          <w:color w:val="000000"/>
        </w:rPr>
        <w:t xml:space="preserve">enactment </w:t>
      </w:r>
      <w:r w:rsidR="00294D30">
        <w:rPr>
          <w:rFonts w:cs="Arial"/>
          <w:color w:val="000000"/>
        </w:rPr>
        <w:t xml:space="preserve">of </w:t>
      </w:r>
      <w:r w:rsidR="00294D30" w:rsidRPr="00294D30">
        <w:rPr>
          <w:rFonts w:cs="Arial"/>
          <w:color w:val="000000"/>
        </w:rPr>
        <w:t>§ 39.159(d)(2)(A)</w:t>
      </w:r>
      <w:r w:rsidR="00BB6886">
        <w:rPr>
          <w:rFonts w:cs="Arial"/>
          <w:color w:val="000000"/>
        </w:rPr>
        <w:t xml:space="preserve"> provided </w:t>
      </w:r>
      <w:r w:rsidR="00FA6E69">
        <w:rPr>
          <w:rFonts w:cs="Arial"/>
          <w:color w:val="000000"/>
        </w:rPr>
        <w:t xml:space="preserve">the </w:t>
      </w:r>
      <w:r w:rsidR="00BB6886">
        <w:rPr>
          <w:rFonts w:cs="Arial"/>
          <w:color w:val="000000"/>
        </w:rPr>
        <w:t xml:space="preserve">market signal to support the development and construction of ESRs with a duration of four or more hours </w:t>
      </w:r>
      <w:r w:rsidR="00FA6E69">
        <w:rPr>
          <w:rFonts w:cs="Arial"/>
          <w:color w:val="000000"/>
        </w:rPr>
        <w:t xml:space="preserve">in the ERCOT region </w:t>
      </w:r>
      <w:r w:rsidR="00BB6886">
        <w:rPr>
          <w:rFonts w:cs="Arial"/>
          <w:color w:val="000000"/>
        </w:rPr>
        <w:t>even before th</w:t>
      </w:r>
      <w:r w:rsidR="006F0B41">
        <w:rPr>
          <w:rFonts w:cs="Arial"/>
          <w:color w:val="000000"/>
        </w:rPr>
        <w:t xml:space="preserve">e value of the DRRS Ancillary Service Demand Curve was </w:t>
      </w:r>
      <w:r w:rsidR="00FA6E69">
        <w:rPr>
          <w:rFonts w:cs="Arial"/>
          <w:color w:val="000000"/>
        </w:rPr>
        <w:t xml:space="preserve">established.  </w:t>
      </w:r>
      <w:r>
        <w:rPr>
          <w:rFonts w:cs="Arial"/>
        </w:rPr>
        <w:t xml:space="preserve">Additionally, load-serving entities such as CPS Energy have entered into multiple contracts with Eolian and other ESR developers to specifically </w:t>
      </w:r>
      <w:r w:rsidR="00274D87">
        <w:rPr>
          <w:rFonts w:cs="Arial"/>
        </w:rPr>
        <w:t>bring online</w:t>
      </w:r>
      <w:r>
        <w:rPr>
          <w:rFonts w:cs="Arial"/>
        </w:rPr>
        <w:t xml:space="preserve"> new dispatchable resource</w:t>
      </w:r>
      <w:r w:rsidR="00274D87">
        <w:rPr>
          <w:rFonts w:cs="Arial"/>
        </w:rPr>
        <w:t>s</w:t>
      </w:r>
      <w:r>
        <w:rPr>
          <w:rFonts w:cs="Arial"/>
        </w:rPr>
        <w:t xml:space="preserve"> that are able to directly meet the intended policy language of PURA’s language.  </w:t>
      </w:r>
    </w:p>
    <w:p w14:paraId="5576058A" w14:textId="77777777" w:rsidR="00C16DF8" w:rsidRDefault="00C16DF8" w:rsidP="00C16DF8">
      <w:pPr>
        <w:pStyle w:val="NormalArial"/>
        <w:spacing w:line="276" w:lineRule="auto"/>
        <w:jc w:val="both"/>
        <w:rPr>
          <w:rFonts w:cs="Arial"/>
          <w:color w:val="000000"/>
        </w:rPr>
      </w:pPr>
    </w:p>
    <w:p w14:paraId="7AC9827A" w14:textId="3074D43A" w:rsidR="002232D4" w:rsidRDefault="00C16DF8" w:rsidP="00C16DF8">
      <w:pPr>
        <w:pStyle w:val="NormalArial"/>
        <w:spacing w:line="276" w:lineRule="auto"/>
        <w:jc w:val="both"/>
        <w:rPr>
          <w:rFonts w:cs="Arial"/>
          <w:color w:val="000000"/>
        </w:rPr>
      </w:pPr>
      <w:r>
        <w:rPr>
          <w:rFonts w:cs="Arial"/>
          <w:color w:val="000000"/>
        </w:rPr>
        <w:t xml:space="preserve">The very existence of Eolian’s development and financing of 550 MW of ESRs under construction in the San Antonio region, all with a duration of 4+ hours at nameplate capacity, is literally direct empirical proof that four-hour nameplate ESR participation in DRRS is a proven investment signal to develop and build that exact type of resource. </w:t>
      </w:r>
      <w:r w:rsidR="00274D87">
        <w:rPr>
          <w:rFonts w:cs="Arial"/>
          <w:color w:val="000000"/>
        </w:rPr>
        <w:t xml:space="preserve">It </w:t>
      </w:r>
      <w:r w:rsidR="00274D87">
        <w:rPr>
          <w:rFonts w:cs="Arial"/>
          <w:color w:val="000000"/>
        </w:rPr>
        <w:lastRenderedPageBreak/>
        <w:t xml:space="preserve">is also direct proof that load-serving entities very closely watched the intent of the </w:t>
      </w:r>
      <w:r w:rsidR="003C01CD">
        <w:rPr>
          <w:rFonts w:cs="Arial"/>
          <w:color w:val="000000"/>
        </w:rPr>
        <w:t xml:space="preserve">Legislature </w:t>
      </w:r>
      <w:r w:rsidR="00274D87">
        <w:rPr>
          <w:rFonts w:cs="Arial"/>
          <w:color w:val="000000"/>
        </w:rPr>
        <w:t xml:space="preserve">and acted quickly to </w:t>
      </w:r>
      <w:r w:rsidR="003C01CD">
        <w:rPr>
          <w:rFonts w:cs="Arial"/>
          <w:color w:val="000000"/>
        </w:rPr>
        <w:t xml:space="preserve">implement </w:t>
      </w:r>
      <w:r w:rsidR="00274D87">
        <w:rPr>
          <w:rFonts w:cs="Arial"/>
          <w:color w:val="000000"/>
        </w:rPr>
        <w:t>the intended policy action.</w:t>
      </w:r>
    </w:p>
    <w:p w14:paraId="460B98AB" w14:textId="77777777" w:rsidR="002232D4" w:rsidRDefault="002232D4" w:rsidP="00C16DF8">
      <w:pPr>
        <w:pStyle w:val="NormalArial"/>
        <w:spacing w:line="276" w:lineRule="auto"/>
        <w:jc w:val="both"/>
        <w:rPr>
          <w:rFonts w:cs="Arial"/>
          <w:color w:val="000000"/>
        </w:rPr>
      </w:pPr>
    </w:p>
    <w:p w14:paraId="69CF23D4" w14:textId="73809731" w:rsidR="00F27D20" w:rsidRPr="00294D30" w:rsidRDefault="00E801E2" w:rsidP="00C16DF8">
      <w:pPr>
        <w:pStyle w:val="NormalArial"/>
        <w:spacing w:line="276" w:lineRule="auto"/>
        <w:jc w:val="both"/>
        <w:rPr>
          <w:rFonts w:cs="Arial"/>
          <w:color w:val="000000"/>
        </w:rPr>
      </w:pPr>
      <w:r>
        <w:rPr>
          <w:rFonts w:cs="Arial"/>
        </w:rPr>
        <w:t xml:space="preserve">Eolian has directly contracted </w:t>
      </w:r>
      <w:r w:rsidR="00274D87">
        <w:rPr>
          <w:rFonts w:cs="Arial"/>
        </w:rPr>
        <w:t>3</w:t>
      </w:r>
      <w:r>
        <w:rPr>
          <w:rFonts w:cs="Arial"/>
        </w:rPr>
        <w:t xml:space="preserve">50 MW of </w:t>
      </w:r>
      <w:r w:rsidR="00D14AF5">
        <w:rPr>
          <w:rFonts w:cs="Arial"/>
        </w:rPr>
        <w:t>four</w:t>
      </w:r>
      <w:r>
        <w:rPr>
          <w:rFonts w:cs="Arial"/>
        </w:rPr>
        <w:t xml:space="preserve">-hour duration ESR capacity with CPS Energy that will ALL be online by mid-2026.  In addition, Eolian is completing construction on an additional 200 MW of </w:t>
      </w:r>
      <w:r w:rsidR="00D14AF5">
        <w:rPr>
          <w:rFonts w:cs="Arial"/>
        </w:rPr>
        <w:t>five</w:t>
      </w:r>
      <w:r>
        <w:rPr>
          <w:rFonts w:cs="Arial"/>
        </w:rPr>
        <w:t xml:space="preserve">-hour duration ESR capacity located adjacent to the JK Spruce Power Plant in San Antonio. The total investment across all of these new assets </w:t>
      </w:r>
      <w:r w:rsidR="00274D87">
        <w:rPr>
          <w:rFonts w:cs="Arial"/>
        </w:rPr>
        <w:t>exceeds</w:t>
      </w:r>
      <w:r>
        <w:rPr>
          <w:rFonts w:cs="Arial"/>
        </w:rPr>
        <w:t xml:space="preserve"> $1 Billio</w:t>
      </w:r>
      <w:r w:rsidR="00274D87">
        <w:rPr>
          <w:rFonts w:cs="Arial"/>
        </w:rPr>
        <w:t>n and directly answers the question above.</w:t>
      </w:r>
      <w:r>
        <w:rPr>
          <w:rFonts w:cs="Arial"/>
        </w:rPr>
        <w:t xml:space="preserve"> </w:t>
      </w:r>
    </w:p>
    <w:p w14:paraId="4AF1EA41" w14:textId="77777777" w:rsidR="00875141" w:rsidRPr="00C41532" w:rsidRDefault="00875141" w:rsidP="006028C4">
      <w:pPr>
        <w:pStyle w:val="NormalArial"/>
        <w:jc w:val="both"/>
        <w:rPr>
          <w:rFonts w:cs="Arial"/>
          <w:color w:val="000000"/>
        </w:rPr>
      </w:pPr>
    </w:p>
    <w:p w14:paraId="13696861" w14:textId="7B309612" w:rsidR="00341289" w:rsidRPr="00E671D0" w:rsidRDefault="00341289" w:rsidP="00E671D0">
      <w:pPr>
        <w:pStyle w:val="NormalArial"/>
        <w:numPr>
          <w:ilvl w:val="0"/>
          <w:numId w:val="3"/>
        </w:numPr>
        <w:ind w:left="360"/>
        <w:jc w:val="both"/>
        <w:rPr>
          <w:rFonts w:cs="Arial"/>
          <w:b/>
          <w:bCs/>
        </w:rPr>
      </w:pPr>
      <w:r w:rsidRPr="00E671D0">
        <w:rPr>
          <w:rFonts w:cs="Arial"/>
          <w:b/>
          <w:bCs/>
        </w:rPr>
        <w:t xml:space="preserve">PURA § 39.159(d)(2)(B) states another criterion for participation in DRRS requiring a resource to “be online and dispatchable not more than two hours after being called on for deployment.”  Should subsections (d)(2)(A) and (B) be read together such that a Resource is only qualified to provide DRRS </w:t>
      </w:r>
      <w:r w:rsidR="00595BE4" w:rsidRPr="00E671D0">
        <w:rPr>
          <w:rFonts w:cs="Arial"/>
          <w:b/>
          <w:bCs/>
        </w:rPr>
        <w:t>at the amount of MW that it can ramp to within two hours and then sustain for at least four hours?</w:t>
      </w:r>
    </w:p>
    <w:p w14:paraId="48BBB72E" w14:textId="77777777" w:rsidR="00875141" w:rsidRDefault="00875141" w:rsidP="00E671D0">
      <w:pPr>
        <w:pStyle w:val="NormalArial"/>
        <w:jc w:val="both"/>
        <w:rPr>
          <w:rFonts w:cs="Arial"/>
        </w:rPr>
      </w:pPr>
    </w:p>
    <w:p w14:paraId="1F32C8A9" w14:textId="2361E079" w:rsidR="00C86B2F" w:rsidRDefault="00C86B2F" w:rsidP="00E671D0">
      <w:pPr>
        <w:pStyle w:val="NormalArial"/>
        <w:jc w:val="both"/>
        <w:rPr>
          <w:rFonts w:cs="Arial"/>
        </w:rPr>
      </w:pPr>
      <w:r>
        <w:rPr>
          <w:rFonts w:cs="Arial"/>
        </w:rPr>
        <w:t>Eolian has no comment on this question.</w:t>
      </w:r>
    </w:p>
    <w:p w14:paraId="27DE1A8D" w14:textId="77777777" w:rsidR="00E671D0" w:rsidRPr="00C41532" w:rsidRDefault="00E671D0" w:rsidP="00E671D0">
      <w:pPr>
        <w:pStyle w:val="NormalArial"/>
        <w:jc w:val="both"/>
        <w:rPr>
          <w:rFonts w:cs="Arial"/>
        </w:rPr>
      </w:pPr>
    </w:p>
    <w:p w14:paraId="3ECEAB31" w14:textId="3729FAC2" w:rsidR="00C86B2F" w:rsidRDefault="00972E0A" w:rsidP="00C86B2F">
      <w:pPr>
        <w:pStyle w:val="NormalArial"/>
        <w:numPr>
          <w:ilvl w:val="0"/>
          <w:numId w:val="3"/>
        </w:numPr>
        <w:ind w:left="360"/>
        <w:jc w:val="both"/>
        <w:rPr>
          <w:rFonts w:cs="Arial"/>
          <w:b/>
          <w:bCs/>
        </w:rPr>
      </w:pPr>
      <w:r w:rsidRPr="00C86B2F">
        <w:rPr>
          <w:rFonts w:cs="Arial"/>
          <w:b/>
          <w:bCs/>
        </w:rPr>
        <w:t xml:space="preserve">PURA § 39.159(e) states that ERCOT “may require a resource to be capable of running for more than four hours as [ERCOT] determines is needed.”  </w:t>
      </w:r>
      <w:r w:rsidR="00BF7E5B" w:rsidRPr="00C86B2F">
        <w:rPr>
          <w:rFonts w:cs="Arial"/>
          <w:b/>
          <w:bCs/>
        </w:rPr>
        <w:t>Should DRRS’s duration requirement be extended beyond four hours, for instance to eight</w:t>
      </w:r>
      <w:r w:rsidR="00C1177A" w:rsidRPr="00C86B2F">
        <w:rPr>
          <w:rFonts w:cs="Arial"/>
          <w:b/>
          <w:bCs/>
        </w:rPr>
        <w:t xml:space="preserve"> hours, </w:t>
      </w:r>
      <w:r w:rsidR="00BF7E5B" w:rsidRPr="00C86B2F">
        <w:rPr>
          <w:rFonts w:cs="Arial"/>
          <w:b/>
          <w:bCs/>
        </w:rPr>
        <w:t>twelve hours</w:t>
      </w:r>
      <w:r w:rsidR="004270F7" w:rsidRPr="00C86B2F">
        <w:rPr>
          <w:rFonts w:cs="Arial"/>
          <w:b/>
          <w:bCs/>
        </w:rPr>
        <w:t>,</w:t>
      </w:r>
      <w:r w:rsidR="00C1177A" w:rsidRPr="00C86B2F">
        <w:rPr>
          <w:rFonts w:cs="Arial"/>
          <w:b/>
          <w:bCs/>
        </w:rPr>
        <w:t xml:space="preserve"> or even longer</w:t>
      </w:r>
      <w:r w:rsidR="00BF7E5B" w:rsidRPr="00C86B2F">
        <w:rPr>
          <w:rFonts w:cs="Arial"/>
          <w:b/>
          <w:bCs/>
        </w:rPr>
        <w:t xml:space="preserve">?  </w:t>
      </w:r>
      <w:r w:rsidR="00BE3CCC" w:rsidRPr="00C86B2F">
        <w:rPr>
          <w:rFonts w:cs="Arial"/>
          <w:b/>
          <w:bCs/>
        </w:rPr>
        <w:t>Please</w:t>
      </w:r>
      <w:r w:rsidR="00BF7E5B" w:rsidRPr="00C86B2F">
        <w:rPr>
          <w:rFonts w:cs="Arial"/>
          <w:b/>
          <w:bCs/>
        </w:rPr>
        <w:t xml:space="preserve"> explain</w:t>
      </w:r>
      <w:r w:rsidR="00BE3CCC" w:rsidRPr="00C86B2F">
        <w:rPr>
          <w:rFonts w:cs="Arial"/>
          <w:b/>
          <w:bCs/>
        </w:rPr>
        <w:t xml:space="preserve"> the</w:t>
      </w:r>
      <w:r w:rsidR="00BF7E5B" w:rsidRPr="00C86B2F">
        <w:rPr>
          <w:rFonts w:cs="Arial"/>
          <w:b/>
          <w:bCs/>
        </w:rPr>
        <w:t xml:space="preserve"> operational or reliability-related reasons that the DRRS duration should or should not be extended</w:t>
      </w:r>
      <w:r w:rsidR="00020565" w:rsidRPr="00C86B2F">
        <w:rPr>
          <w:rFonts w:cs="Arial"/>
          <w:b/>
          <w:bCs/>
        </w:rPr>
        <w:t xml:space="preserve"> as well as the likely financial impacts of such a longer duration requirement on the current ESR fleet and how that longer duration requirement would impact incentives for future investments in the ESR fleet</w:t>
      </w:r>
      <w:r w:rsidR="00BF7E5B" w:rsidRPr="00C86B2F">
        <w:rPr>
          <w:rFonts w:cs="Arial"/>
          <w:b/>
          <w:bCs/>
        </w:rPr>
        <w:t>.</w:t>
      </w:r>
    </w:p>
    <w:p w14:paraId="04CC27A5" w14:textId="77777777" w:rsidR="00C86B2F" w:rsidRDefault="00C86B2F" w:rsidP="00C86B2F">
      <w:pPr>
        <w:pStyle w:val="NormalArial"/>
        <w:jc w:val="both"/>
        <w:rPr>
          <w:rFonts w:cs="Arial"/>
          <w:b/>
          <w:bCs/>
        </w:rPr>
      </w:pPr>
    </w:p>
    <w:p w14:paraId="1E51D784" w14:textId="3DAF481C" w:rsidR="00C86B2F" w:rsidRPr="00C86B2F" w:rsidRDefault="00C86B2F" w:rsidP="00274D87">
      <w:pPr>
        <w:pStyle w:val="NormalArial"/>
        <w:spacing w:line="276" w:lineRule="auto"/>
        <w:jc w:val="both"/>
        <w:rPr>
          <w:rFonts w:cs="Arial"/>
        </w:rPr>
      </w:pPr>
      <w:r>
        <w:rPr>
          <w:rFonts w:cs="Arial"/>
        </w:rPr>
        <w:t>Eolian res</w:t>
      </w:r>
      <w:r w:rsidR="000A26B6">
        <w:rPr>
          <w:rFonts w:cs="Arial"/>
        </w:rPr>
        <w:t>pect</w:t>
      </w:r>
      <w:r>
        <w:rPr>
          <w:rFonts w:cs="Arial"/>
        </w:rPr>
        <w:t xml:space="preserve">fully submits that ERCOT first should gain experience with the </w:t>
      </w:r>
      <w:r w:rsidR="007128A1">
        <w:rPr>
          <w:rFonts w:cs="Arial"/>
        </w:rPr>
        <w:t>operation of DRRS</w:t>
      </w:r>
      <w:r w:rsidR="00274D87">
        <w:rPr>
          <w:rFonts w:cs="Arial"/>
        </w:rPr>
        <w:t xml:space="preserve"> at the legislated duration of four hours</w:t>
      </w:r>
      <w:r w:rsidR="007128A1">
        <w:rPr>
          <w:rFonts w:cs="Arial"/>
        </w:rPr>
        <w:t xml:space="preserve"> so that any determination regarding a potential increase of the duration requirement is based on empir</w:t>
      </w:r>
      <w:r w:rsidR="000A26B6">
        <w:rPr>
          <w:rFonts w:cs="Arial"/>
        </w:rPr>
        <w:t>ical evidence</w:t>
      </w:r>
      <w:r w:rsidR="00274D87">
        <w:rPr>
          <w:rFonts w:cs="Arial"/>
        </w:rPr>
        <w:t xml:space="preserve">, actual operating experience, and real market conditions and risk assessment </w:t>
      </w:r>
      <w:r w:rsidR="000A26B6">
        <w:rPr>
          <w:rFonts w:cs="Arial"/>
        </w:rPr>
        <w:t xml:space="preserve">rather than conjecture before the service has even been implemented. </w:t>
      </w:r>
      <w:r w:rsidR="00E83537">
        <w:rPr>
          <w:rFonts w:cs="Arial"/>
        </w:rPr>
        <w:t xml:space="preserve"> As the Independent Market Monitor has pointed out in recent filings with the Commission, the excessive state of charge requirement that ERCOT has imposed on ESRs providing Non-Spinning Reserve Service (Non-Spin)</w:t>
      </w:r>
      <w:r w:rsidR="000A26B6">
        <w:rPr>
          <w:rFonts w:cs="Arial"/>
        </w:rPr>
        <w:t xml:space="preserve"> </w:t>
      </w:r>
      <w:r w:rsidR="00220273">
        <w:rPr>
          <w:rFonts w:cs="Arial"/>
        </w:rPr>
        <w:t xml:space="preserve">is </w:t>
      </w:r>
      <w:r w:rsidR="007F61BB">
        <w:rPr>
          <w:rFonts w:cs="Arial"/>
        </w:rPr>
        <w:t xml:space="preserve">driving </w:t>
      </w:r>
      <w:r w:rsidR="009F2F14">
        <w:rPr>
          <w:rFonts w:cs="Arial"/>
        </w:rPr>
        <w:t>higher prices for that service at the ultimate expense of consumers.</w:t>
      </w:r>
      <w:r w:rsidR="009F2F14">
        <w:rPr>
          <w:rStyle w:val="FootnoteReference"/>
          <w:rFonts w:cs="Arial"/>
        </w:rPr>
        <w:footnoteReference w:id="1"/>
      </w:r>
      <w:r w:rsidR="007342B7">
        <w:rPr>
          <w:rFonts w:cs="Arial"/>
        </w:rPr>
        <w:t xml:space="preserve">  ERCOT </w:t>
      </w:r>
      <w:r w:rsidR="00194964">
        <w:rPr>
          <w:rFonts w:cs="Arial"/>
        </w:rPr>
        <w:t xml:space="preserve">should avoid exacerbating this outcome by prematurely imposing a longer duration requirement without </w:t>
      </w:r>
      <w:r w:rsidR="009273E4">
        <w:rPr>
          <w:rFonts w:cs="Arial"/>
        </w:rPr>
        <w:t>further study of the market after DRRS has been implemented with the statutorily</w:t>
      </w:r>
      <w:r w:rsidR="00FA34CD">
        <w:rPr>
          <w:rFonts w:cs="Arial"/>
        </w:rPr>
        <w:t>-</w:t>
      </w:r>
      <w:r w:rsidR="009273E4">
        <w:rPr>
          <w:rFonts w:cs="Arial"/>
        </w:rPr>
        <w:t>mandated duration requirement</w:t>
      </w:r>
      <w:r w:rsidR="00274D87">
        <w:rPr>
          <w:rFonts w:cs="Arial"/>
        </w:rPr>
        <w:t xml:space="preserve"> that was the actual policy intent</w:t>
      </w:r>
      <w:r w:rsidR="009273E4">
        <w:rPr>
          <w:rFonts w:cs="Arial"/>
        </w:rPr>
        <w:t xml:space="preserve">. </w:t>
      </w:r>
      <w:r w:rsidR="00274D87">
        <w:rPr>
          <w:rFonts w:cs="Arial"/>
        </w:rPr>
        <w:t xml:space="preserve">As has been also noted, ERCOT wholesale power prices in 2024 and 2025 have now seen dramatic reductions as a result of more than 15 GW of ESRs entering the </w:t>
      </w:r>
      <w:r w:rsidR="00274D87">
        <w:rPr>
          <w:rFonts w:cs="Arial"/>
        </w:rPr>
        <w:lastRenderedPageBreak/>
        <w:t xml:space="preserve">market and leading directly to reduced ancillary market costs, reduced price spike persistence, and lower overall price volatility – all while freeing up many GWs of existing thermal units to participate in the day-ahead and real-time energy market.  Improved market performance in high-risk winter and summer events, plus a far more flexible and responsive overall power fleet, </w:t>
      </w:r>
      <w:r w:rsidR="003D2721">
        <w:rPr>
          <w:rFonts w:cs="Arial"/>
        </w:rPr>
        <w:t>has already been achieved through market participant investment in resources designed to meet the evolving needs of the market.  Also, it should be noted that with the current SB6 process and the large load cluster approach</w:t>
      </w:r>
      <w:r w:rsidR="004D6427">
        <w:rPr>
          <w:rFonts w:cs="Arial"/>
        </w:rPr>
        <w:t>,</w:t>
      </w:r>
      <w:r w:rsidR="003D2721">
        <w:rPr>
          <w:rFonts w:cs="Arial"/>
        </w:rPr>
        <w:t xml:space="preserve"> it is not at all clear what load growth will actually materialize in ERCOT in the coming years.   Further changes to the market structure and design beyond the legislated addition of DRRS at four</w:t>
      </w:r>
      <w:r w:rsidR="000D7DE5">
        <w:rPr>
          <w:rFonts w:cs="Arial"/>
        </w:rPr>
        <w:t>-</w:t>
      </w:r>
      <w:r w:rsidR="003D2721">
        <w:rPr>
          <w:rFonts w:cs="Arial"/>
        </w:rPr>
        <w:t>hour</w:t>
      </w:r>
      <w:r w:rsidR="000D7DE5">
        <w:rPr>
          <w:rFonts w:cs="Arial"/>
        </w:rPr>
        <w:t xml:space="preserve"> duration</w:t>
      </w:r>
      <w:r w:rsidR="003D2721">
        <w:rPr>
          <w:rFonts w:cs="Arial"/>
        </w:rPr>
        <w:t xml:space="preserve"> should be contemplated only after seeing actual market operations with new four-hour resources added to the market as well as much longer experience with RTC+B and with a refined view on actual load growth additions so that any market design adjustments are based on technical requirements and real operational experience with a stabilized market after having rapidly introduced a number of material changes.   </w:t>
      </w:r>
    </w:p>
    <w:p w14:paraId="1A53FE4D" w14:textId="77777777" w:rsidR="006028C4" w:rsidRPr="00C41532" w:rsidRDefault="006028C4" w:rsidP="006028C4">
      <w:pPr>
        <w:pStyle w:val="NormalArial"/>
        <w:spacing w:line="276" w:lineRule="auto"/>
        <w:jc w:val="both"/>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41532"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Pr="00C41532" w:rsidRDefault="00BD7258" w:rsidP="00B5080A">
            <w:pPr>
              <w:pStyle w:val="Header"/>
              <w:jc w:val="center"/>
              <w:rPr>
                <w:rFonts w:cs="Arial"/>
              </w:rPr>
            </w:pPr>
            <w:bookmarkStart w:id="2" w:name="_Hlk221690934"/>
            <w:r w:rsidRPr="00C41532">
              <w:rPr>
                <w:rFonts w:cs="Arial"/>
              </w:rPr>
              <w:t>Revised Cover Page Language</w:t>
            </w:r>
          </w:p>
        </w:tc>
      </w:tr>
    </w:tbl>
    <w:bookmarkEnd w:id="2"/>
    <w:p w14:paraId="089A429A" w14:textId="2FA45B77" w:rsidR="00BD7258" w:rsidRPr="00C41532" w:rsidRDefault="00DE4BA5" w:rsidP="00DE4BA5">
      <w:pPr>
        <w:pStyle w:val="NormalArial"/>
        <w:spacing w:before="120" w:after="120"/>
        <w:rPr>
          <w:rFonts w:cs="Arial"/>
        </w:rPr>
      </w:pPr>
      <w:r w:rsidRPr="00C41532">
        <w:rPr>
          <w:rFonts w:cs="Arial"/>
        </w:rPr>
        <w:t>None</w:t>
      </w:r>
      <w:r w:rsidR="003579F1" w:rsidRPr="00C41532">
        <w:rPr>
          <w:rFonts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41532" w14:paraId="26A3D33F" w14:textId="77777777">
        <w:trPr>
          <w:trHeight w:val="350"/>
        </w:trPr>
        <w:tc>
          <w:tcPr>
            <w:tcW w:w="10440" w:type="dxa"/>
            <w:tcBorders>
              <w:bottom w:val="single" w:sz="4" w:space="0" w:color="auto"/>
            </w:tcBorders>
            <w:shd w:val="clear" w:color="auto" w:fill="FFFFFF"/>
            <w:vAlign w:val="center"/>
          </w:tcPr>
          <w:p w14:paraId="20F9B50F" w14:textId="77777777" w:rsidR="00152993" w:rsidRPr="00C41532" w:rsidRDefault="00152993">
            <w:pPr>
              <w:pStyle w:val="Header"/>
              <w:jc w:val="center"/>
              <w:rPr>
                <w:rFonts w:cs="Arial"/>
              </w:rPr>
            </w:pPr>
            <w:r w:rsidRPr="00C41532">
              <w:rPr>
                <w:rFonts w:cs="Arial"/>
              </w:rPr>
              <w:t>Revised Proposed Protocol Language</w:t>
            </w:r>
          </w:p>
        </w:tc>
      </w:tr>
    </w:tbl>
    <w:p w14:paraId="644C2F43" w14:textId="4F55B9DF" w:rsidR="00DE4BA5" w:rsidRPr="00C41532" w:rsidRDefault="00DE4BA5" w:rsidP="00DE4BA5">
      <w:pPr>
        <w:pStyle w:val="NormalArial"/>
        <w:spacing w:before="120" w:after="120"/>
        <w:rPr>
          <w:rFonts w:cs="Arial"/>
        </w:rPr>
      </w:pPr>
      <w:r w:rsidRPr="00C41532">
        <w:rPr>
          <w:rFonts w:cs="Arial"/>
        </w:rPr>
        <w:t>None</w:t>
      </w:r>
      <w:r w:rsidR="003579F1" w:rsidRPr="00C41532">
        <w:rPr>
          <w:rFonts w:cs="Arial"/>
        </w:rPr>
        <w:t>.</w:t>
      </w:r>
    </w:p>
    <w:sectPr w:rsidR="00DE4BA5" w:rsidRPr="00C41532"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9311" w14:textId="77777777" w:rsidR="00933A78" w:rsidRDefault="00933A78">
      <w:r>
        <w:separator/>
      </w:r>
    </w:p>
  </w:endnote>
  <w:endnote w:type="continuationSeparator" w:id="0">
    <w:p w14:paraId="57A7DBAD" w14:textId="77777777" w:rsidR="00933A78" w:rsidRDefault="0093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37ECCEC6" w:rsidR="00EE6681" w:rsidRDefault="00F545CB" w:rsidP="0074209E">
    <w:pPr>
      <w:pStyle w:val="Footer"/>
      <w:tabs>
        <w:tab w:val="clear" w:pos="4320"/>
        <w:tab w:val="clear" w:pos="8640"/>
        <w:tab w:val="right" w:pos="9360"/>
      </w:tabs>
      <w:rPr>
        <w:rFonts w:ascii="Arial" w:hAnsi="Arial"/>
        <w:sz w:val="18"/>
      </w:rPr>
    </w:pPr>
    <w:r>
      <w:rPr>
        <w:rFonts w:ascii="Arial" w:hAnsi="Arial"/>
        <w:sz w:val="18"/>
      </w:rPr>
      <w:t>1310NPRR-24</w:t>
    </w:r>
    <w:r w:rsidR="007A7E2E">
      <w:rPr>
        <w:rFonts w:ascii="Arial" w:hAnsi="Arial"/>
        <w:sz w:val="18"/>
      </w:rPr>
      <w:t xml:space="preserve"> </w:t>
    </w:r>
    <w:r w:rsidR="00875141">
      <w:rPr>
        <w:rFonts w:ascii="Arial" w:hAnsi="Arial"/>
        <w:sz w:val="18"/>
      </w:rPr>
      <w:t xml:space="preserve">Eolian </w:t>
    </w:r>
    <w:r w:rsidR="00BD745A">
      <w:rPr>
        <w:rFonts w:ascii="Arial" w:hAnsi="Arial"/>
        <w:sz w:val="18"/>
      </w:rPr>
      <w:t>Comments</w:t>
    </w:r>
    <w:r w:rsidR="007A7E2E">
      <w:rPr>
        <w:rFonts w:ascii="Arial" w:hAnsi="Arial"/>
        <w:sz w:val="18"/>
      </w:rPr>
      <w:t xml:space="preserve"> 03</w:t>
    </w:r>
    <w:r>
      <w:rPr>
        <w:rFonts w:ascii="Arial" w:hAnsi="Arial"/>
        <w:sz w:val="18"/>
      </w:rPr>
      <w:t>06</w:t>
    </w:r>
    <w:r w:rsidR="00CD13AB">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A3F8" w14:textId="77777777" w:rsidR="00933A78" w:rsidRDefault="00933A78">
      <w:r>
        <w:separator/>
      </w:r>
    </w:p>
  </w:footnote>
  <w:footnote w:type="continuationSeparator" w:id="0">
    <w:p w14:paraId="439DA611" w14:textId="77777777" w:rsidR="00933A78" w:rsidRDefault="00933A78">
      <w:r>
        <w:continuationSeparator/>
      </w:r>
    </w:p>
  </w:footnote>
  <w:footnote w:id="1">
    <w:p w14:paraId="1AEAB2E8" w14:textId="471C6FDF" w:rsidR="009F2F14" w:rsidRDefault="009F2F14" w:rsidP="007342B7">
      <w:pPr>
        <w:pStyle w:val="FootnoteText"/>
        <w:ind w:left="360" w:hanging="360"/>
        <w:jc w:val="both"/>
      </w:pPr>
      <w:r>
        <w:rPr>
          <w:rStyle w:val="FootnoteReference"/>
        </w:rPr>
        <w:footnoteRef/>
      </w:r>
      <w:r>
        <w:t xml:space="preserve"> </w:t>
      </w:r>
      <w:r w:rsidR="008D7DB3">
        <w:tab/>
        <w:t xml:space="preserve">See </w:t>
      </w:r>
      <w:r w:rsidR="00097768">
        <w:rPr>
          <w:i/>
          <w:iCs/>
        </w:rPr>
        <w:t>Reports of the Electric Reliability Council of Texas,</w:t>
      </w:r>
      <w:r w:rsidR="00097768">
        <w:t xml:space="preserve"> Project 55999, </w:t>
      </w:r>
      <w:r w:rsidR="008D7DB3">
        <w:t>Potomac Economics, Initial Observations of Performance of RTC in ERCOT</w:t>
      </w:r>
      <w:r w:rsidR="007342B7">
        <w:t xml:space="preserve"> (February 20, 2026)</w:t>
      </w:r>
      <w:r w:rsidR="00600ED7">
        <w:t xml:space="preserve"> at 5</w:t>
      </w:r>
      <w:r w:rsidR="007342B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4"/>
  </w:num>
  <w:num w:numId="3" w16cid:durableId="2107924821">
    <w:abstractNumId w:val="3"/>
  </w:num>
  <w:num w:numId="4" w16cid:durableId="1569223299">
    <w:abstractNumId w:val="1"/>
  </w:num>
  <w:num w:numId="5" w16cid:durableId="1374697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3132"/>
    <w:rsid w:val="00020565"/>
    <w:rsid w:val="0002137F"/>
    <w:rsid w:val="00037668"/>
    <w:rsid w:val="00056467"/>
    <w:rsid w:val="00063B84"/>
    <w:rsid w:val="00065E3F"/>
    <w:rsid w:val="00075A94"/>
    <w:rsid w:val="00093F2E"/>
    <w:rsid w:val="00097768"/>
    <w:rsid w:val="000A26B6"/>
    <w:rsid w:val="000D028F"/>
    <w:rsid w:val="000D7DE5"/>
    <w:rsid w:val="000F3535"/>
    <w:rsid w:val="000F3E6D"/>
    <w:rsid w:val="000F432E"/>
    <w:rsid w:val="000F77A4"/>
    <w:rsid w:val="001007A5"/>
    <w:rsid w:val="00106BE8"/>
    <w:rsid w:val="0011422E"/>
    <w:rsid w:val="00115A4D"/>
    <w:rsid w:val="00120B09"/>
    <w:rsid w:val="00132855"/>
    <w:rsid w:val="00135EC4"/>
    <w:rsid w:val="00137A3C"/>
    <w:rsid w:val="00144271"/>
    <w:rsid w:val="00144FE7"/>
    <w:rsid w:val="00152993"/>
    <w:rsid w:val="001562E3"/>
    <w:rsid w:val="00161748"/>
    <w:rsid w:val="00163165"/>
    <w:rsid w:val="00170297"/>
    <w:rsid w:val="00175A29"/>
    <w:rsid w:val="00194964"/>
    <w:rsid w:val="001A227D"/>
    <w:rsid w:val="001A6F40"/>
    <w:rsid w:val="001B648D"/>
    <w:rsid w:val="001B7CDC"/>
    <w:rsid w:val="001C3D5C"/>
    <w:rsid w:val="001E2032"/>
    <w:rsid w:val="001E6078"/>
    <w:rsid w:val="001F05DD"/>
    <w:rsid w:val="001F36E0"/>
    <w:rsid w:val="001F4B9C"/>
    <w:rsid w:val="00202F85"/>
    <w:rsid w:val="002032B4"/>
    <w:rsid w:val="00203BE1"/>
    <w:rsid w:val="002051D4"/>
    <w:rsid w:val="00214790"/>
    <w:rsid w:val="002157B4"/>
    <w:rsid w:val="00216B73"/>
    <w:rsid w:val="00220273"/>
    <w:rsid w:val="002232D4"/>
    <w:rsid w:val="00230C8C"/>
    <w:rsid w:val="0024590F"/>
    <w:rsid w:val="00252477"/>
    <w:rsid w:val="00255C57"/>
    <w:rsid w:val="002568C4"/>
    <w:rsid w:val="002641D1"/>
    <w:rsid w:val="002722D2"/>
    <w:rsid w:val="00274D87"/>
    <w:rsid w:val="00287298"/>
    <w:rsid w:val="002937C4"/>
    <w:rsid w:val="00294D30"/>
    <w:rsid w:val="002A464B"/>
    <w:rsid w:val="002C41F1"/>
    <w:rsid w:val="002C5EE7"/>
    <w:rsid w:val="002D43F6"/>
    <w:rsid w:val="002E3068"/>
    <w:rsid w:val="002F089A"/>
    <w:rsid w:val="002F761A"/>
    <w:rsid w:val="003010C0"/>
    <w:rsid w:val="003116E8"/>
    <w:rsid w:val="00317298"/>
    <w:rsid w:val="00332A97"/>
    <w:rsid w:val="00341289"/>
    <w:rsid w:val="00347312"/>
    <w:rsid w:val="00350C00"/>
    <w:rsid w:val="00351762"/>
    <w:rsid w:val="00353963"/>
    <w:rsid w:val="003570F0"/>
    <w:rsid w:val="003579F1"/>
    <w:rsid w:val="00360E26"/>
    <w:rsid w:val="003613AE"/>
    <w:rsid w:val="00366113"/>
    <w:rsid w:val="0036792F"/>
    <w:rsid w:val="00367FFA"/>
    <w:rsid w:val="00374A77"/>
    <w:rsid w:val="003775D2"/>
    <w:rsid w:val="0038554D"/>
    <w:rsid w:val="003A23D4"/>
    <w:rsid w:val="003C01CD"/>
    <w:rsid w:val="003C270C"/>
    <w:rsid w:val="003D0994"/>
    <w:rsid w:val="003D2721"/>
    <w:rsid w:val="003D466B"/>
    <w:rsid w:val="003E6F58"/>
    <w:rsid w:val="003F23F3"/>
    <w:rsid w:val="003F26D9"/>
    <w:rsid w:val="0040175F"/>
    <w:rsid w:val="004146E1"/>
    <w:rsid w:val="00415EF6"/>
    <w:rsid w:val="00423824"/>
    <w:rsid w:val="004270F7"/>
    <w:rsid w:val="0043567D"/>
    <w:rsid w:val="00436E1F"/>
    <w:rsid w:val="004402B8"/>
    <w:rsid w:val="00442541"/>
    <w:rsid w:val="00442BCA"/>
    <w:rsid w:val="00453BE9"/>
    <w:rsid w:val="004653BC"/>
    <w:rsid w:val="004840E0"/>
    <w:rsid w:val="004852EB"/>
    <w:rsid w:val="00485F0C"/>
    <w:rsid w:val="004A2A17"/>
    <w:rsid w:val="004B7B90"/>
    <w:rsid w:val="004D6427"/>
    <w:rsid w:val="004D74CC"/>
    <w:rsid w:val="004E2C19"/>
    <w:rsid w:val="004E6E2F"/>
    <w:rsid w:val="005068C1"/>
    <w:rsid w:val="005138D7"/>
    <w:rsid w:val="0052541E"/>
    <w:rsid w:val="00536777"/>
    <w:rsid w:val="005455B2"/>
    <w:rsid w:val="00545989"/>
    <w:rsid w:val="00551B7E"/>
    <w:rsid w:val="00563353"/>
    <w:rsid w:val="0056624A"/>
    <w:rsid w:val="00566955"/>
    <w:rsid w:val="0057188F"/>
    <w:rsid w:val="0057573A"/>
    <w:rsid w:val="00581FB8"/>
    <w:rsid w:val="00584579"/>
    <w:rsid w:val="00586ED9"/>
    <w:rsid w:val="00591E40"/>
    <w:rsid w:val="00595AE2"/>
    <w:rsid w:val="00595BE4"/>
    <w:rsid w:val="00596E66"/>
    <w:rsid w:val="00597743"/>
    <w:rsid w:val="005A1814"/>
    <w:rsid w:val="005A5F04"/>
    <w:rsid w:val="005B55AD"/>
    <w:rsid w:val="005B75BC"/>
    <w:rsid w:val="005C4074"/>
    <w:rsid w:val="005C6F98"/>
    <w:rsid w:val="005D284C"/>
    <w:rsid w:val="005E0BB7"/>
    <w:rsid w:val="005E440F"/>
    <w:rsid w:val="005F1144"/>
    <w:rsid w:val="005F5953"/>
    <w:rsid w:val="005F77E5"/>
    <w:rsid w:val="00600ACA"/>
    <w:rsid w:val="00600ED7"/>
    <w:rsid w:val="006028C4"/>
    <w:rsid w:val="00604512"/>
    <w:rsid w:val="0062282E"/>
    <w:rsid w:val="006316D4"/>
    <w:rsid w:val="00633E23"/>
    <w:rsid w:val="00642F7F"/>
    <w:rsid w:val="00646F78"/>
    <w:rsid w:val="00653139"/>
    <w:rsid w:val="00656FF8"/>
    <w:rsid w:val="00657CB1"/>
    <w:rsid w:val="006658E0"/>
    <w:rsid w:val="00666612"/>
    <w:rsid w:val="00673B94"/>
    <w:rsid w:val="006801F8"/>
    <w:rsid w:val="00680AC6"/>
    <w:rsid w:val="006835D8"/>
    <w:rsid w:val="00695A8B"/>
    <w:rsid w:val="006C29E1"/>
    <w:rsid w:val="006C316E"/>
    <w:rsid w:val="006C3E2A"/>
    <w:rsid w:val="006D0F7C"/>
    <w:rsid w:val="006D194C"/>
    <w:rsid w:val="006D2D74"/>
    <w:rsid w:val="006E69A9"/>
    <w:rsid w:val="006F0B41"/>
    <w:rsid w:val="006F6679"/>
    <w:rsid w:val="0070136C"/>
    <w:rsid w:val="0070209C"/>
    <w:rsid w:val="007128A1"/>
    <w:rsid w:val="007152CC"/>
    <w:rsid w:val="007269C4"/>
    <w:rsid w:val="007342B7"/>
    <w:rsid w:val="00737FFA"/>
    <w:rsid w:val="0074209E"/>
    <w:rsid w:val="007843EF"/>
    <w:rsid w:val="007928B0"/>
    <w:rsid w:val="00792BF0"/>
    <w:rsid w:val="00797C6F"/>
    <w:rsid w:val="007A7E2E"/>
    <w:rsid w:val="007C232B"/>
    <w:rsid w:val="007E5CD9"/>
    <w:rsid w:val="007F2CA8"/>
    <w:rsid w:val="007F3C16"/>
    <w:rsid w:val="007F61BB"/>
    <w:rsid w:val="007F7161"/>
    <w:rsid w:val="0080092E"/>
    <w:rsid w:val="00813F76"/>
    <w:rsid w:val="00835649"/>
    <w:rsid w:val="00835FE1"/>
    <w:rsid w:val="0085559E"/>
    <w:rsid w:val="00863C40"/>
    <w:rsid w:val="00865644"/>
    <w:rsid w:val="008674C6"/>
    <w:rsid w:val="008700CE"/>
    <w:rsid w:val="008711A9"/>
    <w:rsid w:val="0087380A"/>
    <w:rsid w:val="00875141"/>
    <w:rsid w:val="00875C28"/>
    <w:rsid w:val="00882800"/>
    <w:rsid w:val="00891465"/>
    <w:rsid w:val="00896B1B"/>
    <w:rsid w:val="008B319A"/>
    <w:rsid w:val="008B492E"/>
    <w:rsid w:val="008B6904"/>
    <w:rsid w:val="008C627F"/>
    <w:rsid w:val="008D0D94"/>
    <w:rsid w:val="008D35C9"/>
    <w:rsid w:val="008D7DB3"/>
    <w:rsid w:val="008E3BFF"/>
    <w:rsid w:val="008E559E"/>
    <w:rsid w:val="008E5A99"/>
    <w:rsid w:val="008F6A91"/>
    <w:rsid w:val="00916080"/>
    <w:rsid w:val="00921A68"/>
    <w:rsid w:val="009273E4"/>
    <w:rsid w:val="009311C6"/>
    <w:rsid w:val="00933A78"/>
    <w:rsid w:val="00937BB8"/>
    <w:rsid w:val="00940E56"/>
    <w:rsid w:val="00972E0A"/>
    <w:rsid w:val="00992840"/>
    <w:rsid w:val="009A3519"/>
    <w:rsid w:val="009B530C"/>
    <w:rsid w:val="009C5D61"/>
    <w:rsid w:val="009D1F5A"/>
    <w:rsid w:val="009D712D"/>
    <w:rsid w:val="009E3632"/>
    <w:rsid w:val="009F2F14"/>
    <w:rsid w:val="009F59C9"/>
    <w:rsid w:val="00A015C4"/>
    <w:rsid w:val="00A01BC0"/>
    <w:rsid w:val="00A05788"/>
    <w:rsid w:val="00A07CEE"/>
    <w:rsid w:val="00A105BE"/>
    <w:rsid w:val="00A13642"/>
    <w:rsid w:val="00A15172"/>
    <w:rsid w:val="00A20CB7"/>
    <w:rsid w:val="00A21C25"/>
    <w:rsid w:val="00A30BAA"/>
    <w:rsid w:val="00A37E10"/>
    <w:rsid w:val="00A47AEF"/>
    <w:rsid w:val="00A65E40"/>
    <w:rsid w:val="00A8771C"/>
    <w:rsid w:val="00A90E61"/>
    <w:rsid w:val="00A9389A"/>
    <w:rsid w:val="00AB5AAD"/>
    <w:rsid w:val="00AC0858"/>
    <w:rsid w:val="00AD1A39"/>
    <w:rsid w:val="00AE3BBC"/>
    <w:rsid w:val="00B12ECB"/>
    <w:rsid w:val="00B259FA"/>
    <w:rsid w:val="00B328B3"/>
    <w:rsid w:val="00B5080A"/>
    <w:rsid w:val="00B51A36"/>
    <w:rsid w:val="00B57013"/>
    <w:rsid w:val="00B60BDD"/>
    <w:rsid w:val="00B76355"/>
    <w:rsid w:val="00B807C2"/>
    <w:rsid w:val="00B80A1E"/>
    <w:rsid w:val="00B943AE"/>
    <w:rsid w:val="00BA1EC6"/>
    <w:rsid w:val="00BA3A12"/>
    <w:rsid w:val="00BA518B"/>
    <w:rsid w:val="00BA73EB"/>
    <w:rsid w:val="00BB6886"/>
    <w:rsid w:val="00BC3B2D"/>
    <w:rsid w:val="00BC40C9"/>
    <w:rsid w:val="00BD6F64"/>
    <w:rsid w:val="00BD7258"/>
    <w:rsid w:val="00BD745A"/>
    <w:rsid w:val="00BE3CCC"/>
    <w:rsid w:val="00BF7E5B"/>
    <w:rsid w:val="00C0598D"/>
    <w:rsid w:val="00C1177A"/>
    <w:rsid w:val="00C11956"/>
    <w:rsid w:val="00C145B5"/>
    <w:rsid w:val="00C16DF8"/>
    <w:rsid w:val="00C21A67"/>
    <w:rsid w:val="00C26136"/>
    <w:rsid w:val="00C2738A"/>
    <w:rsid w:val="00C36C92"/>
    <w:rsid w:val="00C412B7"/>
    <w:rsid w:val="00C41532"/>
    <w:rsid w:val="00C501A8"/>
    <w:rsid w:val="00C50C9D"/>
    <w:rsid w:val="00C545C2"/>
    <w:rsid w:val="00C602E5"/>
    <w:rsid w:val="00C748FD"/>
    <w:rsid w:val="00C7531E"/>
    <w:rsid w:val="00C86B2F"/>
    <w:rsid w:val="00C91ED3"/>
    <w:rsid w:val="00CA445A"/>
    <w:rsid w:val="00CA6FCA"/>
    <w:rsid w:val="00CB3F42"/>
    <w:rsid w:val="00CB4056"/>
    <w:rsid w:val="00CB6496"/>
    <w:rsid w:val="00CD13AB"/>
    <w:rsid w:val="00CD199B"/>
    <w:rsid w:val="00CE4B59"/>
    <w:rsid w:val="00CE5CDE"/>
    <w:rsid w:val="00CE6477"/>
    <w:rsid w:val="00CE6EC0"/>
    <w:rsid w:val="00CF0AA1"/>
    <w:rsid w:val="00D11FC4"/>
    <w:rsid w:val="00D12C2B"/>
    <w:rsid w:val="00D14AF5"/>
    <w:rsid w:val="00D2392C"/>
    <w:rsid w:val="00D313D7"/>
    <w:rsid w:val="00D34F88"/>
    <w:rsid w:val="00D4046E"/>
    <w:rsid w:val="00D4362F"/>
    <w:rsid w:val="00D7761D"/>
    <w:rsid w:val="00DA0E73"/>
    <w:rsid w:val="00DA5F44"/>
    <w:rsid w:val="00DA758A"/>
    <w:rsid w:val="00DB2140"/>
    <w:rsid w:val="00DC7CDB"/>
    <w:rsid w:val="00DD4739"/>
    <w:rsid w:val="00DE4BA5"/>
    <w:rsid w:val="00DE5F33"/>
    <w:rsid w:val="00DF117C"/>
    <w:rsid w:val="00E00FA2"/>
    <w:rsid w:val="00E02F7A"/>
    <w:rsid w:val="00E07B54"/>
    <w:rsid w:val="00E11F78"/>
    <w:rsid w:val="00E44C9B"/>
    <w:rsid w:val="00E46F42"/>
    <w:rsid w:val="00E506F9"/>
    <w:rsid w:val="00E6128D"/>
    <w:rsid w:val="00E621E1"/>
    <w:rsid w:val="00E63943"/>
    <w:rsid w:val="00E671D0"/>
    <w:rsid w:val="00E77211"/>
    <w:rsid w:val="00E801E2"/>
    <w:rsid w:val="00E81161"/>
    <w:rsid w:val="00E83537"/>
    <w:rsid w:val="00E83E1A"/>
    <w:rsid w:val="00E857C0"/>
    <w:rsid w:val="00E94FCB"/>
    <w:rsid w:val="00EA1AE6"/>
    <w:rsid w:val="00EA3729"/>
    <w:rsid w:val="00EB6373"/>
    <w:rsid w:val="00EC27DE"/>
    <w:rsid w:val="00EC55B3"/>
    <w:rsid w:val="00EC6DDE"/>
    <w:rsid w:val="00EE6681"/>
    <w:rsid w:val="00EF1F97"/>
    <w:rsid w:val="00F15AD6"/>
    <w:rsid w:val="00F171A9"/>
    <w:rsid w:val="00F242A7"/>
    <w:rsid w:val="00F27D20"/>
    <w:rsid w:val="00F36A43"/>
    <w:rsid w:val="00F477DD"/>
    <w:rsid w:val="00F52D0F"/>
    <w:rsid w:val="00F545CB"/>
    <w:rsid w:val="00F66074"/>
    <w:rsid w:val="00F82881"/>
    <w:rsid w:val="00F879A6"/>
    <w:rsid w:val="00F96FB2"/>
    <w:rsid w:val="00FA34CD"/>
    <w:rsid w:val="00FA6E69"/>
    <w:rsid w:val="00FB01A6"/>
    <w:rsid w:val="00FB0B0F"/>
    <w:rsid w:val="00FB1EB4"/>
    <w:rsid w:val="00FB38F7"/>
    <w:rsid w:val="00FB51D8"/>
    <w:rsid w:val="00FB6FF1"/>
    <w:rsid w:val="00FB6FF7"/>
    <w:rsid w:val="00FD08E8"/>
    <w:rsid w:val="00FD1BDC"/>
    <w:rsid w:val="00FE0A6A"/>
    <w:rsid w:val="00FE5CA5"/>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 w:type="character" w:customStyle="1" w:styleId="NormalArialChar">
    <w:name w:val="Normal+Arial Char"/>
    <w:link w:val="NormalArial"/>
    <w:rsid w:val="00595AE2"/>
    <w:rPr>
      <w:rFonts w:ascii="Arial" w:hAnsi="Arial"/>
      <w:sz w:val="24"/>
      <w:szCs w:val="24"/>
    </w:rPr>
  </w:style>
  <w:style w:type="paragraph" w:styleId="NormalWeb">
    <w:name w:val="Normal (Web)"/>
    <w:basedOn w:val="Normal"/>
    <w:uiPriority w:val="99"/>
    <w:unhideWhenUsed/>
    <w:rsid w:val="008700CE"/>
    <w:pPr>
      <w:spacing w:before="100" w:beforeAutospacing="1" w:after="100" w:afterAutospacing="1"/>
    </w:pPr>
  </w:style>
  <w:style w:type="character" w:styleId="Emphasis">
    <w:name w:val="Emphasis"/>
    <w:basedOn w:val="DefaultParagraphFont"/>
    <w:uiPriority w:val="20"/>
    <w:qFormat/>
    <w:rsid w:val="008700CE"/>
    <w:rPr>
      <w:i/>
      <w:iCs/>
    </w:rPr>
  </w:style>
  <w:style w:type="paragraph" w:customStyle="1" w:styleId="my-2">
    <w:name w:val="my-2"/>
    <w:basedOn w:val="Normal"/>
    <w:rsid w:val="00B51A36"/>
    <w:pPr>
      <w:spacing w:before="100" w:beforeAutospacing="1" w:after="100" w:afterAutospacing="1"/>
    </w:pPr>
  </w:style>
  <w:style w:type="character" w:styleId="Strong">
    <w:name w:val="Strong"/>
    <w:basedOn w:val="DefaultParagraphFont"/>
    <w:uiPriority w:val="22"/>
    <w:qFormat/>
    <w:rsid w:val="002C5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ron@eolian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1434</Words>
  <Characters>7863</Characters>
  <Application>Microsoft Office Word</Application>
  <DocSecurity>0</DocSecurity>
  <Lines>160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Links>
    <vt:vector size="6" baseType="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Schaper Energy Consulting 030526</cp:lastModifiedBy>
  <cp:revision>3</cp:revision>
  <dcterms:created xsi:type="dcterms:W3CDTF">2026-03-06T13:36:00Z</dcterms:created>
  <dcterms:modified xsi:type="dcterms:W3CDTF">2026-03-06T13:37:00Z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