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A73EB" w:rsidRPr="00C41532" w14:paraId="55F792BC" w14:textId="77777777">
        <w:tc>
          <w:tcPr>
            <w:tcW w:w="1620" w:type="dxa"/>
            <w:tcBorders>
              <w:bottom w:val="single" w:sz="4" w:space="0" w:color="auto"/>
            </w:tcBorders>
            <w:shd w:val="clear" w:color="auto" w:fill="FFFFFF"/>
            <w:vAlign w:val="center"/>
          </w:tcPr>
          <w:p w14:paraId="4BD5A190" w14:textId="3040D19D" w:rsidR="00BA73EB" w:rsidRPr="00C41532" w:rsidRDefault="00BA73EB" w:rsidP="00BA73EB">
            <w:pPr>
              <w:pStyle w:val="Header"/>
              <w:rPr>
                <w:rFonts w:cs="Arial"/>
              </w:rPr>
            </w:pPr>
            <w:r w:rsidRPr="00C41532">
              <w:rPr>
                <w:rFonts w:cs="Arial"/>
              </w:rPr>
              <w:t>PRR Number</w:t>
            </w:r>
          </w:p>
        </w:tc>
        <w:tc>
          <w:tcPr>
            <w:tcW w:w="1260" w:type="dxa"/>
            <w:tcBorders>
              <w:bottom w:val="single" w:sz="4" w:space="0" w:color="auto"/>
            </w:tcBorders>
            <w:vAlign w:val="center"/>
          </w:tcPr>
          <w:p w14:paraId="5DA3EDD9" w14:textId="5EDB31DD" w:rsidR="00BA73EB" w:rsidRPr="00C41532" w:rsidRDefault="00BA73EB" w:rsidP="00BA73EB">
            <w:pPr>
              <w:pStyle w:val="Header"/>
              <w:rPr>
                <w:rFonts w:cs="Arial"/>
              </w:rPr>
            </w:pPr>
            <w:hyperlink r:id="rId8" w:history="1">
              <w:r w:rsidRPr="00C41532">
                <w:rPr>
                  <w:rStyle w:val="Hyperlink"/>
                  <w:rFonts w:cs="Arial"/>
                </w:rPr>
                <w:t>1310</w:t>
              </w:r>
            </w:hyperlink>
          </w:p>
        </w:tc>
        <w:tc>
          <w:tcPr>
            <w:tcW w:w="900" w:type="dxa"/>
            <w:tcBorders>
              <w:bottom w:val="single" w:sz="4" w:space="0" w:color="auto"/>
            </w:tcBorders>
            <w:shd w:val="clear" w:color="auto" w:fill="FFFFFF"/>
            <w:vAlign w:val="center"/>
          </w:tcPr>
          <w:p w14:paraId="74E8842E" w14:textId="26E13C72" w:rsidR="00BA73EB" w:rsidRPr="00C41532" w:rsidRDefault="00BA73EB" w:rsidP="00BA73EB">
            <w:pPr>
              <w:pStyle w:val="Header"/>
              <w:rPr>
                <w:rFonts w:cs="Arial"/>
              </w:rPr>
            </w:pPr>
            <w:r w:rsidRPr="00C41532">
              <w:rPr>
                <w:rFonts w:cs="Arial"/>
              </w:rPr>
              <w:t>NPRR Title</w:t>
            </w:r>
          </w:p>
        </w:tc>
        <w:tc>
          <w:tcPr>
            <w:tcW w:w="6660" w:type="dxa"/>
            <w:tcBorders>
              <w:bottom w:val="single" w:sz="4" w:space="0" w:color="auto"/>
            </w:tcBorders>
            <w:vAlign w:val="center"/>
          </w:tcPr>
          <w:p w14:paraId="1723DD90" w14:textId="29D8A41A" w:rsidR="00BA73EB" w:rsidRPr="00C41532" w:rsidRDefault="00BA73EB" w:rsidP="00BA73EB">
            <w:pPr>
              <w:pStyle w:val="Header"/>
              <w:rPr>
                <w:rFonts w:cs="Arial"/>
              </w:rPr>
            </w:pPr>
            <w:bookmarkStart w:id="0" w:name="_Hlk214556874"/>
            <w:r w:rsidRPr="00C41532">
              <w:rPr>
                <w:rFonts w:cs="Arial"/>
              </w:rPr>
              <w:t>Dispatchable Reliability Reserve Service Plus Energy Storage Resource Participation and Release Factor</w:t>
            </w:r>
            <w:bookmarkEnd w:id="0"/>
          </w:p>
        </w:tc>
      </w:tr>
      <w:tr w:rsidR="00152993" w:rsidRPr="00C41532" w14:paraId="115F04D2" w14:textId="77777777">
        <w:trPr>
          <w:trHeight w:val="413"/>
        </w:trPr>
        <w:tc>
          <w:tcPr>
            <w:tcW w:w="2880" w:type="dxa"/>
            <w:gridSpan w:val="2"/>
            <w:tcBorders>
              <w:top w:val="nil"/>
              <w:left w:val="nil"/>
              <w:bottom w:val="single" w:sz="4" w:space="0" w:color="auto"/>
              <w:right w:val="nil"/>
            </w:tcBorders>
            <w:vAlign w:val="center"/>
          </w:tcPr>
          <w:p w14:paraId="15C523B2" w14:textId="77777777" w:rsidR="00152993" w:rsidRPr="00C41532" w:rsidRDefault="00152993">
            <w:pPr>
              <w:pStyle w:val="NormalArial"/>
              <w:rPr>
                <w:rFonts w:cs="Arial"/>
              </w:rPr>
            </w:pPr>
          </w:p>
        </w:tc>
        <w:tc>
          <w:tcPr>
            <w:tcW w:w="7560" w:type="dxa"/>
            <w:gridSpan w:val="2"/>
            <w:tcBorders>
              <w:top w:val="single" w:sz="4" w:space="0" w:color="auto"/>
              <w:left w:val="nil"/>
              <w:bottom w:val="nil"/>
              <w:right w:val="nil"/>
            </w:tcBorders>
            <w:vAlign w:val="center"/>
          </w:tcPr>
          <w:p w14:paraId="46F71EA2" w14:textId="77777777" w:rsidR="00152993" w:rsidRPr="00C41532" w:rsidRDefault="00152993">
            <w:pPr>
              <w:pStyle w:val="NormalArial"/>
              <w:rPr>
                <w:rFonts w:cs="Arial"/>
              </w:rPr>
            </w:pPr>
          </w:p>
        </w:tc>
      </w:tr>
      <w:tr w:rsidR="00152993" w:rsidRPr="00C41532" w14:paraId="67B1CFFC"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548A936" w14:textId="77777777" w:rsidR="00152993" w:rsidRPr="00C41532" w:rsidRDefault="00152993">
            <w:pPr>
              <w:pStyle w:val="Header"/>
              <w:rPr>
                <w:rFonts w:cs="Arial"/>
              </w:rPr>
            </w:pPr>
            <w:r w:rsidRPr="00C41532">
              <w:rPr>
                <w:rFonts w:cs="Arial"/>
              </w:rP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F902394" w14:textId="28A91595" w:rsidR="00152993" w:rsidRPr="00C41532" w:rsidRDefault="00595AE2">
            <w:pPr>
              <w:pStyle w:val="NormalArial"/>
              <w:rPr>
                <w:rFonts w:cs="Arial"/>
              </w:rPr>
            </w:pPr>
            <w:r w:rsidRPr="00C41532">
              <w:rPr>
                <w:rFonts w:cs="Arial"/>
              </w:rPr>
              <w:t xml:space="preserve">March </w:t>
            </w:r>
            <w:r w:rsidR="00607249">
              <w:rPr>
                <w:rFonts w:cs="Arial"/>
              </w:rPr>
              <w:t>5</w:t>
            </w:r>
            <w:r w:rsidR="00BA73EB" w:rsidRPr="00C41532">
              <w:rPr>
                <w:rFonts w:cs="Arial"/>
              </w:rPr>
              <w:t>, 2026</w:t>
            </w:r>
          </w:p>
        </w:tc>
      </w:tr>
      <w:tr w:rsidR="00152993" w:rsidRPr="00C41532" w14:paraId="1478BBAC" w14:textId="77777777">
        <w:trPr>
          <w:trHeight w:val="467"/>
        </w:trPr>
        <w:tc>
          <w:tcPr>
            <w:tcW w:w="2880" w:type="dxa"/>
            <w:gridSpan w:val="2"/>
            <w:tcBorders>
              <w:top w:val="single" w:sz="4" w:space="0" w:color="auto"/>
              <w:left w:val="nil"/>
              <w:bottom w:val="nil"/>
              <w:right w:val="nil"/>
            </w:tcBorders>
            <w:shd w:val="clear" w:color="auto" w:fill="FFFFFF"/>
            <w:vAlign w:val="center"/>
          </w:tcPr>
          <w:p w14:paraId="2B84F3FA" w14:textId="77777777" w:rsidR="00152993" w:rsidRPr="00C41532" w:rsidRDefault="00152993">
            <w:pPr>
              <w:pStyle w:val="NormalArial"/>
              <w:rPr>
                <w:rFonts w:cs="Arial"/>
              </w:rPr>
            </w:pPr>
          </w:p>
        </w:tc>
        <w:tc>
          <w:tcPr>
            <w:tcW w:w="7560" w:type="dxa"/>
            <w:gridSpan w:val="2"/>
            <w:tcBorders>
              <w:top w:val="nil"/>
              <w:left w:val="nil"/>
              <w:bottom w:val="nil"/>
              <w:right w:val="nil"/>
            </w:tcBorders>
            <w:vAlign w:val="center"/>
          </w:tcPr>
          <w:p w14:paraId="26909A35" w14:textId="77777777" w:rsidR="00152993" w:rsidRPr="00C41532" w:rsidRDefault="00152993">
            <w:pPr>
              <w:pStyle w:val="NormalArial"/>
              <w:rPr>
                <w:rFonts w:cs="Arial"/>
              </w:rPr>
            </w:pPr>
          </w:p>
        </w:tc>
      </w:tr>
      <w:tr w:rsidR="00595AE2" w:rsidRPr="00C41532" w14:paraId="43156520" w14:textId="77777777" w:rsidTr="002518E4">
        <w:trPr>
          <w:trHeight w:val="440"/>
        </w:trPr>
        <w:tc>
          <w:tcPr>
            <w:tcW w:w="10440" w:type="dxa"/>
            <w:gridSpan w:val="4"/>
            <w:tcBorders>
              <w:top w:val="single" w:sz="4" w:space="0" w:color="auto"/>
            </w:tcBorders>
            <w:shd w:val="clear" w:color="auto" w:fill="FFFFFF"/>
            <w:vAlign w:val="center"/>
          </w:tcPr>
          <w:p w14:paraId="319BDA60" w14:textId="77777777" w:rsidR="00595AE2" w:rsidRPr="00C41532" w:rsidRDefault="00595AE2" w:rsidP="002518E4">
            <w:pPr>
              <w:pStyle w:val="Header"/>
              <w:jc w:val="center"/>
              <w:rPr>
                <w:rFonts w:cs="Arial"/>
              </w:rPr>
            </w:pPr>
            <w:r w:rsidRPr="00C41532">
              <w:rPr>
                <w:rFonts w:cs="Arial"/>
              </w:rPr>
              <w:t>Submitter’s Information</w:t>
            </w:r>
          </w:p>
        </w:tc>
      </w:tr>
      <w:tr w:rsidR="00595AE2" w:rsidRPr="00C41532" w14:paraId="12C44339" w14:textId="77777777" w:rsidTr="002518E4">
        <w:trPr>
          <w:trHeight w:val="350"/>
        </w:trPr>
        <w:tc>
          <w:tcPr>
            <w:tcW w:w="2880" w:type="dxa"/>
            <w:gridSpan w:val="2"/>
            <w:shd w:val="clear" w:color="auto" w:fill="FFFFFF"/>
            <w:vAlign w:val="center"/>
          </w:tcPr>
          <w:p w14:paraId="26D544B5" w14:textId="77777777" w:rsidR="00595AE2" w:rsidRPr="00C41532" w:rsidRDefault="00595AE2" w:rsidP="002518E4">
            <w:pPr>
              <w:pStyle w:val="Header"/>
              <w:rPr>
                <w:rFonts w:cs="Arial"/>
              </w:rPr>
            </w:pPr>
            <w:r w:rsidRPr="00C41532">
              <w:rPr>
                <w:rFonts w:cs="Arial"/>
              </w:rPr>
              <w:t>Name</w:t>
            </w:r>
          </w:p>
        </w:tc>
        <w:tc>
          <w:tcPr>
            <w:tcW w:w="7560" w:type="dxa"/>
            <w:gridSpan w:val="2"/>
            <w:vAlign w:val="center"/>
          </w:tcPr>
          <w:p w14:paraId="5EB9A38D" w14:textId="16B23D7F" w:rsidR="00595AE2" w:rsidRPr="00C41532" w:rsidRDefault="00581FB8" w:rsidP="002518E4">
            <w:pPr>
              <w:pStyle w:val="NormalArial"/>
              <w:spacing w:before="60" w:after="60"/>
              <w:rPr>
                <w:rFonts w:cs="Arial"/>
              </w:rPr>
            </w:pPr>
            <w:r w:rsidRPr="00C41532">
              <w:rPr>
                <w:rFonts w:cs="Arial"/>
                <w:color w:val="000000"/>
              </w:rPr>
              <w:t>Jack Clark</w:t>
            </w:r>
            <w:r>
              <w:rPr>
                <w:rFonts w:cs="Arial"/>
                <w:color w:val="000000"/>
              </w:rPr>
              <w:t xml:space="preserve">, </w:t>
            </w:r>
            <w:r w:rsidRPr="00C41532">
              <w:rPr>
                <w:rFonts w:cs="Arial"/>
                <w:color w:val="000000"/>
              </w:rPr>
              <w:t xml:space="preserve">Mandy Meadors, and </w:t>
            </w:r>
            <w:r w:rsidR="00595AE2" w:rsidRPr="00C41532">
              <w:rPr>
                <w:rFonts w:cs="Arial"/>
                <w:color w:val="000000"/>
              </w:rPr>
              <w:t>Tonja Wicks</w:t>
            </w:r>
          </w:p>
        </w:tc>
      </w:tr>
      <w:tr w:rsidR="00595AE2" w:rsidRPr="00C41532" w14:paraId="71927458" w14:textId="77777777" w:rsidTr="002518E4">
        <w:trPr>
          <w:trHeight w:val="350"/>
        </w:trPr>
        <w:tc>
          <w:tcPr>
            <w:tcW w:w="2880" w:type="dxa"/>
            <w:gridSpan w:val="2"/>
            <w:shd w:val="clear" w:color="auto" w:fill="FFFFFF"/>
            <w:vAlign w:val="center"/>
          </w:tcPr>
          <w:p w14:paraId="0E53A3DF" w14:textId="77777777" w:rsidR="00595AE2" w:rsidRPr="00C41532" w:rsidRDefault="00595AE2" w:rsidP="002518E4">
            <w:pPr>
              <w:pStyle w:val="Header"/>
              <w:rPr>
                <w:rFonts w:cs="Arial"/>
              </w:rPr>
            </w:pPr>
            <w:r w:rsidRPr="00C41532">
              <w:rPr>
                <w:rFonts w:cs="Arial"/>
              </w:rPr>
              <w:t>E-mail Address</w:t>
            </w:r>
          </w:p>
        </w:tc>
        <w:tc>
          <w:tcPr>
            <w:tcW w:w="7560" w:type="dxa"/>
            <w:gridSpan w:val="2"/>
            <w:vAlign w:val="center"/>
          </w:tcPr>
          <w:p w14:paraId="39C26466" w14:textId="5BE08D8D" w:rsidR="00595AE2" w:rsidRPr="00C41532" w:rsidRDefault="00581FB8" w:rsidP="002518E4">
            <w:pPr>
              <w:pStyle w:val="NormalArial"/>
              <w:spacing w:before="60" w:after="60"/>
              <w:rPr>
                <w:rFonts w:cs="Arial"/>
              </w:rPr>
            </w:pPr>
            <w:hyperlink r:id="rId9" w:history="1">
              <w:r w:rsidRPr="00C41532">
                <w:rPr>
                  <w:rStyle w:val="Hyperlink"/>
                  <w:rFonts w:cs="Arial"/>
                </w:rPr>
                <w:t>jclark@spearmintenergy.com</w:t>
              </w:r>
            </w:hyperlink>
            <w:r>
              <w:t>;</w:t>
            </w:r>
            <w:r w:rsidRPr="00C41532">
              <w:rPr>
                <w:rFonts w:cs="Arial"/>
              </w:rPr>
              <w:t xml:space="preserve"> </w:t>
            </w:r>
            <w:hyperlink r:id="rId10" w:history="1">
              <w:r w:rsidRPr="00C41532">
                <w:rPr>
                  <w:rStyle w:val="Hyperlink"/>
                  <w:rFonts w:cs="Arial"/>
                </w:rPr>
                <w:t>mmeadors@pluspower.com</w:t>
              </w:r>
            </w:hyperlink>
            <w:r w:rsidRPr="00C41532">
              <w:rPr>
                <w:rFonts w:cs="Arial"/>
              </w:rPr>
              <w:t xml:space="preserve">; and </w:t>
            </w:r>
            <w:hyperlink r:id="rId11" w:history="1">
              <w:r w:rsidRPr="00F37D67">
                <w:rPr>
                  <w:rStyle w:val="Hyperlink"/>
                  <w:rFonts w:cs="Arial"/>
                </w:rPr>
                <w:t>tonja.wicks@esvolta.com</w:t>
              </w:r>
            </w:hyperlink>
          </w:p>
        </w:tc>
      </w:tr>
      <w:tr w:rsidR="00595AE2" w:rsidRPr="00C41532" w14:paraId="4588CF2E" w14:textId="77777777" w:rsidTr="002518E4">
        <w:trPr>
          <w:trHeight w:val="665"/>
        </w:trPr>
        <w:tc>
          <w:tcPr>
            <w:tcW w:w="2880" w:type="dxa"/>
            <w:gridSpan w:val="2"/>
            <w:shd w:val="clear" w:color="auto" w:fill="FFFFFF"/>
            <w:vAlign w:val="center"/>
          </w:tcPr>
          <w:p w14:paraId="1A864543" w14:textId="77777777" w:rsidR="00595AE2" w:rsidRPr="00C41532" w:rsidRDefault="00595AE2" w:rsidP="002518E4">
            <w:pPr>
              <w:pStyle w:val="Header"/>
              <w:rPr>
                <w:rFonts w:cs="Arial"/>
              </w:rPr>
            </w:pPr>
            <w:r w:rsidRPr="00C41532">
              <w:rPr>
                <w:rFonts w:cs="Arial"/>
              </w:rPr>
              <w:t>Company</w:t>
            </w:r>
          </w:p>
        </w:tc>
        <w:tc>
          <w:tcPr>
            <w:tcW w:w="7560" w:type="dxa"/>
            <w:gridSpan w:val="2"/>
            <w:vAlign w:val="center"/>
          </w:tcPr>
          <w:p w14:paraId="2C1BE765" w14:textId="310BCB18" w:rsidR="00595AE2" w:rsidRPr="00C41532" w:rsidRDefault="00581FB8" w:rsidP="002518E4">
            <w:pPr>
              <w:pStyle w:val="NormalArial"/>
              <w:spacing w:before="60" w:after="60"/>
              <w:rPr>
                <w:rFonts w:cs="Arial"/>
              </w:rPr>
            </w:pPr>
            <w:r w:rsidRPr="00C41532">
              <w:rPr>
                <w:rFonts w:cs="Arial"/>
                <w:color w:val="000000"/>
              </w:rPr>
              <w:t>Spearmint Energy</w:t>
            </w:r>
            <w:r w:rsidR="00595AE2" w:rsidRPr="00C41532">
              <w:rPr>
                <w:rFonts w:cs="Arial"/>
                <w:color w:val="000000"/>
              </w:rPr>
              <w:t xml:space="preserve">; </w:t>
            </w:r>
            <w:r w:rsidRPr="00C41532">
              <w:rPr>
                <w:rFonts w:cs="Arial"/>
                <w:color w:val="000000"/>
              </w:rPr>
              <w:t xml:space="preserve">Plus Power; and </w:t>
            </w:r>
            <w:r w:rsidR="00595AE2" w:rsidRPr="00C41532">
              <w:rPr>
                <w:rFonts w:cs="Arial"/>
                <w:color w:val="000000"/>
              </w:rPr>
              <w:t>esVolta, LP (“Joint ESR Commenters”</w:t>
            </w:r>
            <w:r w:rsidR="002F089A">
              <w:rPr>
                <w:rFonts w:cs="Arial"/>
                <w:color w:val="000000"/>
              </w:rPr>
              <w:t>)</w:t>
            </w:r>
          </w:p>
        </w:tc>
      </w:tr>
      <w:tr w:rsidR="00595AE2" w:rsidRPr="00C41532" w14:paraId="2BF22F5C" w14:textId="77777777" w:rsidTr="002518E4">
        <w:trPr>
          <w:trHeight w:val="350"/>
        </w:trPr>
        <w:tc>
          <w:tcPr>
            <w:tcW w:w="2880" w:type="dxa"/>
            <w:gridSpan w:val="2"/>
            <w:tcBorders>
              <w:bottom w:val="single" w:sz="4" w:space="0" w:color="auto"/>
            </w:tcBorders>
            <w:shd w:val="clear" w:color="auto" w:fill="FFFFFF"/>
            <w:vAlign w:val="center"/>
          </w:tcPr>
          <w:p w14:paraId="2C80E81C" w14:textId="77777777" w:rsidR="00595AE2" w:rsidRPr="00C41532" w:rsidRDefault="00595AE2" w:rsidP="002518E4">
            <w:pPr>
              <w:pStyle w:val="Header"/>
              <w:rPr>
                <w:rFonts w:cs="Arial"/>
              </w:rPr>
            </w:pPr>
            <w:r w:rsidRPr="00C41532">
              <w:rPr>
                <w:rFonts w:cs="Arial"/>
              </w:rPr>
              <w:t>Phone Number</w:t>
            </w:r>
          </w:p>
        </w:tc>
        <w:tc>
          <w:tcPr>
            <w:tcW w:w="7560" w:type="dxa"/>
            <w:gridSpan w:val="2"/>
            <w:tcBorders>
              <w:bottom w:val="single" w:sz="4" w:space="0" w:color="auto"/>
            </w:tcBorders>
            <w:vAlign w:val="center"/>
          </w:tcPr>
          <w:p w14:paraId="68555030" w14:textId="77777777" w:rsidR="00595AE2" w:rsidRPr="00C41532" w:rsidRDefault="00595AE2" w:rsidP="002518E4">
            <w:pPr>
              <w:pStyle w:val="NormalArial"/>
              <w:spacing w:before="60" w:after="60"/>
              <w:rPr>
                <w:rFonts w:cs="Arial"/>
              </w:rPr>
            </w:pPr>
          </w:p>
        </w:tc>
      </w:tr>
      <w:tr w:rsidR="00595AE2" w:rsidRPr="00C41532" w14:paraId="1AA03255" w14:textId="77777777" w:rsidTr="002518E4">
        <w:trPr>
          <w:trHeight w:val="350"/>
        </w:trPr>
        <w:tc>
          <w:tcPr>
            <w:tcW w:w="2880" w:type="dxa"/>
            <w:gridSpan w:val="2"/>
            <w:shd w:val="clear" w:color="auto" w:fill="FFFFFF"/>
            <w:vAlign w:val="center"/>
          </w:tcPr>
          <w:p w14:paraId="050FA1CF" w14:textId="77777777" w:rsidR="00595AE2" w:rsidRPr="00C41532" w:rsidRDefault="00595AE2" w:rsidP="002518E4">
            <w:pPr>
              <w:pStyle w:val="Header"/>
              <w:rPr>
                <w:rFonts w:cs="Arial"/>
              </w:rPr>
            </w:pPr>
            <w:r w:rsidRPr="00C41532">
              <w:rPr>
                <w:rFonts w:cs="Arial"/>
              </w:rPr>
              <w:t>Cell Number</w:t>
            </w:r>
          </w:p>
        </w:tc>
        <w:tc>
          <w:tcPr>
            <w:tcW w:w="7560" w:type="dxa"/>
            <w:gridSpan w:val="2"/>
            <w:vAlign w:val="center"/>
          </w:tcPr>
          <w:p w14:paraId="43BF3D51" w14:textId="47745488" w:rsidR="00595AE2" w:rsidRPr="00C41532" w:rsidRDefault="00581FB8" w:rsidP="002518E4">
            <w:pPr>
              <w:pStyle w:val="NormalArial"/>
              <w:spacing w:before="60" w:after="60"/>
              <w:rPr>
                <w:rFonts w:cs="Arial"/>
              </w:rPr>
            </w:pPr>
            <w:r w:rsidRPr="00C41532">
              <w:rPr>
                <w:rFonts w:cs="Arial"/>
              </w:rPr>
              <w:t>(561) 452-7380</w:t>
            </w:r>
            <w:r>
              <w:rPr>
                <w:rFonts w:cs="Arial"/>
              </w:rPr>
              <w:t xml:space="preserve">; </w:t>
            </w:r>
            <w:r w:rsidRPr="00C41532">
              <w:rPr>
                <w:rFonts w:cs="Arial"/>
              </w:rPr>
              <w:t xml:space="preserve">(910) 465-1370; </w:t>
            </w:r>
            <w:r>
              <w:rPr>
                <w:rFonts w:cs="Arial"/>
              </w:rPr>
              <w:t>and</w:t>
            </w:r>
            <w:r w:rsidR="00595AE2" w:rsidRPr="00C41532">
              <w:rPr>
                <w:rFonts w:cs="Arial"/>
              </w:rPr>
              <w:t xml:space="preserve"> (202) 515-0660</w:t>
            </w:r>
          </w:p>
        </w:tc>
      </w:tr>
      <w:tr w:rsidR="00595AE2" w:rsidRPr="00C41532" w14:paraId="463D8B93" w14:textId="77777777" w:rsidTr="002518E4">
        <w:trPr>
          <w:trHeight w:val="350"/>
        </w:trPr>
        <w:tc>
          <w:tcPr>
            <w:tcW w:w="2880" w:type="dxa"/>
            <w:gridSpan w:val="2"/>
            <w:tcBorders>
              <w:bottom w:val="single" w:sz="4" w:space="0" w:color="auto"/>
            </w:tcBorders>
            <w:shd w:val="clear" w:color="auto" w:fill="FFFFFF"/>
            <w:vAlign w:val="center"/>
          </w:tcPr>
          <w:p w14:paraId="0EB79B8F" w14:textId="77777777" w:rsidR="00595AE2" w:rsidRPr="00C41532" w:rsidDel="00075A94" w:rsidRDefault="00595AE2" w:rsidP="002518E4">
            <w:pPr>
              <w:pStyle w:val="Header"/>
              <w:rPr>
                <w:rFonts w:cs="Arial"/>
              </w:rPr>
            </w:pPr>
            <w:r w:rsidRPr="00C41532">
              <w:rPr>
                <w:rFonts w:cs="Arial"/>
              </w:rPr>
              <w:t>Market Segment</w:t>
            </w:r>
          </w:p>
        </w:tc>
        <w:tc>
          <w:tcPr>
            <w:tcW w:w="7560" w:type="dxa"/>
            <w:gridSpan w:val="2"/>
            <w:tcBorders>
              <w:bottom w:val="single" w:sz="4" w:space="0" w:color="auto"/>
            </w:tcBorders>
            <w:vAlign w:val="center"/>
          </w:tcPr>
          <w:p w14:paraId="34D764AA" w14:textId="77777777" w:rsidR="00595AE2" w:rsidRPr="00C41532" w:rsidRDefault="00595AE2" w:rsidP="002518E4">
            <w:pPr>
              <w:pStyle w:val="NormalArial"/>
              <w:spacing w:before="60" w:after="60"/>
              <w:rPr>
                <w:rFonts w:cs="Arial"/>
              </w:rPr>
            </w:pPr>
            <w:r w:rsidRPr="00C41532">
              <w:rPr>
                <w:rFonts w:cs="Arial"/>
              </w:rPr>
              <w:t>Independent Generator</w:t>
            </w:r>
          </w:p>
        </w:tc>
      </w:tr>
    </w:tbl>
    <w:p w14:paraId="58FEEE8C" w14:textId="77777777" w:rsidR="00075A94" w:rsidRPr="00C41532" w:rsidRDefault="00075A94">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E4BA5" w:rsidRPr="00C41532" w14:paraId="77D6943F" w14:textId="77777777" w:rsidTr="00B9339A">
        <w:trPr>
          <w:trHeight w:val="350"/>
        </w:trPr>
        <w:tc>
          <w:tcPr>
            <w:tcW w:w="10440" w:type="dxa"/>
            <w:tcBorders>
              <w:bottom w:val="single" w:sz="4" w:space="0" w:color="auto"/>
            </w:tcBorders>
            <w:shd w:val="clear" w:color="auto" w:fill="FFFFFF"/>
            <w:vAlign w:val="center"/>
          </w:tcPr>
          <w:p w14:paraId="14FE38D2" w14:textId="5AFABFA8" w:rsidR="00DE4BA5" w:rsidRPr="00C41532" w:rsidRDefault="00DE4BA5" w:rsidP="00B9339A">
            <w:pPr>
              <w:pStyle w:val="Header"/>
              <w:jc w:val="center"/>
              <w:rPr>
                <w:rFonts w:cs="Arial"/>
              </w:rPr>
            </w:pPr>
            <w:r w:rsidRPr="00C41532">
              <w:rPr>
                <w:rFonts w:cs="Arial"/>
              </w:rPr>
              <w:t>Comments</w:t>
            </w:r>
          </w:p>
        </w:tc>
      </w:tr>
    </w:tbl>
    <w:p w14:paraId="34E1B866" w14:textId="336D0087" w:rsidR="00BD7258" w:rsidRPr="00C41532" w:rsidRDefault="00581FB8" w:rsidP="00891B29">
      <w:pPr>
        <w:pStyle w:val="NormalArial"/>
        <w:spacing w:before="120" w:after="120"/>
        <w:jc w:val="both"/>
        <w:rPr>
          <w:rFonts w:cs="Arial"/>
        </w:rPr>
      </w:pPr>
      <w:bookmarkStart w:id="1" w:name="_Hlk221690460"/>
      <w:r w:rsidRPr="00C41532">
        <w:rPr>
          <w:rFonts w:cs="Arial"/>
        </w:rPr>
        <w:t>Spearmint Energy</w:t>
      </w:r>
      <w:r>
        <w:rPr>
          <w:rFonts w:cs="Arial"/>
        </w:rPr>
        <w:t>,</w:t>
      </w:r>
      <w:r w:rsidRPr="00C41532">
        <w:rPr>
          <w:rFonts w:cs="Arial"/>
        </w:rPr>
        <w:t xml:space="preserve"> Plus Power, and </w:t>
      </w:r>
      <w:r w:rsidR="00595AE2" w:rsidRPr="00C41532">
        <w:rPr>
          <w:rFonts w:cs="Arial"/>
        </w:rPr>
        <w:t xml:space="preserve">esVolta (Joint ESR Commenters) appreciate the opportunity to file these comments in response to </w:t>
      </w:r>
      <w:r w:rsidR="003579F1" w:rsidRPr="00C41532">
        <w:rPr>
          <w:rFonts w:cs="Arial"/>
        </w:rPr>
        <w:t>ERCOT</w:t>
      </w:r>
      <w:r w:rsidR="00595AE2" w:rsidRPr="00C41532">
        <w:rPr>
          <w:rFonts w:cs="Arial"/>
        </w:rPr>
        <w:t>’s</w:t>
      </w:r>
      <w:r w:rsidR="003579F1" w:rsidRPr="00C41532">
        <w:rPr>
          <w:rFonts w:cs="Arial"/>
        </w:rPr>
        <w:t xml:space="preserve"> </w:t>
      </w:r>
      <w:r w:rsidR="00595AE2" w:rsidRPr="00C41532">
        <w:rPr>
          <w:rFonts w:cs="Arial"/>
        </w:rPr>
        <w:t xml:space="preserve">questions included in their February 27, 2026, comments on </w:t>
      </w:r>
      <w:r w:rsidR="00BA73EB" w:rsidRPr="00C41532">
        <w:rPr>
          <w:rFonts w:cs="Arial"/>
        </w:rPr>
        <w:t>Nodal Protocol Revision Request (NPRR) 1310</w:t>
      </w:r>
      <w:r w:rsidR="00595AE2" w:rsidRPr="00C41532">
        <w:rPr>
          <w:rFonts w:cs="Arial"/>
        </w:rPr>
        <w:t xml:space="preserve">. ERCOT </w:t>
      </w:r>
      <w:r w:rsidR="00BA73EB" w:rsidRPr="00C41532">
        <w:rPr>
          <w:rFonts w:cs="Arial"/>
        </w:rPr>
        <w:t>request</w:t>
      </w:r>
      <w:r w:rsidR="00595AE2" w:rsidRPr="00C41532">
        <w:rPr>
          <w:rFonts w:cs="Arial"/>
        </w:rPr>
        <w:t>ed</w:t>
      </w:r>
      <w:r w:rsidR="00BA73EB" w:rsidRPr="00C41532">
        <w:rPr>
          <w:rFonts w:cs="Arial"/>
        </w:rPr>
        <w:t xml:space="preserve"> that </w:t>
      </w:r>
      <w:bookmarkEnd w:id="1"/>
      <w:r w:rsidR="003579F1" w:rsidRPr="00C41532">
        <w:rPr>
          <w:rFonts w:cs="Arial"/>
        </w:rPr>
        <w:t xml:space="preserve">interested stakeholders submit any responsive comments </w:t>
      </w:r>
      <w:r w:rsidR="001562E3" w:rsidRPr="00C41532">
        <w:rPr>
          <w:rFonts w:cs="Arial"/>
        </w:rPr>
        <w:t>in sufficient time</w:t>
      </w:r>
      <w:r w:rsidR="003579F1" w:rsidRPr="00C41532">
        <w:rPr>
          <w:rFonts w:cs="Arial"/>
        </w:rPr>
        <w:t xml:space="preserve"> prior to the Technical Advisory Committee’s (TAC) March 9, 2026, Dispatchable Reliability Reserve Service (DRRS) Workshop No. 3 so that such feedback may be discussed at that </w:t>
      </w:r>
      <w:r w:rsidR="001562E3" w:rsidRPr="00C41532">
        <w:rPr>
          <w:rFonts w:cs="Arial"/>
        </w:rPr>
        <w:t>workshop</w:t>
      </w:r>
      <w:r w:rsidR="0086389E" w:rsidRPr="00C41532">
        <w:rPr>
          <w:rFonts w:cs="Arial"/>
        </w:rPr>
        <w:t xml:space="preserve">. </w:t>
      </w:r>
      <w:r w:rsidR="00595AE2" w:rsidRPr="00C41532">
        <w:rPr>
          <w:rFonts w:cs="Arial"/>
        </w:rPr>
        <w:t>ERCOT requested input on</w:t>
      </w:r>
      <w:r w:rsidR="005E440F" w:rsidRPr="00C41532">
        <w:rPr>
          <w:rFonts w:cs="Arial"/>
        </w:rPr>
        <w:t xml:space="preserve"> th</w:t>
      </w:r>
      <w:r w:rsidR="00972E0A" w:rsidRPr="00C41532">
        <w:rPr>
          <w:rFonts w:cs="Arial"/>
        </w:rPr>
        <w:t>e</w:t>
      </w:r>
      <w:r w:rsidR="005E440F" w:rsidRPr="00C41532">
        <w:rPr>
          <w:rFonts w:cs="Arial"/>
        </w:rPr>
        <w:t xml:space="preserve"> questions</w:t>
      </w:r>
      <w:r w:rsidR="00972E0A" w:rsidRPr="00C41532">
        <w:rPr>
          <w:rFonts w:cs="Arial"/>
        </w:rPr>
        <w:t xml:space="preserve"> </w:t>
      </w:r>
      <w:r w:rsidR="00BF3BC5">
        <w:rPr>
          <w:rFonts w:cs="Arial"/>
        </w:rPr>
        <w:t xml:space="preserve">below </w:t>
      </w:r>
      <w:r w:rsidR="00595AE2" w:rsidRPr="00C41532">
        <w:rPr>
          <w:rFonts w:cs="Arial"/>
        </w:rPr>
        <w:t xml:space="preserve">to assist the ERCOT Board </w:t>
      </w:r>
      <w:r w:rsidR="00202F85">
        <w:rPr>
          <w:rFonts w:cs="Arial"/>
        </w:rPr>
        <w:t xml:space="preserve">of Directors </w:t>
      </w:r>
      <w:r w:rsidR="00595AE2" w:rsidRPr="00C41532">
        <w:rPr>
          <w:rFonts w:cs="Arial"/>
        </w:rPr>
        <w:t xml:space="preserve">and Public Utility Commission </w:t>
      </w:r>
      <w:r w:rsidR="00653139">
        <w:rPr>
          <w:rFonts w:cs="Arial"/>
        </w:rPr>
        <w:t xml:space="preserve">of Texas (PUCT) </w:t>
      </w:r>
      <w:r w:rsidR="00595AE2" w:rsidRPr="00C41532">
        <w:rPr>
          <w:rFonts w:cs="Arial"/>
        </w:rPr>
        <w:t>regarding</w:t>
      </w:r>
      <w:r w:rsidR="00551B7E" w:rsidRPr="00C41532">
        <w:rPr>
          <w:rFonts w:cs="Arial"/>
        </w:rPr>
        <w:t xml:space="preserve"> decisions on </w:t>
      </w:r>
      <w:r w:rsidR="00595AE2" w:rsidRPr="00C41532">
        <w:rPr>
          <w:rFonts w:cs="Arial"/>
        </w:rPr>
        <w:t xml:space="preserve">relevant </w:t>
      </w:r>
      <w:r w:rsidR="00972E0A" w:rsidRPr="00C41532">
        <w:rPr>
          <w:rFonts w:cs="Arial"/>
        </w:rPr>
        <w:t xml:space="preserve">design questions </w:t>
      </w:r>
      <w:r w:rsidR="00595AE2" w:rsidRPr="00C41532">
        <w:rPr>
          <w:rFonts w:cs="Arial"/>
        </w:rPr>
        <w:t xml:space="preserve">that should be considered </w:t>
      </w:r>
      <w:r w:rsidR="007758AF">
        <w:rPr>
          <w:rFonts w:cs="Arial"/>
        </w:rPr>
        <w:t>for</w:t>
      </w:r>
      <w:r w:rsidR="00972E0A" w:rsidRPr="00C41532">
        <w:rPr>
          <w:rFonts w:cs="Arial"/>
        </w:rPr>
        <w:t xml:space="preserve"> </w:t>
      </w:r>
      <w:r w:rsidR="00607249">
        <w:rPr>
          <w:rFonts w:cs="Arial"/>
        </w:rPr>
        <w:t>Energy Storage Resources (</w:t>
      </w:r>
      <w:r w:rsidR="00972E0A" w:rsidRPr="00C41532">
        <w:rPr>
          <w:rFonts w:cs="Arial"/>
        </w:rPr>
        <w:t>ESRs</w:t>
      </w:r>
      <w:r w:rsidR="00607249">
        <w:rPr>
          <w:rFonts w:cs="Arial"/>
        </w:rPr>
        <w:t>)</w:t>
      </w:r>
      <w:r w:rsidR="00972E0A" w:rsidRPr="00C41532">
        <w:rPr>
          <w:rFonts w:cs="Arial"/>
        </w:rPr>
        <w:t xml:space="preserve"> </w:t>
      </w:r>
      <w:r w:rsidR="007758AF">
        <w:rPr>
          <w:rFonts w:cs="Arial"/>
        </w:rPr>
        <w:t xml:space="preserve">to </w:t>
      </w:r>
      <w:r w:rsidR="00972E0A" w:rsidRPr="00C41532">
        <w:rPr>
          <w:rFonts w:cs="Arial"/>
        </w:rPr>
        <w:t>participate in DRRS</w:t>
      </w:r>
      <w:r w:rsidR="00E02F7A" w:rsidRPr="00C41532">
        <w:rPr>
          <w:rFonts w:cs="Arial"/>
        </w:rPr>
        <w:t>.</w:t>
      </w:r>
    </w:p>
    <w:p w14:paraId="3090AB31" w14:textId="097D5EF0" w:rsidR="008B21B4" w:rsidRDefault="00792BF0" w:rsidP="00891B29">
      <w:pPr>
        <w:pStyle w:val="NormalArial"/>
        <w:spacing w:before="120" w:after="120"/>
        <w:jc w:val="both"/>
        <w:rPr>
          <w:rFonts w:cs="Arial"/>
        </w:rPr>
      </w:pPr>
      <w:r>
        <w:rPr>
          <w:rFonts w:cs="Arial"/>
        </w:rPr>
        <w:t xml:space="preserve">As discussed in the </w:t>
      </w:r>
      <w:r w:rsidR="00CB6496">
        <w:rPr>
          <w:rFonts w:cs="Arial"/>
        </w:rPr>
        <w:t xml:space="preserve">comments </w:t>
      </w:r>
      <w:bookmarkStart w:id="2" w:name="_Hlk223624342"/>
      <w:r w:rsidR="00CB126A">
        <w:rPr>
          <w:rFonts w:cs="Arial"/>
        </w:rPr>
        <w:t>on NPRR1309</w:t>
      </w:r>
      <w:r w:rsidR="00607249">
        <w:rPr>
          <w:rFonts w:cs="Arial"/>
        </w:rPr>
        <w:t xml:space="preserve">, </w:t>
      </w:r>
      <w:r w:rsidR="00607249" w:rsidRPr="00607249">
        <w:rPr>
          <w:rFonts w:cs="Arial"/>
        </w:rPr>
        <w:t>Board Priority - Dispatchable Reliability Reserve Service Ancillary Service</w:t>
      </w:r>
      <w:r w:rsidR="00607249">
        <w:rPr>
          <w:rFonts w:cs="Arial"/>
        </w:rPr>
        <w:t>,</w:t>
      </w:r>
      <w:r w:rsidR="00CB126A">
        <w:rPr>
          <w:rFonts w:cs="Arial"/>
        </w:rPr>
        <w:t xml:space="preserve"> </w:t>
      </w:r>
      <w:bookmarkEnd w:id="2"/>
      <w:r w:rsidR="006008E5">
        <w:rPr>
          <w:rFonts w:cs="Arial"/>
        </w:rPr>
        <w:t xml:space="preserve">that </w:t>
      </w:r>
      <w:r w:rsidR="00CB6496">
        <w:rPr>
          <w:rFonts w:cs="Arial"/>
        </w:rPr>
        <w:t xml:space="preserve">Joint ESR Commenters submitted on February 14, 2026, Joint ESR Commentors agree with the comments filed by Sierra Club, </w:t>
      </w:r>
      <w:r w:rsidR="00C91ED3">
        <w:rPr>
          <w:rFonts w:cs="Arial"/>
        </w:rPr>
        <w:t>Texas Solar+Storage Association</w:t>
      </w:r>
      <w:r w:rsidR="00BF3BC5">
        <w:rPr>
          <w:rFonts w:cs="Arial"/>
        </w:rPr>
        <w:t xml:space="preserve"> (TSSA)</w:t>
      </w:r>
      <w:r w:rsidR="00C91ED3">
        <w:rPr>
          <w:rFonts w:cs="Arial"/>
        </w:rPr>
        <w:t xml:space="preserve">, </w:t>
      </w:r>
      <w:r w:rsidR="009F59C9">
        <w:rPr>
          <w:rFonts w:cs="Arial"/>
        </w:rPr>
        <w:t>Joint Commenters (Jupiter Power LLC and Engie North Ame</w:t>
      </w:r>
      <w:r w:rsidR="00255C57">
        <w:rPr>
          <w:rFonts w:cs="Arial"/>
        </w:rPr>
        <w:t>r</w:t>
      </w:r>
      <w:r w:rsidR="009F59C9">
        <w:rPr>
          <w:rFonts w:cs="Arial"/>
        </w:rPr>
        <w:t>ica)</w:t>
      </w:r>
      <w:r w:rsidR="00255C57">
        <w:rPr>
          <w:rFonts w:cs="Arial"/>
        </w:rPr>
        <w:t xml:space="preserve">, </w:t>
      </w:r>
      <w:r w:rsidR="00BC3B2D">
        <w:rPr>
          <w:rFonts w:cs="Arial"/>
        </w:rPr>
        <w:t xml:space="preserve">Advanced Power Alliance </w:t>
      </w:r>
      <w:r w:rsidR="00BF3BC5">
        <w:rPr>
          <w:rFonts w:cs="Arial"/>
        </w:rPr>
        <w:t xml:space="preserve">(APA) </w:t>
      </w:r>
      <w:r w:rsidR="00BC3B2D">
        <w:rPr>
          <w:rFonts w:cs="Arial"/>
        </w:rPr>
        <w:t>and American Clean Power</w:t>
      </w:r>
      <w:r w:rsidR="000552BD">
        <w:rPr>
          <w:rFonts w:cs="Arial"/>
        </w:rPr>
        <w:t xml:space="preserve"> </w:t>
      </w:r>
      <w:r w:rsidR="003A5743">
        <w:rPr>
          <w:rFonts w:cs="Arial"/>
        </w:rPr>
        <w:t>Associatio</w:t>
      </w:r>
      <w:r w:rsidR="00135A3F">
        <w:rPr>
          <w:rFonts w:cs="Arial"/>
        </w:rPr>
        <w:t xml:space="preserve">n </w:t>
      </w:r>
      <w:r w:rsidR="000552BD">
        <w:rPr>
          <w:rFonts w:cs="Arial"/>
        </w:rPr>
        <w:t>(ACP)</w:t>
      </w:r>
      <w:r w:rsidR="00BC3B2D">
        <w:rPr>
          <w:rFonts w:cs="Arial"/>
        </w:rPr>
        <w:t xml:space="preserve">, </w:t>
      </w:r>
      <w:r w:rsidR="00DB2140">
        <w:rPr>
          <w:rFonts w:cs="Arial"/>
        </w:rPr>
        <w:t xml:space="preserve">and </w:t>
      </w:r>
      <w:r w:rsidR="00642F7F">
        <w:rPr>
          <w:rFonts w:cs="Arial"/>
        </w:rPr>
        <w:t>the Texas Energy Buyers Alliance</w:t>
      </w:r>
      <w:r w:rsidR="00DB2140">
        <w:rPr>
          <w:rFonts w:cs="Arial"/>
        </w:rPr>
        <w:t xml:space="preserve"> </w:t>
      </w:r>
      <w:r w:rsidR="00737849">
        <w:rPr>
          <w:rFonts w:cs="Arial"/>
        </w:rPr>
        <w:t xml:space="preserve">(TEBA) </w:t>
      </w:r>
      <w:r w:rsidR="00DB2140">
        <w:rPr>
          <w:rFonts w:cs="Arial"/>
        </w:rPr>
        <w:t xml:space="preserve">that </w:t>
      </w:r>
      <w:r w:rsidR="00600ACA">
        <w:rPr>
          <w:rFonts w:cs="Arial"/>
        </w:rPr>
        <w:t>ESRs should be allowed to provide DRRS at its inception</w:t>
      </w:r>
      <w:r w:rsidR="004852EB">
        <w:rPr>
          <w:rFonts w:cs="Arial"/>
        </w:rPr>
        <w:t xml:space="preserve">. </w:t>
      </w:r>
      <w:r w:rsidR="00020E73">
        <w:rPr>
          <w:rFonts w:cs="Arial"/>
        </w:rPr>
        <w:t xml:space="preserve"> Joint ESR Commenters support the proposed revisions to NPRR1309 proposed by Joint Commenters</w:t>
      </w:r>
      <w:r w:rsidR="006008E5">
        <w:rPr>
          <w:rFonts w:cs="Arial"/>
        </w:rPr>
        <w:t xml:space="preserve"> (Jupiter Power LLC and Engie North America)</w:t>
      </w:r>
      <w:r w:rsidR="0086389E">
        <w:rPr>
          <w:rFonts w:cs="Arial"/>
        </w:rPr>
        <w:t xml:space="preserve">. </w:t>
      </w:r>
    </w:p>
    <w:p w14:paraId="24B7327A" w14:textId="551966EC" w:rsidR="00B51A36" w:rsidRPr="00C41532" w:rsidRDefault="00E268A7" w:rsidP="00891B29">
      <w:pPr>
        <w:pStyle w:val="NormalArial"/>
        <w:spacing w:before="120" w:after="120"/>
        <w:jc w:val="both"/>
        <w:rPr>
          <w:rFonts w:cs="Arial"/>
          <w:color w:val="000000"/>
        </w:rPr>
      </w:pPr>
      <w:r w:rsidRPr="00E268A7">
        <w:rPr>
          <w:rFonts w:cs="Arial"/>
        </w:rPr>
        <w:t xml:space="preserve">Consistent with other ERCOT </w:t>
      </w:r>
      <w:r w:rsidR="00607249">
        <w:rPr>
          <w:rFonts w:cs="Arial"/>
        </w:rPr>
        <w:t>A</w:t>
      </w:r>
      <w:r w:rsidR="006643BB">
        <w:rPr>
          <w:rFonts w:cs="Arial"/>
        </w:rPr>
        <w:t xml:space="preserve">ncillary </w:t>
      </w:r>
      <w:r w:rsidR="00607249">
        <w:rPr>
          <w:rFonts w:cs="Arial"/>
        </w:rPr>
        <w:t>S</w:t>
      </w:r>
      <w:r w:rsidRPr="00E268A7">
        <w:rPr>
          <w:rFonts w:cs="Arial"/>
        </w:rPr>
        <w:t xml:space="preserve">ervices, we note that meeting the operational needs of the DRRS should </w:t>
      </w:r>
      <w:proofErr w:type="gramStart"/>
      <w:r w:rsidRPr="00E268A7">
        <w:rPr>
          <w:rFonts w:cs="Arial"/>
        </w:rPr>
        <w:t>not nor does it</w:t>
      </w:r>
      <w:proofErr w:type="gramEnd"/>
      <w:r w:rsidRPr="00E268A7">
        <w:rPr>
          <w:rFonts w:cs="Arial"/>
        </w:rPr>
        <w:t xml:space="preserve"> require a battery to solely be a four-hour duration resource.</w:t>
      </w:r>
      <w:r w:rsidR="006643BB">
        <w:rPr>
          <w:rFonts w:cs="Arial"/>
        </w:rPr>
        <w:t xml:space="preserve"> </w:t>
      </w:r>
      <w:r w:rsidR="00B51A36" w:rsidRPr="00C41532">
        <w:rPr>
          <w:rFonts w:cs="Arial"/>
          <w:color w:val="000000"/>
        </w:rPr>
        <w:t xml:space="preserve">Just as a shorter duration battery can derate as necessary to provide any other </w:t>
      </w:r>
      <w:r w:rsidR="00607249">
        <w:rPr>
          <w:rFonts w:cs="Arial"/>
          <w:color w:val="000000"/>
        </w:rPr>
        <w:t>A</w:t>
      </w:r>
      <w:r w:rsidR="00B51A36" w:rsidRPr="00C41532">
        <w:rPr>
          <w:rFonts w:cs="Arial"/>
          <w:color w:val="000000"/>
        </w:rPr>
        <w:t>ncillary </w:t>
      </w:r>
      <w:r w:rsidR="00607249">
        <w:rPr>
          <w:rFonts w:cs="Arial"/>
          <w:color w:val="000000"/>
        </w:rPr>
        <w:t>S</w:t>
      </w:r>
      <w:r w:rsidR="00B51A36" w:rsidRPr="00C41532">
        <w:rPr>
          <w:rFonts w:cs="Arial"/>
          <w:color w:val="000000"/>
        </w:rPr>
        <w:t xml:space="preserve">ervice that it is eligible to provide (e.g., </w:t>
      </w:r>
      <w:r w:rsidR="00F171A9">
        <w:rPr>
          <w:rFonts w:cs="Arial"/>
          <w:color w:val="000000"/>
        </w:rPr>
        <w:t>Non-Spin</w:t>
      </w:r>
      <w:r w:rsidR="00792384">
        <w:rPr>
          <w:rFonts w:cs="Arial"/>
          <w:color w:val="000000"/>
        </w:rPr>
        <w:t>ning Reserve (Non-</w:t>
      </w:r>
      <w:r w:rsidR="00792384">
        <w:rPr>
          <w:rFonts w:cs="Arial"/>
          <w:color w:val="000000"/>
        </w:rPr>
        <w:lastRenderedPageBreak/>
        <w:t>Spin)</w:t>
      </w:r>
      <w:r w:rsidR="00F171A9">
        <w:rPr>
          <w:rFonts w:cs="Arial"/>
          <w:color w:val="000000"/>
        </w:rPr>
        <w:t xml:space="preserve"> </w:t>
      </w:r>
      <w:r w:rsidR="00B51A36" w:rsidRPr="00C41532">
        <w:rPr>
          <w:rFonts w:cs="Arial"/>
          <w:color w:val="000000"/>
        </w:rPr>
        <w:t xml:space="preserve">or </w:t>
      </w:r>
      <w:r w:rsidR="000D028F">
        <w:rPr>
          <w:rFonts w:cs="Arial"/>
          <w:color w:val="000000"/>
        </w:rPr>
        <w:t>E</w:t>
      </w:r>
      <w:r w:rsidR="00F171A9">
        <w:rPr>
          <w:rFonts w:cs="Arial"/>
          <w:color w:val="000000"/>
        </w:rPr>
        <w:t>RCOT Contingency Reserve Service</w:t>
      </w:r>
      <w:r w:rsidR="00235525">
        <w:rPr>
          <w:rFonts w:cs="Arial"/>
          <w:color w:val="000000"/>
        </w:rPr>
        <w:t xml:space="preserve"> (ECRS)</w:t>
      </w:r>
      <w:r w:rsidR="00B51A36" w:rsidRPr="00C41532">
        <w:rPr>
          <w:rFonts w:cs="Arial"/>
          <w:color w:val="000000"/>
        </w:rPr>
        <w:t>), a battery may sacrifice economically to operate that way, but a derated battery is providing the same operational and reliability benefit to the grid</w:t>
      </w:r>
      <w:r w:rsidR="00C41532">
        <w:rPr>
          <w:rFonts w:cs="Arial"/>
          <w:color w:val="000000"/>
        </w:rPr>
        <w:t xml:space="preserve"> </w:t>
      </w:r>
      <w:r w:rsidR="00235525">
        <w:rPr>
          <w:rFonts w:cs="Arial"/>
          <w:color w:val="000000"/>
        </w:rPr>
        <w:t xml:space="preserve">as long as </w:t>
      </w:r>
      <w:r w:rsidR="00C41532">
        <w:rPr>
          <w:rFonts w:cs="Arial"/>
          <w:color w:val="000000"/>
        </w:rPr>
        <w:t>it meets the requirements of the service</w:t>
      </w:r>
      <w:r w:rsidR="00B51A36" w:rsidRPr="00C41532">
        <w:rPr>
          <w:rFonts w:cs="Arial"/>
          <w:color w:val="000000"/>
        </w:rPr>
        <w:t>.</w:t>
      </w:r>
      <w:r w:rsidR="00AC0858">
        <w:rPr>
          <w:rFonts w:cs="Arial"/>
          <w:color w:val="000000"/>
        </w:rPr>
        <w:t xml:space="preserve">  This approach reflects </w:t>
      </w:r>
      <w:r w:rsidR="007152CC">
        <w:rPr>
          <w:rFonts w:cs="Arial"/>
          <w:color w:val="000000"/>
        </w:rPr>
        <w:t xml:space="preserve">innovations in the competitive market that can be brought to bear to </w:t>
      </w:r>
      <w:r w:rsidR="008E3BFF">
        <w:rPr>
          <w:rFonts w:cs="Arial"/>
          <w:color w:val="000000"/>
        </w:rPr>
        <w:t>ensure that ERCOT receives the operational benefits it needs</w:t>
      </w:r>
      <w:r w:rsidR="005A5F04">
        <w:rPr>
          <w:rFonts w:cs="Arial"/>
          <w:color w:val="000000"/>
        </w:rPr>
        <w:t>.</w:t>
      </w:r>
    </w:p>
    <w:p w14:paraId="40D01FA6" w14:textId="5BCAF748" w:rsidR="00595AE2" w:rsidRDefault="005A5F04" w:rsidP="00891B29">
      <w:pPr>
        <w:pStyle w:val="NormalArial"/>
        <w:spacing w:before="120" w:after="120"/>
        <w:jc w:val="both"/>
        <w:rPr>
          <w:rFonts w:cs="Arial"/>
          <w:color w:val="0E0E0E"/>
        </w:rPr>
      </w:pPr>
      <w:r>
        <w:rPr>
          <w:rFonts w:cs="Arial"/>
          <w:color w:val="000000"/>
        </w:rPr>
        <w:t>When the Legislature enacted Utilities Code §</w:t>
      </w:r>
      <w:r w:rsidR="00415EF6">
        <w:rPr>
          <w:rFonts w:cs="Arial"/>
          <w:color w:val="000000"/>
        </w:rPr>
        <w:t>39.159(d)</w:t>
      </w:r>
      <w:r w:rsidR="00C158BD">
        <w:rPr>
          <w:rFonts w:cs="Arial"/>
          <w:color w:val="000000"/>
        </w:rPr>
        <w:t xml:space="preserve"> that has led to the development of DRRS</w:t>
      </w:r>
      <w:r w:rsidR="00415EF6">
        <w:rPr>
          <w:rFonts w:cs="Arial"/>
          <w:color w:val="000000"/>
        </w:rPr>
        <w:t xml:space="preserve">, </w:t>
      </w:r>
      <w:r w:rsidR="00C158BD">
        <w:rPr>
          <w:rFonts w:cs="Arial"/>
          <w:color w:val="000000"/>
        </w:rPr>
        <w:t xml:space="preserve">the Legislature </w:t>
      </w:r>
      <w:r w:rsidR="00415EF6">
        <w:rPr>
          <w:rFonts w:cs="Arial"/>
          <w:color w:val="000000"/>
        </w:rPr>
        <w:t xml:space="preserve">established </w:t>
      </w:r>
      <w:r w:rsidR="00C41532" w:rsidRPr="00C41532">
        <w:rPr>
          <w:rFonts w:cs="Arial"/>
          <w:color w:val="000000"/>
        </w:rPr>
        <w:t xml:space="preserve">the overarching policy requirements for </w:t>
      </w:r>
      <w:r w:rsidR="00C158BD">
        <w:rPr>
          <w:rFonts w:cs="Arial"/>
          <w:color w:val="000000"/>
        </w:rPr>
        <w:t xml:space="preserve">DRRS </w:t>
      </w:r>
      <w:r w:rsidR="00C41532" w:rsidRPr="00C41532">
        <w:rPr>
          <w:rFonts w:cs="Arial"/>
          <w:color w:val="000000"/>
        </w:rPr>
        <w:t>to support reliable operation of the grid</w:t>
      </w:r>
      <w:r w:rsidR="008B6904">
        <w:rPr>
          <w:rFonts w:cs="Arial"/>
          <w:color w:val="000000"/>
        </w:rPr>
        <w:t xml:space="preserve"> </w:t>
      </w:r>
      <w:r w:rsidR="00FC4653">
        <w:rPr>
          <w:rFonts w:cs="Arial"/>
          <w:color w:val="000000"/>
        </w:rPr>
        <w:t xml:space="preserve">by requiring the service </w:t>
      </w:r>
      <w:r w:rsidR="00B259FA">
        <w:rPr>
          <w:rFonts w:cs="Arial"/>
          <w:color w:val="000000"/>
        </w:rPr>
        <w:t>“to account for market uncertainty”</w:t>
      </w:r>
      <w:r w:rsidR="00FC4653">
        <w:rPr>
          <w:rFonts w:cs="Arial"/>
          <w:color w:val="000000"/>
        </w:rPr>
        <w:t>.</w:t>
      </w:r>
      <w:r w:rsidR="00D56AC7">
        <w:rPr>
          <w:rStyle w:val="FootnoteReference"/>
          <w:rFonts w:cs="Arial"/>
          <w:color w:val="000000"/>
        </w:rPr>
        <w:footnoteReference w:id="1"/>
      </w:r>
      <w:r w:rsidR="00FC4653">
        <w:rPr>
          <w:rFonts w:cs="Arial"/>
          <w:color w:val="000000"/>
        </w:rPr>
        <w:t xml:space="preserve">  </w:t>
      </w:r>
      <w:r w:rsidR="004768DC">
        <w:rPr>
          <w:rFonts w:cs="Arial"/>
          <w:color w:val="000000"/>
        </w:rPr>
        <w:t xml:space="preserve">This policy directive from the Legislature still allows </w:t>
      </w:r>
      <w:r w:rsidR="00C41532" w:rsidRPr="00C41532">
        <w:rPr>
          <w:rFonts w:cs="Arial"/>
          <w:color w:val="000000"/>
        </w:rPr>
        <w:t xml:space="preserve">the </w:t>
      </w:r>
      <w:r w:rsidR="00813F76">
        <w:rPr>
          <w:rFonts w:cs="Arial"/>
          <w:color w:val="000000"/>
        </w:rPr>
        <w:t xml:space="preserve">competitive </w:t>
      </w:r>
      <w:r w:rsidR="00C41532" w:rsidRPr="00C41532">
        <w:rPr>
          <w:rFonts w:cs="Arial"/>
          <w:color w:val="000000"/>
        </w:rPr>
        <w:t>market to innovate to find the best solutions to meet those requirements.</w:t>
      </w:r>
      <w:r w:rsidR="006D2D74" w:rsidRPr="00C41532">
        <w:rPr>
          <w:rFonts w:cs="Arial"/>
          <w:color w:val="000000"/>
        </w:rPr>
        <w:t xml:space="preserve"> Accordingly, </w:t>
      </w:r>
      <w:r w:rsidR="006D2D74" w:rsidRPr="00C41532">
        <w:rPr>
          <w:rFonts w:cs="Arial"/>
        </w:rPr>
        <w:t xml:space="preserve">ERCOT should develop DRRS in a manner that allows all eligible dispatchable </w:t>
      </w:r>
      <w:r w:rsidR="00813F76">
        <w:rPr>
          <w:rFonts w:cs="Arial"/>
        </w:rPr>
        <w:t>r</w:t>
      </w:r>
      <w:r w:rsidR="006D2D74" w:rsidRPr="00C41532">
        <w:rPr>
          <w:rFonts w:cs="Arial"/>
        </w:rPr>
        <w:t xml:space="preserve">esources that can meet the statutory requirements, including ESRs, to provide DRRS. </w:t>
      </w:r>
      <w:r w:rsidR="006D2D74" w:rsidRPr="00C41532">
        <w:rPr>
          <w:rFonts w:cs="Arial"/>
          <w:color w:val="0E0E0E"/>
        </w:rPr>
        <w:t>In accordance with the plain language of the statute, and</w:t>
      </w:r>
      <w:r w:rsidR="00C94CF6">
        <w:rPr>
          <w:rFonts w:cs="Arial"/>
          <w:color w:val="0E0E0E"/>
        </w:rPr>
        <w:t>,</w:t>
      </w:r>
      <w:r w:rsidR="006D2D74" w:rsidRPr="00C41532">
        <w:rPr>
          <w:rFonts w:cs="Arial"/>
          <w:color w:val="0E0E0E"/>
        </w:rPr>
        <w:t xml:space="preserve"> consistent with ERCOT’s established market design approach, eligibility under DRRS should be based on whether a resource can meet the statutory duration, availability, and dispatchability requirements, and specific resource types, such as ESRs, should not be excluded if they can meet th</w:t>
      </w:r>
      <w:r w:rsidR="007F3C16">
        <w:rPr>
          <w:rFonts w:cs="Arial"/>
          <w:color w:val="0E0E0E"/>
        </w:rPr>
        <w:t xml:space="preserve">ose </w:t>
      </w:r>
      <w:r w:rsidR="006D2D74" w:rsidRPr="00C41532">
        <w:rPr>
          <w:rFonts w:cs="Arial"/>
          <w:color w:val="0E0E0E"/>
        </w:rPr>
        <w:t>requirements</w:t>
      </w:r>
      <w:r w:rsidR="00C41532">
        <w:rPr>
          <w:rFonts w:cs="Arial"/>
          <w:color w:val="0E0E0E"/>
        </w:rPr>
        <w:t xml:space="preserve">. </w:t>
      </w:r>
    </w:p>
    <w:p w14:paraId="18D696BA" w14:textId="71B9CDDD" w:rsidR="00E268A7" w:rsidRDefault="00E268A7" w:rsidP="00891B29">
      <w:pPr>
        <w:pStyle w:val="NormalArial"/>
        <w:spacing w:before="120" w:after="120"/>
        <w:jc w:val="both"/>
        <w:rPr>
          <w:rFonts w:cs="Arial"/>
          <w:color w:val="0E0E0E"/>
        </w:rPr>
      </w:pPr>
      <w:r>
        <w:rPr>
          <w:rFonts w:cs="Arial"/>
        </w:rPr>
        <w:t xml:space="preserve">In their </w:t>
      </w:r>
      <w:r w:rsidR="006643BB">
        <w:rPr>
          <w:rFonts w:cs="Arial"/>
        </w:rPr>
        <w:t xml:space="preserve">earlier </w:t>
      </w:r>
      <w:r>
        <w:rPr>
          <w:rFonts w:cs="Arial"/>
        </w:rPr>
        <w:t>comments</w:t>
      </w:r>
      <w:r w:rsidR="006643BB">
        <w:rPr>
          <w:rFonts w:cs="Arial"/>
        </w:rPr>
        <w:t xml:space="preserve"> on NPRR1309</w:t>
      </w:r>
      <w:r>
        <w:rPr>
          <w:rFonts w:cs="Arial"/>
        </w:rPr>
        <w:t xml:space="preserve">, Joint </w:t>
      </w:r>
      <w:r w:rsidRPr="00C41532">
        <w:rPr>
          <w:rFonts w:cs="Arial"/>
        </w:rPr>
        <w:t>ESR</w:t>
      </w:r>
      <w:r>
        <w:rPr>
          <w:rFonts w:cs="Arial"/>
        </w:rPr>
        <w:t xml:space="preserve"> Commenter</w:t>
      </w:r>
      <w:r w:rsidRPr="00C41532">
        <w:rPr>
          <w:rFonts w:cs="Arial"/>
        </w:rPr>
        <w:t xml:space="preserve">s </w:t>
      </w:r>
      <w:r>
        <w:rPr>
          <w:rFonts w:cs="Arial"/>
        </w:rPr>
        <w:t xml:space="preserve">also note that </w:t>
      </w:r>
      <w:r w:rsidRPr="00C41532">
        <w:rPr>
          <w:rFonts w:cs="Arial"/>
          <w:color w:val="000000"/>
        </w:rPr>
        <w:t xml:space="preserve">the </w:t>
      </w:r>
      <w:r>
        <w:rPr>
          <w:rFonts w:cs="Arial"/>
          <w:color w:val="000000"/>
        </w:rPr>
        <w:t>four</w:t>
      </w:r>
      <w:r w:rsidRPr="00C41532">
        <w:rPr>
          <w:rFonts w:cs="Arial"/>
          <w:color w:val="000000"/>
        </w:rPr>
        <w:t xml:space="preserve">-hour duration that was established in the DRRS legislation in 2023 is a market signal to support the development of </w:t>
      </w:r>
      <w:r>
        <w:rPr>
          <w:rFonts w:cs="Arial"/>
          <w:color w:val="000000"/>
        </w:rPr>
        <w:t>four-h</w:t>
      </w:r>
      <w:r w:rsidRPr="00C41532">
        <w:rPr>
          <w:rFonts w:cs="Arial"/>
          <w:color w:val="000000"/>
        </w:rPr>
        <w:t>our duration resources</w:t>
      </w:r>
      <w:r w:rsidR="0086389E">
        <w:rPr>
          <w:rFonts w:cs="Arial"/>
          <w:color w:val="000000"/>
        </w:rPr>
        <w:t xml:space="preserve">. </w:t>
      </w:r>
      <w:r>
        <w:rPr>
          <w:rFonts w:cs="Arial"/>
          <w:color w:val="000000"/>
        </w:rPr>
        <w:t xml:space="preserve">Such </w:t>
      </w:r>
      <w:r w:rsidRPr="00C41532">
        <w:rPr>
          <w:rFonts w:cs="Arial"/>
          <w:color w:val="000000"/>
        </w:rPr>
        <w:t>resources would be able to realize 100% of the available revenue for the capacity they bid into DRRS</w:t>
      </w:r>
      <w:r w:rsidR="0086389E" w:rsidRPr="00C41532">
        <w:rPr>
          <w:rFonts w:cs="Arial"/>
          <w:color w:val="000000"/>
        </w:rPr>
        <w:t xml:space="preserve">. </w:t>
      </w:r>
    </w:p>
    <w:p w14:paraId="7EE873FE" w14:textId="527DC688" w:rsidR="00C41532" w:rsidRDefault="00C41532" w:rsidP="00891B29">
      <w:pPr>
        <w:pStyle w:val="NormalArial"/>
        <w:spacing w:before="120" w:after="120"/>
        <w:jc w:val="both"/>
        <w:rPr>
          <w:rFonts w:cs="Arial"/>
          <w:color w:val="0E0E0E"/>
        </w:rPr>
      </w:pPr>
      <w:r>
        <w:rPr>
          <w:rFonts w:cs="Arial"/>
          <w:color w:val="0E0E0E"/>
        </w:rPr>
        <w:t>Joint ESR</w:t>
      </w:r>
      <w:r w:rsidR="002F089A">
        <w:rPr>
          <w:rFonts w:cs="Arial"/>
          <w:color w:val="0E0E0E"/>
        </w:rPr>
        <w:t xml:space="preserve"> Commenter</w:t>
      </w:r>
      <w:r>
        <w:rPr>
          <w:rFonts w:cs="Arial"/>
          <w:color w:val="0E0E0E"/>
        </w:rPr>
        <w:t xml:space="preserve">s respond to ERCOT’s questions as follows: </w:t>
      </w:r>
    </w:p>
    <w:p w14:paraId="351162DC" w14:textId="6483F189" w:rsidR="003579F1" w:rsidRPr="00E13FD4" w:rsidRDefault="0002137F" w:rsidP="00891B29">
      <w:pPr>
        <w:pStyle w:val="NormalArial"/>
        <w:numPr>
          <w:ilvl w:val="0"/>
          <w:numId w:val="3"/>
        </w:numPr>
        <w:spacing w:before="120" w:after="120"/>
        <w:ind w:left="360"/>
        <w:jc w:val="both"/>
        <w:rPr>
          <w:rFonts w:cs="Arial"/>
          <w:b/>
          <w:bCs/>
        </w:rPr>
      </w:pPr>
      <w:r w:rsidRPr="00E13FD4">
        <w:rPr>
          <w:rFonts w:cs="Arial"/>
          <w:b/>
          <w:bCs/>
        </w:rPr>
        <w:t>Public Utility Regulatory Act (PURA) § 39.159(d)(2)</w:t>
      </w:r>
      <w:r w:rsidR="001562E3" w:rsidRPr="00E13FD4">
        <w:rPr>
          <w:rFonts w:cs="Arial"/>
          <w:b/>
          <w:bCs/>
        </w:rPr>
        <w:t>(A)</w:t>
      </w:r>
      <w:r w:rsidRPr="00E13FD4">
        <w:rPr>
          <w:rFonts w:cs="Arial"/>
          <w:b/>
          <w:bCs/>
        </w:rPr>
        <w:t xml:space="preserve"> states</w:t>
      </w:r>
      <w:r w:rsidR="001562E3" w:rsidRPr="00E13FD4">
        <w:rPr>
          <w:rFonts w:cs="Arial"/>
          <w:b/>
          <w:bCs/>
        </w:rPr>
        <w:t xml:space="preserve"> that the criteria for resource participation [in DRRS] must require a resource to:</w:t>
      </w:r>
      <w:r w:rsidRPr="00E13FD4">
        <w:rPr>
          <w:rFonts w:cs="Arial"/>
          <w:b/>
          <w:bCs/>
        </w:rPr>
        <w:t xml:space="preserve"> “</w:t>
      </w:r>
      <w:r w:rsidR="001562E3" w:rsidRPr="00E13FD4">
        <w:rPr>
          <w:rFonts w:cs="Arial"/>
          <w:b/>
          <w:bCs/>
        </w:rPr>
        <w:t>be capable of running for at least four hours at the resource’s high sustained limit.”  If ESRs were to participate in DRRS, how should that statutory reference to High Sustained Limit (HSL) be interpreted for ESRs’ participation in DRRS</w:t>
      </w:r>
      <w:r w:rsidR="0086389E" w:rsidRPr="00E13FD4">
        <w:rPr>
          <w:rFonts w:cs="Arial"/>
          <w:b/>
          <w:bCs/>
        </w:rPr>
        <w:t xml:space="preserve">? </w:t>
      </w:r>
      <w:r w:rsidR="00D313D7" w:rsidRPr="00E13FD4">
        <w:rPr>
          <w:rFonts w:cs="Arial"/>
          <w:b/>
          <w:bCs/>
        </w:rPr>
        <w:t xml:space="preserve">Please also describe </w:t>
      </w:r>
      <w:r w:rsidR="00065E3F" w:rsidRPr="00E13FD4">
        <w:rPr>
          <w:rFonts w:cs="Arial"/>
          <w:b/>
          <w:bCs/>
        </w:rPr>
        <w:t>the pros and cons to the ERCOT System of your interpretation compared to the pros and cons if an opposing interpretation were adopted.</w:t>
      </w:r>
    </w:p>
    <w:p w14:paraId="570AA5D7" w14:textId="48C21218" w:rsidR="008700CE" w:rsidRDefault="008700CE" w:rsidP="00891B29">
      <w:pPr>
        <w:pStyle w:val="NormalArial"/>
        <w:spacing w:before="120" w:after="120" w:line="276" w:lineRule="auto"/>
        <w:jc w:val="both"/>
        <w:rPr>
          <w:rFonts w:cs="Arial"/>
        </w:rPr>
      </w:pPr>
      <w:r w:rsidRPr="00C41532">
        <w:rPr>
          <w:rFonts w:cs="Arial"/>
        </w:rPr>
        <w:t xml:space="preserve">ERCOT </w:t>
      </w:r>
      <w:r w:rsidR="00B51A36" w:rsidRPr="00C41532">
        <w:rPr>
          <w:rFonts w:cs="Arial"/>
        </w:rPr>
        <w:t xml:space="preserve">correctly </w:t>
      </w:r>
      <w:r w:rsidRPr="00C41532">
        <w:rPr>
          <w:rFonts w:cs="Arial"/>
        </w:rPr>
        <w:t>addressed this question in their February 29, 2024, workshop presentation</w:t>
      </w:r>
      <w:r w:rsidR="00C41532">
        <w:rPr>
          <w:rFonts w:cs="Arial"/>
        </w:rPr>
        <w:t>:</w:t>
      </w:r>
      <w:r w:rsidRPr="00C41532">
        <w:rPr>
          <w:rFonts w:cs="Arial"/>
        </w:rPr>
        <w:t xml:space="preserve"> “Standalone DRRS Workshop 1- Concept Draft Proposal.” (See</w:t>
      </w:r>
      <w:r w:rsidR="00C41532">
        <w:rPr>
          <w:rFonts w:cs="Arial"/>
        </w:rPr>
        <w:t>, e.g.,</w:t>
      </w:r>
      <w:r w:rsidR="00B51A36" w:rsidRPr="00C41532">
        <w:rPr>
          <w:rFonts w:cs="Arial"/>
        </w:rPr>
        <w:t xml:space="preserve"> </w:t>
      </w:r>
      <w:r w:rsidRPr="00C41532">
        <w:rPr>
          <w:rFonts w:cs="Arial"/>
        </w:rPr>
        <w:t>slide 8)</w:t>
      </w:r>
      <w:r w:rsidR="007F3C16">
        <w:rPr>
          <w:rFonts w:cs="Arial"/>
        </w:rPr>
        <w:t>.</w:t>
      </w:r>
      <w:r w:rsidR="00492838">
        <w:rPr>
          <w:rStyle w:val="FootnoteReference"/>
          <w:rFonts w:cs="Arial"/>
        </w:rPr>
        <w:footnoteReference w:id="2"/>
      </w:r>
      <w:r w:rsidRPr="00C41532">
        <w:rPr>
          <w:rFonts w:cs="Arial"/>
        </w:rPr>
        <w:t xml:space="preserve"> For ESRs</w:t>
      </w:r>
      <w:r w:rsidR="00F879A6">
        <w:rPr>
          <w:rFonts w:cs="Arial"/>
        </w:rPr>
        <w:t>,</w:t>
      </w:r>
      <w:r w:rsidRPr="00C41532">
        <w:rPr>
          <w:rFonts w:cs="Arial"/>
        </w:rPr>
        <w:t xml:space="preserve"> the “high sustained limit” </w:t>
      </w:r>
      <w:r w:rsidR="00C41532">
        <w:rPr>
          <w:rFonts w:cs="Arial"/>
        </w:rPr>
        <w:t xml:space="preserve">(HSL) </w:t>
      </w:r>
      <w:r w:rsidRPr="00C41532">
        <w:rPr>
          <w:rFonts w:cs="Arial"/>
        </w:rPr>
        <w:t>in PURA §39.159(d)(2)(A) should be interpreted as the maximum DRRS-qualified output that the ESR can continuously sustain for at least four hours given its usable energy capacity and State of Charge (SOC) constraints</w:t>
      </w:r>
      <w:r w:rsidR="00F879A6">
        <w:rPr>
          <w:rFonts w:cs="Arial"/>
        </w:rPr>
        <w:t xml:space="preserve">.  The </w:t>
      </w:r>
      <w:r w:rsidRPr="00C41532">
        <w:rPr>
          <w:rFonts w:cs="Arial"/>
        </w:rPr>
        <w:t>ESR’s absolute nameplate maximum output</w:t>
      </w:r>
      <w:r w:rsidR="00F879A6">
        <w:rPr>
          <w:rFonts w:cs="Arial"/>
        </w:rPr>
        <w:t xml:space="preserve"> is not determinative</w:t>
      </w:r>
      <w:r w:rsidRPr="00C41532">
        <w:rPr>
          <w:rFonts w:cs="Arial"/>
        </w:rPr>
        <w:t xml:space="preserve">. For </w:t>
      </w:r>
      <w:r w:rsidRPr="00C41532">
        <w:rPr>
          <w:rFonts w:cs="Arial"/>
        </w:rPr>
        <w:lastRenderedPageBreak/>
        <w:t>example, a 100 MW/200 MWh ESR could qualify 50 MW of DRRS HSL because 200 MWh ÷ 50 MW = 4 hours</w:t>
      </w:r>
      <w:r w:rsidR="0086389E" w:rsidRPr="00C41532">
        <w:rPr>
          <w:rFonts w:cs="Arial"/>
        </w:rPr>
        <w:t>.</w:t>
      </w:r>
      <w:r w:rsidR="0086389E">
        <w:rPr>
          <w:rFonts w:cs="Arial"/>
        </w:rPr>
        <w:t xml:space="preserve"> </w:t>
      </w:r>
      <w:r w:rsidR="00891465">
        <w:rPr>
          <w:rFonts w:cs="Arial"/>
        </w:rPr>
        <w:t>The benefit of this approach is that it allow</w:t>
      </w:r>
      <w:r w:rsidR="00643CD7">
        <w:rPr>
          <w:rFonts w:cs="Arial"/>
        </w:rPr>
        <w:t>s</w:t>
      </w:r>
      <w:r w:rsidR="00891465">
        <w:rPr>
          <w:rFonts w:cs="Arial"/>
        </w:rPr>
        <w:t xml:space="preserve"> more resources to </w:t>
      </w:r>
      <w:r w:rsidR="00643CD7">
        <w:rPr>
          <w:rFonts w:cs="Arial"/>
        </w:rPr>
        <w:t xml:space="preserve">compete to </w:t>
      </w:r>
      <w:r w:rsidR="00891465">
        <w:rPr>
          <w:rFonts w:cs="Arial"/>
        </w:rPr>
        <w:t xml:space="preserve">provide the operational </w:t>
      </w:r>
      <w:r w:rsidR="00C61D53">
        <w:rPr>
          <w:rFonts w:cs="Arial"/>
        </w:rPr>
        <w:t xml:space="preserve">benefits </w:t>
      </w:r>
      <w:r w:rsidR="00891465">
        <w:rPr>
          <w:rFonts w:cs="Arial"/>
        </w:rPr>
        <w:t xml:space="preserve">that DRRS is legislatively intended to </w:t>
      </w:r>
      <w:r w:rsidR="009A3519">
        <w:rPr>
          <w:rFonts w:cs="Arial"/>
        </w:rPr>
        <w:t>meet.</w:t>
      </w:r>
    </w:p>
    <w:p w14:paraId="2D336165" w14:textId="3D888490" w:rsidR="00BD745A" w:rsidRDefault="009A3519" w:rsidP="00891B29">
      <w:pPr>
        <w:pStyle w:val="NormalArial"/>
        <w:spacing w:before="120" w:after="120" w:line="276" w:lineRule="auto"/>
        <w:jc w:val="both"/>
        <w:rPr>
          <w:rFonts w:cs="Arial"/>
        </w:rPr>
      </w:pPr>
      <w:r>
        <w:rPr>
          <w:rFonts w:cs="Arial"/>
        </w:rPr>
        <w:t>In contrast, u</w:t>
      </w:r>
      <w:r w:rsidR="00BD745A">
        <w:rPr>
          <w:rFonts w:cs="Arial"/>
        </w:rPr>
        <w:t xml:space="preserve">sing a strict nameplate criterion </w:t>
      </w:r>
      <w:r w:rsidR="00C61D53">
        <w:rPr>
          <w:rFonts w:cs="Arial"/>
        </w:rPr>
        <w:t xml:space="preserve">would </w:t>
      </w:r>
      <w:r w:rsidR="00BD745A">
        <w:rPr>
          <w:rFonts w:cs="Arial"/>
        </w:rPr>
        <w:t xml:space="preserve">substantially limit the pool of resources that can participate in the service, which reduces market liquidity, reduces competition, and raises costs for the market, ultimately harming customers. </w:t>
      </w:r>
    </w:p>
    <w:p w14:paraId="482224FF" w14:textId="19EEED28" w:rsidR="001562E3" w:rsidRPr="00F9723E" w:rsidRDefault="00D313D7" w:rsidP="00891B29">
      <w:pPr>
        <w:pStyle w:val="NormalArial"/>
        <w:numPr>
          <w:ilvl w:val="0"/>
          <w:numId w:val="3"/>
        </w:numPr>
        <w:spacing w:before="120" w:after="120"/>
        <w:ind w:left="360"/>
        <w:jc w:val="both"/>
        <w:rPr>
          <w:rFonts w:cs="Arial"/>
          <w:b/>
          <w:bCs/>
        </w:rPr>
      </w:pPr>
      <w:r w:rsidRPr="00F9723E">
        <w:rPr>
          <w:rFonts w:cs="Arial"/>
          <w:b/>
          <w:bCs/>
        </w:rPr>
        <w:t xml:space="preserve">If the reference to HSL in PURA § 39.159(d)(2)(A) were interpreted to mean an ESR’s </w:t>
      </w:r>
      <w:r w:rsidRPr="00F9723E">
        <w:rPr>
          <w:rFonts w:cs="Arial"/>
          <w:b/>
          <w:bCs/>
          <w:i/>
          <w:iCs/>
        </w:rPr>
        <w:t>nameplate</w:t>
      </w:r>
      <w:r w:rsidRPr="00F9723E">
        <w:rPr>
          <w:rFonts w:cs="Arial"/>
          <w:b/>
          <w:bCs/>
        </w:rPr>
        <w:t xml:space="preserve"> HSL (e.g., that a 100 megawatt (MW) / 100 megawatt hour (MWh) ESR is not permitted under that interpretation to adjust its HSL down such that a one-hour ESR can operate as a four-hour ESR), would </w:t>
      </w:r>
      <w:r w:rsidR="00656FF8" w:rsidRPr="00F9723E">
        <w:rPr>
          <w:rFonts w:cs="Arial"/>
          <w:b/>
          <w:bCs/>
        </w:rPr>
        <w:t>DRRS</w:t>
      </w:r>
      <w:r w:rsidR="00E02F7A" w:rsidRPr="00F9723E">
        <w:rPr>
          <w:rFonts w:cs="Arial"/>
          <w:b/>
          <w:bCs/>
        </w:rPr>
        <w:t xml:space="preserve"> </w:t>
      </w:r>
      <w:r w:rsidR="004653BC" w:rsidRPr="00F9723E">
        <w:rPr>
          <w:rFonts w:cs="Arial"/>
          <w:b/>
          <w:bCs/>
        </w:rPr>
        <w:t xml:space="preserve">participation likely provide sufficient </w:t>
      </w:r>
      <w:r w:rsidRPr="00F9723E">
        <w:rPr>
          <w:rFonts w:cs="Arial"/>
          <w:b/>
          <w:bCs/>
        </w:rPr>
        <w:t>incentiv</w:t>
      </w:r>
      <w:r w:rsidR="005A1814" w:rsidRPr="00F9723E">
        <w:rPr>
          <w:rFonts w:cs="Arial"/>
          <w:b/>
          <w:bCs/>
        </w:rPr>
        <w:t>e for</w:t>
      </w:r>
      <w:r w:rsidRPr="00F9723E">
        <w:rPr>
          <w:rFonts w:cs="Arial"/>
          <w:b/>
          <w:bCs/>
        </w:rPr>
        <w:t xml:space="preserve"> </w:t>
      </w:r>
      <w:r w:rsidR="00656FF8" w:rsidRPr="00F9723E">
        <w:rPr>
          <w:rFonts w:cs="Arial"/>
          <w:b/>
          <w:bCs/>
        </w:rPr>
        <w:t xml:space="preserve">ESR developers </w:t>
      </w:r>
      <w:r w:rsidRPr="00F9723E">
        <w:rPr>
          <w:rFonts w:cs="Arial"/>
          <w:b/>
          <w:bCs/>
        </w:rPr>
        <w:t>to build longer, four-hour-plus duration ESRs in the ERCOT Region (e.g., a 100 MW / 400 MWh ESR)?</w:t>
      </w:r>
      <w:r w:rsidR="00656FF8" w:rsidRPr="00F9723E">
        <w:rPr>
          <w:rFonts w:cs="Arial"/>
          <w:b/>
          <w:bCs/>
        </w:rPr>
        <w:t xml:space="preserve">  If your response depends on what the value of </w:t>
      </w:r>
      <w:r w:rsidR="00FB38F7" w:rsidRPr="00F9723E">
        <w:rPr>
          <w:rFonts w:cs="Arial"/>
          <w:b/>
          <w:bCs/>
        </w:rPr>
        <w:t xml:space="preserve">the </w:t>
      </w:r>
      <w:r w:rsidR="00656FF8" w:rsidRPr="00F9723E">
        <w:rPr>
          <w:rFonts w:cs="Arial"/>
          <w:b/>
          <w:bCs/>
        </w:rPr>
        <w:t>DRRS</w:t>
      </w:r>
      <w:r w:rsidR="00FB38F7" w:rsidRPr="00F9723E">
        <w:rPr>
          <w:rFonts w:cs="Arial"/>
          <w:b/>
          <w:bCs/>
        </w:rPr>
        <w:t xml:space="preserve"> Ancillary Service Demand Curve (ASDC)</w:t>
      </w:r>
      <w:r w:rsidR="00656FF8" w:rsidRPr="00F9723E">
        <w:rPr>
          <w:rFonts w:cs="Arial"/>
          <w:b/>
          <w:bCs/>
        </w:rPr>
        <w:t xml:space="preserve"> is, please describe what value would be appropriate to help to provide such incentives.</w:t>
      </w:r>
    </w:p>
    <w:p w14:paraId="5EF9BB66" w14:textId="54245362" w:rsidR="00B51A36" w:rsidRDefault="00E268A7" w:rsidP="00891B29">
      <w:pPr>
        <w:pStyle w:val="NormalArial"/>
        <w:spacing w:before="120" w:after="120" w:line="276" w:lineRule="auto"/>
        <w:jc w:val="both"/>
        <w:rPr>
          <w:rFonts w:cs="Arial"/>
          <w:color w:val="000000"/>
        </w:rPr>
      </w:pPr>
      <w:r>
        <w:rPr>
          <w:rFonts w:cs="Arial"/>
          <w:color w:val="000000"/>
        </w:rPr>
        <w:t>T</w:t>
      </w:r>
      <w:r w:rsidR="009E3632" w:rsidRPr="00C41532">
        <w:rPr>
          <w:rFonts w:cs="Arial"/>
          <w:color w:val="000000"/>
        </w:rPr>
        <w:t xml:space="preserve">he existence of DRRS </w:t>
      </w:r>
      <w:r w:rsidR="00545989">
        <w:rPr>
          <w:rFonts w:cs="Arial"/>
          <w:color w:val="000000"/>
        </w:rPr>
        <w:t xml:space="preserve">alone </w:t>
      </w:r>
      <w:r w:rsidR="009E3632" w:rsidRPr="00C41532">
        <w:rPr>
          <w:rFonts w:cs="Arial"/>
          <w:color w:val="000000"/>
        </w:rPr>
        <w:t xml:space="preserve">is </w:t>
      </w:r>
      <w:r w:rsidR="008F6A91">
        <w:rPr>
          <w:rFonts w:cs="Arial"/>
          <w:color w:val="000000"/>
        </w:rPr>
        <w:t xml:space="preserve">likely </w:t>
      </w:r>
      <w:r w:rsidR="000F1FD4">
        <w:rPr>
          <w:rFonts w:cs="Arial"/>
          <w:color w:val="000000"/>
        </w:rPr>
        <w:t xml:space="preserve">not </w:t>
      </w:r>
      <w:r w:rsidR="009E3632" w:rsidRPr="00C41532">
        <w:rPr>
          <w:rFonts w:cs="Arial"/>
          <w:color w:val="000000"/>
        </w:rPr>
        <w:t xml:space="preserve">an adequate incentive for </w:t>
      </w:r>
      <w:r w:rsidR="00F9723E">
        <w:rPr>
          <w:rFonts w:cs="Arial"/>
          <w:color w:val="000000"/>
        </w:rPr>
        <w:t xml:space="preserve">building </w:t>
      </w:r>
      <w:r w:rsidR="008F6A91">
        <w:rPr>
          <w:rFonts w:cs="Arial"/>
          <w:color w:val="000000"/>
        </w:rPr>
        <w:t>four</w:t>
      </w:r>
      <w:r w:rsidR="009E3632" w:rsidRPr="00C41532">
        <w:rPr>
          <w:rFonts w:cs="Arial"/>
          <w:color w:val="000000"/>
        </w:rPr>
        <w:t>-hour batteries</w:t>
      </w:r>
      <w:r w:rsidR="00F9723E">
        <w:rPr>
          <w:rFonts w:cs="Arial"/>
          <w:color w:val="000000"/>
        </w:rPr>
        <w:t xml:space="preserve"> or any other dispatchable resource</w:t>
      </w:r>
      <w:r w:rsidR="00407E79">
        <w:rPr>
          <w:rFonts w:cs="Arial"/>
          <w:color w:val="000000"/>
        </w:rPr>
        <w:t xml:space="preserve"> – the same as </w:t>
      </w:r>
      <w:r w:rsidR="00483CDE">
        <w:rPr>
          <w:rFonts w:cs="Arial"/>
          <w:color w:val="000000"/>
        </w:rPr>
        <w:t xml:space="preserve">how </w:t>
      </w:r>
      <w:r w:rsidR="003F26D9">
        <w:rPr>
          <w:rFonts w:cs="Arial"/>
          <w:color w:val="000000"/>
        </w:rPr>
        <w:t xml:space="preserve">any other individual ancillary service </w:t>
      </w:r>
      <w:r w:rsidR="00255B58">
        <w:rPr>
          <w:rFonts w:cs="Arial"/>
          <w:color w:val="000000"/>
        </w:rPr>
        <w:t xml:space="preserve">alone </w:t>
      </w:r>
      <w:r w:rsidR="003F26D9">
        <w:rPr>
          <w:rFonts w:cs="Arial"/>
          <w:color w:val="000000"/>
        </w:rPr>
        <w:t xml:space="preserve">is not sufficient to </w:t>
      </w:r>
      <w:r w:rsidR="00E506F9">
        <w:rPr>
          <w:rFonts w:cs="Arial"/>
          <w:color w:val="000000"/>
        </w:rPr>
        <w:t xml:space="preserve">support the </w:t>
      </w:r>
      <w:r w:rsidR="00255B58">
        <w:rPr>
          <w:rFonts w:cs="Arial"/>
          <w:color w:val="000000"/>
        </w:rPr>
        <w:t xml:space="preserve">construction </w:t>
      </w:r>
      <w:r w:rsidR="00E506F9">
        <w:rPr>
          <w:rFonts w:cs="Arial"/>
          <w:color w:val="000000"/>
        </w:rPr>
        <w:t>of new ESRs or other generati</w:t>
      </w:r>
      <w:r w:rsidR="003A23D4">
        <w:rPr>
          <w:rFonts w:cs="Arial"/>
          <w:color w:val="000000"/>
        </w:rPr>
        <w:t>on resources</w:t>
      </w:r>
      <w:r w:rsidR="0086389E" w:rsidRPr="00C41532">
        <w:rPr>
          <w:rFonts w:cs="Arial"/>
          <w:color w:val="000000"/>
        </w:rPr>
        <w:t xml:space="preserve">. </w:t>
      </w:r>
      <w:r w:rsidR="003A23D4">
        <w:rPr>
          <w:rFonts w:cs="Arial"/>
          <w:color w:val="000000"/>
        </w:rPr>
        <w:t>In all instances, a</w:t>
      </w:r>
      <w:r w:rsidR="009E3632" w:rsidRPr="00C41532">
        <w:rPr>
          <w:rFonts w:cs="Arial"/>
          <w:color w:val="000000"/>
        </w:rPr>
        <w:t xml:space="preserve"> developer </w:t>
      </w:r>
      <w:r w:rsidR="003A23D4">
        <w:rPr>
          <w:rFonts w:cs="Arial"/>
          <w:color w:val="000000"/>
        </w:rPr>
        <w:t xml:space="preserve">must </w:t>
      </w:r>
      <w:r w:rsidR="009E3632" w:rsidRPr="00C41532">
        <w:rPr>
          <w:rFonts w:cs="Arial"/>
          <w:color w:val="000000"/>
        </w:rPr>
        <w:t>consider all potential revenue streams in determining whether to build in ERCOT</w:t>
      </w:r>
      <w:r w:rsidR="0086389E" w:rsidRPr="00C41532">
        <w:rPr>
          <w:rFonts w:cs="Arial"/>
          <w:color w:val="000000"/>
        </w:rPr>
        <w:t xml:space="preserve">. </w:t>
      </w:r>
      <w:r w:rsidR="000F1FD4">
        <w:rPr>
          <w:rFonts w:cs="Arial"/>
          <w:color w:val="000000"/>
        </w:rPr>
        <w:t xml:space="preserve">As a four-hour duration service, DRRS provides </w:t>
      </w:r>
      <w:r w:rsidR="00E31D9F">
        <w:rPr>
          <w:rFonts w:cs="Arial"/>
          <w:color w:val="000000"/>
        </w:rPr>
        <w:t xml:space="preserve">four times as much </w:t>
      </w:r>
      <w:r w:rsidR="000F1FD4">
        <w:rPr>
          <w:rFonts w:cs="Arial"/>
          <w:color w:val="000000"/>
        </w:rPr>
        <w:t>reve</w:t>
      </w:r>
      <w:r w:rsidR="00020944">
        <w:rPr>
          <w:rFonts w:cs="Arial"/>
          <w:color w:val="000000"/>
        </w:rPr>
        <w:t xml:space="preserve">nue for an ESR that has a </w:t>
      </w:r>
      <w:r w:rsidR="00427906">
        <w:rPr>
          <w:rFonts w:cs="Arial"/>
          <w:color w:val="000000"/>
        </w:rPr>
        <w:t>four-hour nameplate capacity (e</w:t>
      </w:r>
      <w:r w:rsidR="00396E6F">
        <w:rPr>
          <w:rFonts w:cs="Arial"/>
          <w:color w:val="000000"/>
        </w:rPr>
        <w:t xml:space="preserve">.g., 100 MW / 400 MWh) than a battery with the same peak capacity capability, but </w:t>
      </w:r>
      <w:r w:rsidR="00E31D9F">
        <w:rPr>
          <w:rFonts w:cs="Arial"/>
          <w:color w:val="000000"/>
        </w:rPr>
        <w:t xml:space="preserve">a one-hour </w:t>
      </w:r>
      <w:r w:rsidR="00396E6F">
        <w:rPr>
          <w:rFonts w:cs="Arial"/>
          <w:color w:val="000000"/>
        </w:rPr>
        <w:t>duration (</w:t>
      </w:r>
      <w:r w:rsidR="005065F5">
        <w:rPr>
          <w:rFonts w:cs="Arial"/>
          <w:color w:val="000000"/>
        </w:rPr>
        <w:t>e.g., 100 MW / 100 MWh).</w:t>
      </w:r>
      <w:r w:rsidR="00427906">
        <w:rPr>
          <w:rFonts w:cs="Arial"/>
          <w:color w:val="000000"/>
        </w:rPr>
        <w:t xml:space="preserve"> </w:t>
      </w:r>
      <w:r>
        <w:rPr>
          <w:rFonts w:cs="Arial"/>
          <w:color w:val="000000"/>
        </w:rPr>
        <w:t>Further, t</w:t>
      </w:r>
      <w:r w:rsidRPr="00C41532">
        <w:rPr>
          <w:rFonts w:cs="Arial"/>
          <w:color w:val="000000"/>
        </w:rPr>
        <w:t xml:space="preserve">he </w:t>
      </w:r>
      <w:r>
        <w:rPr>
          <w:rFonts w:cs="Arial"/>
          <w:color w:val="000000"/>
        </w:rPr>
        <w:t>four</w:t>
      </w:r>
      <w:r w:rsidRPr="00C41532">
        <w:rPr>
          <w:rFonts w:cs="Arial"/>
          <w:color w:val="000000"/>
        </w:rPr>
        <w:t xml:space="preserve">-hour duration that was established in the DRRS legislation in 2023 is </w:t>
      </w:r>
      <w:r w:rsidR="006643BB">
        <w:rPr>
          <w:rFonts w:cs="Arial"/>
          <w:color w:val="000000"/>
        </w:rPr>
        <w:t xml:space="preserve">intended to be </w:t>
      </w:r>
      <w:r w:rsidRPr="00C41532">
        <w:rPr>
          <w:rFonts w:cs="Arial"/>
          <w:color w:val="000000"/>
        </w:rPr>
        <w:t xml:space="preserve">a market signal to support the development of </w:t>
      </w:r>
      <w:r>
        <w:rPr>
          <w:rFonts w:cs="Arial"/>
          <w:color w:val="000000"/>
        </w:rPr>
        <w:t>four-</w:t>
      </w:r>
      <w:r w:rsidRPr="00C41532">
        <w:rPr>
          <w:rFonts w:cs="Arial"/>
          <w:color w:val="000000"/>
        </w:rPr>
        <w:t>hour duration resources, as such resources would be able to realize 100% of the available revenue for the capacity they bid into DRRS. </w:t>
      </w:r>
    </w:p>
    <w:p w14:paraId="13696861" w14:textId="7B309612" w:rsidR="00341289" w:rsidRPr="00E31D9F" w:rsidRDefault="00341289" w:rsidP="00891B29">
      <w:pPr>
        <w:pStyle w:val="NormalArial"/>
        <w:numPr>
          <w:ilvl w:val="0"/>
          <w:numId w:val="3"/>
        </w:numPr>
        <w:spacing w:before="120" w:after="120"/>
        <w:ind w:left="360"/>
        <w:jc w:val="both"/>
        <w:rPr>
          <w:rFonts w:cs="Arial"/>
          <w:b/>
          <w:bCs/>
        </w:rPr>
      </w:pPr>
      <w:r w:rsidRPr="00E31D9F">
        <w:rPr>
          <w:rFonts w:cs="Arial"/>
          <w:b/>
          <w:bCs/>
        </w:rPr>
        <w:t xml:space="preserve">PURA § 39.159(d)(2)(B) states another criterion for participation in DRRS requiring a resource to “be online and dispatchable not more than two hours after being called on for deployment.”  Should subsections (d)(2)(A) and (B) be read together such that a Resource is only qualified to provide DRRS </w:t>
      </w:r>
      <w:r w:rsidR="00595BE4" w:rsidRPr="00E31D9F">
        <w:rPr>
          <w:rFonts w:cs="Arial"/>
          <w:b/>
          <w:bCs/>
        </w:rPr>
        <w:t>at the amount of MW that it can ramp to within two hours and then sustain for at least four hours?</w:t>
      </w:r>
    </w:p>
    <w:p w14:paraId="3930FC43" w14:textId="6EA3DA32" w:rsidR="002C5EE7" w:rsidRDefault="002C5EE7" w:rsidP="00891B29">
      <w:pPr>
        <w:pStyle w:val="NormalArial"/>
        <w:spacing w:before="120" w:after="120" w:line="276" w:lineRule="auto"/>
        <w:jc w:val="both"/>
        <w:rPr>
          <w:rFonts w:cs="Arial"/>
        </w:rPr>
      </w:pPr>
      <w:r w:rsidRPr="00C41532">
        <w:rPr>
          <w:rFonts w:cs="Arial"/>
        </w:rPr>
        <w:t>PURA § 39.159(d)(2)(B) require</w:t>
      </w:r>
      <w:r w:rsidR="008E4699">
        <w:rPr>
          <w:rFonts w:cs="Arial"/>
        </w:rPr>
        <w:t xml:space="preserve">ment </w:t>
      </w:r>
      <w:r w:rsidRPr="00C41532">
        <w:rPr>
          <w:rFonts w:cs="Arial"/>
        </w:rPr>
        <w:t xml:space="preserve">that </w:t>
      </w:r>
      <w:r w:rsidR="008E4699">
        <w:rPr>
          <w:rFonts w:cs="Arial"/>
        </w:rPr>
        <w:t xml:space="preserve">a </w:t>
      </w:r>
      <w:r w:rsidRPr="00C41532">
        <w:rPr>
          <w:rFonts w:cs="Arial"/>
        </w:rPr>
        <w:t>resource be online and dispatchable within two hours of being called for deployment</w:t>
      </w:r>
      <w:r w:rsidR="008E4699">
        <w:rPr>
          <w:rFonts w:cs="Arial"/>
        </w:rPr>
        <w:t xml:space="preserve"> </w:t>
      </w:r>
      <w:r w:rsidRPr="00C41532">
        <w:rPr>
          <w:rFonts w:cs="Arial"/>
        </w:rPr>
        <w:t>is a lead</w:t>
      </w:r>
      <w:r w:rsidRPr="00C41532">
        <w:rPr>
          <w:rFonts w:cs="Arial"/>
        </w:rPr>
        <w:noBreakHyphen/>
        <w:t xml:space="preserve">time/commitment requirement </w:t>
      </w:r>
      <w:r w:rsidR="00780A71">
        <w:rPr>
          <w:rFonts w:cs="Arial"/>
        </w:rPr>
        <w:t xml:space="preserve">that is consistent with the </w:t>
      </w:r>
      <w:r w:rsidR="002375D0">
        <w:rPr>
          <w:rFonts w:cs="Arial"/>
        </w:rPr>
        <w:t xml:space="preserve">recommendation the Independent Market Monitor (IMM) </w:t>
      </w:r>
      <w:r w:rsidR="008C346D">
        <w:rPr>
          <w:rFonts w:cs="Arial"/>
        </w:rPr>
        <w:t xml:space="preserve">included in its 2021 State of the Market Report </w:t>
      </w:r>
      <w:r w:rsidR="00BA59C4">
        <w:rPr>
          <w:rFonts w:cs="Arial"/>
        </w:rPr>
        <w:t>for the creation of a</w:t>
      </w:r>
      <w:r w:rsidR="008D74A5">
        <w:rPr>
          <w:rFonts w:cs="Arial"/>
        </w:rPr>
        <w:t xml:space="preserve">n uncertainty product that </w:t>
      </w:r>
      <w:r w:rsidR="008D74A5">
        <w:rPr>
          <w:rFonts w:cs="Arial"/>
        </w:rPr>
        <w:lastRenderedPageBreak/>
        <w:t>ultimately became the proposed DRRS service</w:t>
      </w:r>
      <w:r w:rsidR="006F3618">
        <w:rPr>
          <w:rFonts w:cs="Arial"/>
        </w:rPr>
        <w:t>.</w:t>
      </w:r>
      <w:r w:rsidR="006F3618">
        <w:rPr>
          <w:rStyle w:val="FootnoteReference"/>
          <w:rFonts w:cs="Arial"/>
        </w:rPr>
        <w:footnoteReference w:id="3"/>
      </w:r>
      <w:r w:rsidR="006F3618">
        <w:rPr>
          <w:rFonts w:cs="Arial"/>
        </w:rPr>
        <w:t xml:space="preserve"> </w:t>
      </w:r>
      <w:r w:rsidR="000D1D67">
        <w:rPr>
          <w:rFonts w:cs="Arial"/>
        </w:rPr>
        <w:t xml:space="preserve"> The purpose of this longer </w:t>
      </w:r>
      <w:r w:rsidR="009B6C12">
        <w:rPr>
          <w:rFonts w:cs="Arial"/>
        </w:rPr>
        <w:t xml:space="preserve">time for deployment period was to reduce ERCOT’s reliance on </w:t>
      </w:r>
      <w:r w:rsidR="00EE4677">
        <w:rPr>
          <w:rFonts w:cs="Arial"/>
        </w:rPr>
        <w:t xml:space="preserve">using the Reliability Unit Commitment (RUC) process and </w:t>
      </w:r>
      <w:r w:rsidR="00AE0A7A">
        <w:rPr>
          <w:rFonts w:cs="Arial"/>
        </w:rPr>
        <w:t xml:space="preserve">procuring more </w:t>
      </w:r>
      <w:r w:rsidR="00966D55">
        <w:rPr>
          <w:rFonts w:cs="Arial"/>
        </w:rPr>
        <w:t>non-spinning reserves</w:t>
      </w:r>
      <w:r w:rsidR="00E95EDA">
        <w:rPr>
          <w:rFonts w:cs="Arial"/>
        </w:rPr>
        <w:t xml:space="preserve"> by brin</w:t>
      </w:r>
      <w:r w:rsidR="00900B77">
        <w:rPr>
          <w:rFonts w:cs="Arial"/>
        </w:rPr>
        <w:t>g</w:t>
      </w:r>
      <w:r w:rsidR="00E95EDA">
        <w:rPr>
          <w:rFonts w:cs="Arial"/>
        </w:rPr>
        <w:t xml:space="preserve">ing longer </w:t>
      </w:r>
      <w:r w:rsidR="00900B77">
        <w:rPr>
          <w:rFonts w:cs="Arial"/>
        </w:rPr>
        <w:t>lead-time units online</w:t>
      </w:r>
      <w:r w:rsidR="00D616E2">
        <w:rPr>
          <w:rFonts w:cs="Arial"/>
        </w:rPr>
        <w:t xml:space="preserve"> t</w:t>
      </w:r>
      <w:r w:rsidR="009D0035">
        <w:rPr>
          <w:rFonts w:cs="Arial"/>
        </w:rPr>
        <w:t>o</w:t>
      </w:r>
      <w:r w:rsidR="00D616E2">
        <w:rPr>
          <w:rFonts w:cs="Arial"/>
        </w:rPr>
        <w:t xml:space="preserve"> address operating conditions that are departing from expectation</w:t>
      </w:r>
      <w:r w:rsidR="00AE0A7A">
        <w:rPr>
          <w:rFonts w:cs="Arial"/>
        </w:rPr>
        <w:t>.</w:t>
      </w:r>
      <w:r w:rsidR="00966D55">
        <w:rPr>
          <w:rStyle w:val="FootnoteReference"/>
          <w:rFonts w:cs="Arial"/>
        </w:rPr>
        <w:footnoteReference w:id="4"/>
      </w:r>
      <w:r w:rsidR="00AE0A7A">
        <w:rPr>
          <w:rFonts w:cs="Arial"/>
        </w:rPr>
        <w:t xml:space="preserve">  </w:t>
      </w:r>
      <w:r w:rsidR="00C1639B">
        <w:rPr>
          <w:rFonts w:cs="Arial"/>
        </w:rPr>
        <w:t xml:space="preserve">It was not intended to prevent faster ramping resources from qualifying to provide DRRS.  Thus, this </w:t>
      </w:r>
      <w:r w:rsidRPr="00C41532">
        <w:rPr>
          <w:rFonts w:cs="Arial"/>
        </w:rPr>
        <w:t xml:space="preserve">provision should not be </w:t>
      </w:r>
      <w:r w:rsidR="00C7531E" w:rsidRPr="00C41532">
        <w:rPr>
          <w:rFonts w:cs="Arial"/>
        </w:rPr>
        <w:t>interpreted</w:t>
      </w:r>
      <w:r w:rsidRPr="00C41532">
        <w:rPr>
          <w:rFonts w:cs="Arial"/>
        </w:rPr>
        <w:t xml:space="preserve"> in a way that would </w:t>
      </w:r>
      <w:r w:rsidR="00C14912">
        <w:rPr>
          <w:rFonts w:cs="Arial"/>
        </w:rPr>
        <w:t>re</w:t>
      </w:r>
      <w:r w:rsidR="00C1639B">
        <w:rPr>
          <w:rFonts w:cs="Arial"/>
        </w:rPr>
        <w:t>quire a resource to ramp over two hours</w:t>
      </w:r>
      <w:r w:rsidR="00C1639B" w:rsidRPr="006D6F2B">
        <w:rPr>
          <w:rFonts w:cs="Arial"/>
        </w:rPr>
        <w:t xml:space="preserve"> </w:t>
      </w:r>
      <w:r w:rsidRPr="006D6F2B">
        <w:rPr>
          <w:rFonts w:cs="Arial"/>
        </w:rPr>
        <w:t>a</w:t>
      </w:r>
      <w:r w:rsidR="00BD745A" w:rsidRPr="006D6F2B">
        <w:rPr>
          <w:rFonts w:cs="Arial"/>
        </w:rPr>
        <w:t>n</w:t>
      </w:r>
      <w:r w:rsidRPr="006D6F2B">
        <w:rPr>
          <w:rFonts w:cs="Arial"/>
        </w:rPr>
        <w:t xml:space="preserve">d then </w:t>
      </w:r>
      <w:r w:rsidRPr="00C41532">
        <w:rPr>
          <w:rFonts w:cs="Arial"/>
        </w:rPr>
        <w:t xml:space="preserve">run for four hours beyond that. Such an interpretation would </w:t>
      </w:r>
      <w:r w:rsidR="003F67E6">
        <w:rPr>
          <w:rFonts w:cs="Arial"/>
        </w:rPr>
        <w:t xml:space="preserve">undermine reliability by deterring the availability of </w:t>
      </w:r>
      <w:r w:rsidR="004156AB">
        <w:rPr>
          <w:rFonts w:cs="Arial"/>
        </w:rPr>
        <w:t xml:space="preserve">dispatchable </w:t>
      </w:r>
      <w:r w:rsidR="003F67E6">
        <w:rPr>
          <w:rFonts w:cs="Arial"/>
        </w:rPr>
        <w:t xml:space="preserve">resources that could help meet the needs of the grid sooner than later. </w:t>
      </w:r>
      <w:r w:rsidR="00DF24D3">
        <w:rPr>
          <w:rFonts w:cs="Arial"/>
        </w:rPr>
        <w:t xml:space="preserve">Such an </w:t>
      </w:r>
      <w:r w:rsidR="00BD745A">
        <w:rPr>
          <w:rFonts w:cs="Arial"/>
        </w:rPr>
        <w:t>interpretation</w:t>
      </w:r>
      <w:r w:rsidRPr="00C41532">
        <w:rPr>
          <w:rFonts w:cs="Arial"/>
        </w:rPr>
        <w:t xml:space="preserve"> </w:t>
      </w:r>
      <w:r w:rsidR="00BD745A" w:rsidRPr="00C41532">
        <w:rPr>
          <w:rFonts w:cs="Arial"/>
        </w:rPr>
        <w:t xml:space="preserve">likely </w:t>
      </w:r>
      <w:r w:rsidRPr="00C41532">
        <w:rPr>
          <w:rFonts w:cs="Arial"/>
        </w:rPr>
        <w:t xml:space="preserve">would exclude many otherwise </w:t>
      </w:r>
      <w:r w:rsidR="00BD745A">
        <w:rPr>
          <w:rFonts w:cs="Arial"/>
        </w:rPr>
        <w:t>eligible</w:t>
      </w:r>
      <w:r w:rsidRPr="00C41532">
        <w:rPr>
          <w:rFonts w:cs="Arial"/>
        </w:rPr>
        <w:t xml:space="preserve"> resources without </w:t>
      </w:r>
      <w:r w:rsidR="00BD745A">
        <w:rPr>
          <w:rFonts w:cs="Arial"/>
        </w:rPr>
        <w:t xml:space="preserve">a </w:t>
      </w:r>
      <w:r w:rsidRPr="00C41532">
        <w:rPr>
          <w:rFonts w:cs="Arial"/>
        </w:rPr>
        <w:t>clear reliability justification.</w:t>
      </w:r>
    </w:p>
    <w:p w14:paraId="4A8853BE" w14:textId="3866FE59" w:rsidR="00CA6FCA" w:rsidRPr="003D34F1" w:rsidRDefault="00972E0A" w:rsidP="00891B29">
      <w:pPr>
        <w:pStyle w:val="NormalArial"/>
        <w:numPr>
          <w:ilvl w:val="0"/>
          <w:numId w:val="3"/>
        </w:numPr>
        <w:spacing w:before="120" w:after="120"/>
        <w:ind w:left="360"/>
        <w:jc w:val="both"/>
        <w:rPr>
          <w:rFonts w:cs="Arial"/>
          <w:b/>
          <w:bCs/>
        </w:rPr>
      </w:pPr>
      <w:r w:rsidRPr="003D34F1">
        <w:rPr>
          <w:rFonts w:cs="Arial"/>
          <w:b/>
          <w:bCs/>
        </w:rPr>
        <w:t xml:space="preserve">PURA § 39.159(e) states that ERCOT “may require a resource to be capable of running for more than four hours as [ERCOT] determines is needed.”  </w:t>
      </w:r>
      <w:r w:rsidR="00BF7E5B" w:rsidRPr="003D34F1">
        <w:rPr>
          <w:rFonts w:cs="Arial"/>
          <w:b/>
          <w:bCs/>
        </w:rPr>
        <w:t>Should DRRS’s duration requirement be extended beyond four hours, for instance to eight</w:t>
      </w:r>
      <w:r w:rsidR="00C1177A" w:rsidRPr="003D34F1">
        <w:rPr>
          <w:rFonts w:cs="Arial"/>
          <w:b/>
          <w:bCs/>
        </w:rPr>
        <w:t xml:space="preserve"> hours, </w:t>
      </w:r>
      <w:r w:rsidR="00BF7E5B" w:rsidRPr="003D34F1">
        <w:rPr>
          <w:rFonts w:cs="Arial"/>
          <w:b/>
          <w:bCs/>
        </w:rPr>
        <w:t>twelve hours</w:t>
      </w:r>
      <w:r w:rsidR="004270F7" w:rsidRPr="003D34F1">
        <w:rPr>
          <w:rFonts w:cs="Arial"/>
          <w:b/>
          <w:bCs/>
        </w:rPr>
        <w:t>,</w:t>
      </w:r>
      <w:r w:rsidR="00C1177A" w:rsidRPr="003D34F1">
        <w:rPr>
          <w:rFonts w:cs="Arial"/>
          <w:b/>
          <w:bCs/>
        </w:rPr>
        <w:t xml:space="preserve"> or even longer</w:t>
      </w:r>
      <w:r w:rsidR="0086389E" w:rsidRPr="003D34F1">
        <w:rPr>
          <w:rFonts w:cs="Arial"/>
          <w:b/>
          <w:bCs/>
        </w:rPr>
        <w:t xml:space="preserve">? </w:t>
      </w:r>
      <w:r w:rsidR="00BE3CCC" w:rsidRPr="003D34F1">
        <w:rPr>
          <w:rFonts w:cs="Arial"/>
          <w:b/>
          <w:bCs/>
        </w:rPr>
        <w:t>Please</w:t>
      </w:r>
      <w:r w:rsidR="00BF7E5B" w:rsidRPr="003D34F1">
        <w:rPr>
          <w:rFonts w:cs="Arial"/>
          <w:b/>
          <w:bCs/>
        </w:rPr>
        <w:t xml:space="preserve"> explain</w:t>
      </w:r>
      <w:r w:rsidR="00BE3CCC" w:rsidRPr="003D34F1">
        <w:rPr>
          <w:rFonts w:cs="Arial"/>
          <w:b/>
          <w:bCs/>
        </w:rPr>
        <w:t xml:space="preserve"> the</w:t>
      </w:r>
      <w:r w:rsidR="00BF7E5B" w:rsidRPr="003D34F1">
        <w:rPr>
          <w:rFonts w:cs="Arial"/>
          <w:b/>
          <w:bCs/>
        </w:rPr>
        <w:t xml:space="preserve"> operational or reliability-related reasons that the DRRS duration should or should not be extended</w:t>
      </w:r>
      <w:r w:rsidR="00020565" w:rsidRPr="003D34F1">
        <w:rPr>
          <w:rFonts w:cs="Arial"/>
          <w:b/>
          <w:bCs/>
        </w:rPr>
        <w:t xml:space="preserve"> as well as the likely financial impacts of such a longer duration requirement on the current ESR fleet and how that longer duration requirement would impact incentives for future investments in the ESR fleet</w:t>
      </w:r>
      <w:r w:rsidR="00BF7E5B" w:rsidRPr="003D34F1">
        <w:rPr>
          <w:rFonts w:cs="Arial"/>
          <w:b/>
          <w:bCs/>
        </w:rPr>
        <w:t>.</w:t>
      </w:r>
    </w:p>
    <w:p w14:paraId="307CFF1E" w14:textId="4C45EAE7" w:rsidR="002C5EE7" w:rsidRDefault="002C5EE7" w:rsidP="00891B29">
      <w:pPr>
        <w:pStyle w:val="NormalArial"/>
        <w:spacing w:before="120" w:after="120" w:line="276" w:lineRule="auto"/>
        <w:jc w:val="both"/>
        <w:rPr>
          <w:rFonts w:cs="Arial"/>
        </w:rPr>
      </w:pPr>
      <w:r w:rsidRPr="00C41532">
        <w:rPr>
          <w:rFonts w:cs="Arial"/>
        </w:rPr>
        <w:t xml:space="preserve">No, </w:t>
      </w:r>
      <w:r w:rsidR="00C41532" w:rsidRPr="00C41532">
        <w:rPr>
          <w:rFonts w:cs="Arial"/>
        </w:rPr>
        <w:t xml:space="preserve">there is not </w:t>
      </w:r>
      <w:proofErr w:type="gramStart"/>
      <w:r w:rsidR="00C41532" w:rsidRPr="00C41532">
        <w:rPr>
          <w:rFonts w:cs="Arial"/>
        </w:rPr>
        <w:t>a reliability</w:t>
      </w:r>
      <w:proofErr w:type="gramEnd"/>
      <w:r w:rsidR="00C41532" w:rsidRPr="00C41532">
        <w:rPr>
          <w:rFonts w:cs="Arial"/>
        </w:rPr>
        <w:t xml:space="preserve"> justification </w:t>
      </w:r>
      <w:proofErr w:type="gramStart"/>
      <w:r w:rsidR="00C41532" w:rsidRPr="00C41532">
        <w:rPr>
          <w:rFonts w:cs="Arial"/>
        </w:rPr>
        <w:t>at this time</w:t>
      </w:r>
      <w:proofErr w:type="gramEnd"/>
      <w:r w:rsidR="00C41532" w:rsidRPr="00C41532">
        <w:rPr>
          <w:rFonts w:cs="Arial"/>
        </w:rPr>
        <w:t xml:space="preserve"> to go beyond a four</w:t>
      </w:r>
      <w:r w:rsidR="00C17EAC">
        <w:rPr>
          <w:rFonts w:cs="Arial"/>
        </w:rPr>
        <w:t>-</w:t>
      </w:r>
      <w:r w:rsidR="00C41532" w:rsidRPr="00C41532">
        <w:rPr>
          <w:rFonts w:cs="Arial"/>
        </w:rPr>
        <w:t xml:space="preserve">hour </w:t>
      </w:r>
      <w:r w:rsidR="00C17EAC">
        <w:rPr>
          <w:rFonts w:cs="Arial"/>
        </w:rPr>
        <w:t xml:space="preserve">duration </w:t>
      </w:r>
      <w:r w:rsidR="00C41532" w:rsidRPr="00C41532">
        <w:rPr>
          <w:rFonts w:cs="Arial"/>
        </w:rPr>
        <w:t xml:space="preserve">requirement. </w:t>
      </w:r>
      <w:r w:rsidR="004156AB">
        <w:rPr>
          <w:rFonts w:cs="Arial"/>
        </w:rPr>
        <w:t xml:space="preserve">As discussed above, </w:t>
      </w:r>
      <w:r w:rsidR="00C41532" w:rsidRPr="00C41532">
        <w:rPr>
          <w:rFonts w:cs="Arial"/>
        </w:rPr>
        <w:t xml:space="preserve">DRRS came out of </w:t>
      </w:r>
      <w:r w:rsidR="000F3535">
        <w:rPr>
          <w:rFonts w:cs="Arial"/>
        </w:rPr>
        <w:t xml:space="preserve">a </w:t>
      </w:r>
      <w:r w:rsidR="00C41532" w:rsidRPr="00C41532">
        <w:rPr>
          <w:rFonts w:cs="Arial"/>
        </w:rPr>
        <w:t xml:space="preserve">recommendation from the </w:t>
      </w:r>
      <w:r w:rsidR="004156AB">
        <w:rPr>
          <w:rFonts w:cs="Arial"/>
        </w:rPr>
        <w:t>IMM</w:t>
      </w:r>
      <w:r w:rsidR="000F77A4">
        <w:rPr>
          <w:rFonts w:cs="Arial"/>
        </w:rPr>
        <w:t xml:space="preserve"> </w:t>
      </w:r>
      <w:r w:rsidR="00C41532" w:rsidRPr="00C41532">
        <w:rPr>
          <w:rFonts w:cs="Arial"/>
        </w:rPr>
        <w:t xml:space="preserve">for an additional service to address intra-day uncertainty in the two to four-hour time frame to deal with </w:t>
      </w:r>
      <w:r w:rsidR="00BD745A">
        <w:rPr>
          <w:rFonts w:cs="Arial"/>
        </w:rPr>
        <w:t xml:space="preserve">uncertainties related to </w:t>
      </w:r>
      <w:r w:rsidR="00C41532" w:rsidRPr="00C41532">
        <w:rPr>
          <w:rFonts w:cs="Arial"/>
        </w:rPr>
        <w:t>load forecasting error and intermittent wind energy production.</w:t>
      </w:r>
      <w:r w:rsidR="007F787E">
        <w:rPr>
          <w:rStyle w:val="FootnoteReference"/>
          <w:rFonts w:cs="Arial"/>
        </w:rPr>
        <w:footnoteReference w:id="5"/>
      </w:r>
      <w:r w:rsidR="00C41532" w:rsidRPr="00C41532">
        <w:rPr>
          <w:rFonts w:cs="Arial"/>
        </w:rPr>
        <w:t xml:space="preserve"> </w:t>
      </w:r>
      <w:r w:rsidR="007F787E">
        <w:rPr>
          <w:rFonts w:cs="Arial"/>
        </w:rPr>
        <w:t xml:space="preserve"> </w:t>
      </w:r>
      <w:r w:rsidR="00FD4BC1">
        <w:rPr>
          <w:rFonts w:cs="Arial"/>
        </w:rPr>
        <w:t xml:space="preserve">Analysis of grid operations after DRRS is implemented </w:t>
      </w:r>
      <w:r w:rsidR="00403D0A">
        <w:rPr>
          <w:rFonts w:cs="Arial"/>
        </w:rPr>
        <w:t xml:space="preserve">will be necessary to determine whether a longer duration is needed.  </w:t>
      </w:r>
      <w:r w:rsidR="00E70044">
        <w:rPr>
          <w:rFonts w:cs="Arial"/>
        </w:rPr>
        <w:t>ERCOT should not i</w:t>
      </w:r>
      <w:r w:rsidR="0098116D">
        <w:rPr>
          <w:rFonts w:cs="Arial"/>
        </w:rPr>
        <w:t>mpos</w:t>
      </w:r>
      <w:r w:rsidR="00E70044">
        <w:rPr>
          <w:rFonts w:cs="Arial"/>
        </w:rPr>
        <w:t xml:space="preserve">e </w:t>
      </w:r>
      <w:r w:rsidR="004E2A70">
        <w:rPr>
          <w:rFonts w:cs="Arial"/>
        </w:rPr>
        <w:t>a</w:t>
      </w:r>
      <w:r w:rsidR="0098116D">
        <w:rPr>
          <w:rFonts w:cs="Arial"/>
        </w:rPr>
        <w:t xml:space="preserve"> longer duration requirement (when the </w:t>
      </w:r>
      <w:r w:rsidR="00E32072">
        <w:rPr>
          <w:rFonts w:cs="Arial"/>
        </w:rPr>
        <w:t>L</w:t>
      </w:r>
      <w:r w:rsidR="0098116D">
        <w:rPr>
          <w:rFonts w:cs="Arial"/>
        </w:rPr>
        <w:t>egislature already rejected a longer duration requirement)</w:t>
      </w:r>
      <w:r w:rsidR="00A03613">
        <w:rPr>
          <w:rStyle w:val="FootnoteReference"/>
          <w:rFonts w:cs="Arial"/>
        </w:rPr>
        <w:footnoteReference w:id="6"/>
      </w:r>
      <w:r w:rsidR="004E2A70">
        <w:rPr>
          <w:rFonts w:cs="Arial"/>
        </w:rPr>
        <w:t xml:space="preserve"> absent a clearly demonstrated need for </w:t>
      </w:r>
      <w:r w:rsidR="004B6A93">
        <w:rPr>
          <w:rFonts w:cs="Arial"/>
        </w:rPr>
        <w:t xml:space="preserve">a </w:t>
      </w:r>
      <w:r w:rsidR="004E2A70">
        <w:rPr>
          <w:rFonts w:cs="Arial"/>
        </w:rPr>
        <w:t>longer duration.</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rsidRPr="00C41532" w14:paraId="11E9E75C" w14:textId="77777777" w:rsidTr="00B5080A">
        <w:trPr>
          <w:trHeight w:val="350"/>
        </w:trPr>
        <w:tc>
          <w:tcPr>
            <w:tcW w:w="10440" w:type="dxa"/>
            <w:tcBorders>
              <w:bottom w:val="single" w:sz="4" w:space="0" w:color="auto"/>
            </w:tcBorders>
            <w:shd w:val="clear" w:color="auto" w:fill="FFFFFF"/>
            <w:vAlign w:val="center"/>
          </w:tcPr>
          <w:p w14:paraId="526BF02E" w14:textId="77777777" w:rsidR="00BD7258" w:rsidRPr="00C41532" w:rsidRDefault="00BD7258" w:rsidP="00B5080A">
            <w:pPr>
              <w:pStyle w:val="Header"/>
              <w:jc w:val="center"/>
              <w:rPr>
                <w:rFonts w:cs="Arial"/>
              </w:rPr>
            </w:pPr>
            <w:bookmarkStart w:id="3" w:name="_Hlk221690934"/>
            <w:r w:rsidRPr="00C41532">
              <w:rPr>
                <w:rFonts w:cs="Arial"/>
              </w:rPr>
              <w:t>Revised Cover Page Language</w:t>
            </w:r>
          </w:p>
        </w:tc>
      </w:tr>
    </w:tbl>
    <w:bookmarkEnd w:id="3"/>
    <w:p w14:paraId="089A429A" w14:textId="2FA45B77" w:rsidR="00BD7258" w:rsidRPr="00C41532" w:rsidRDefault="00DE4BA5" w:rsidP="00DE4BA5">
      <w:pPr>
        <w:pStyle w:val="NormalArial"/>
        <w:spacing w:before="120" w:after="120"/>
        <w:rPr>
          <w:rFonts w:cs="Arial"/>
        </w:rPr>
      </w:pPr>
      <w:r w:rsidRPr="00C41532">
        <w:rPr>
          <w:rFonts w:cs="Arial"/>
        </w:rPr>
        <w:t>None</w:t>
      </w:r>
      <w:r w:rsidR="003579F1" w:rsidRPr="00C41532">
        <w:rPr>
          <w:rFonts w:cs="Arial"/>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rsidRPr="00C41532" w14:paraId="26A3D33F" w14:textId="77777777">
        <w:trPr>
          <w:trHeight w:val="350"/>
        </w:trPr>
        <w:tc>
          <w:tcPr>
            <w:tcW w:w="10440" w:type="dxa"/>
            <w:tcBorders>
              <w:bottom w:val="single" w:sz="4" w:space="0" w:color="auto"/>
            </w:tcBorders>
            <w:shd w:val="clear" w:color="auto" w:fill="FFFFFF"/>
            <w:vAlign w:val="center"/>
          </w:tcPr>
          <w:p w14:paraId="20F9B50F" w14:textId="5863F1ED" w:rsidR="00152993" w:rsidRPr="00C41532" w:rsidRDefault="00152993">
            <w:pPr>
              <w:pStyle w:val="Header"/>
              <w:jc w:val="center"/>
              <w:rPr>
                <w:rFonts w:cs="Arial"/>
              </w:rPr>
            </w:pPr>
            <w:r w:rsidRPr="00C41532">
              <w:rPr>
                <w:rFonts w:cs="Arial"/>
              </w:rPr>
              <w:t>Revised Proposed Protocol Language</w:t>
            </w:r>
          </w:p>
        </w:tc>
      </w:tr>
    </w:tbl>
    <w:p w14:paraId="644C2F43" w14:textId="4F55B9DF" w:rsidR="00DE4BA5" w:rsidRPr="00C41532" w:rsidRDefault="00DE4BA5" w:rsidP="00DE4BA5">
      <w:pPr>
        <w:pStyle w:val="NormalArial"/>
        <w:spacing w:before="120" w:after="120"/>
        <w:rPr>
          <w:rFonts w:cs="Arial"/>
        </w:rPr>
      </w:pPr>
      <w:r w:rsidRPr="00C41532">
        <w:rPr>
          <w:rFonts w:cs="Arial"/>
        </w:rPr>
        <w:t>None</w:t>
      </w:r>
      <w:r w:rsidR="003579F1" w:rsidRPr="00C41532">
        <w:rPr>
          <w:rFonts w:cs="Arial"/>
        </w:rPr>
        <w:t>.</w:t>
      </w:r>
    </w:p>
    <w:sectPr w:rsidR="00DE4BA5" w:rsidRPr="00C41532" w:rsidSect="0074209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FF59D" w14:textId="77777777" w:rsidR="0039371C" w:rsidRDefault="0039371C">
      <w:r>
        <w:separator/>
      </w:r>
    </w:p>
  </w:endnote>
  <w:endnote w:type="continuationSeparator" w:id="0">
    <w:p w14:paraId="2257A625" w14:textId="77777777" w:rsidR="0039371C" w:rsidRDefault="0039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75EC" w14:textId="0654F02F" w:rsidR="00EE6681" w:rsidRDefault="00891B29" w:rsidP="0074209E">
    <w:pPr>
      <w:pStyle w:val="Footer"/>
      <w:tabs>
        <w:tab w:val="clear" w:pos="4320"/>
        <w:tab w:val="clear" w:pos="8640"/>
        <w:tab w:val="right" w:pos="9360"/>
      </w:tabs>
      <w:rPr>
        <w:rFonts w:ascii="Arial" w:hAnsi="Arial"/>
        <w:sz w:val="18"/>
      </w:rPr>
    </w:pPr>
    <w:r>
      <w:rPr>
        <w:rFonts w:ascii="Arial" w:hAnsi="Arial"/>
        <w:sz w:val="18"/>
      </w:rPr>
      <w:t>1310NPRR-23</w:t>
    </w:r>
    <w:r w:rsidR="007A7E2E">
      <w:rPr>
        <w:rFonts w:ascii="Arial" w:hAnsi="Arial"/>
        <w:sz w:val="18"/>
      </w:rPr>
      <w:t xml:space="preserve"> </w:t>
    </w:r>
    <w:r w:rsidR="00BD745A">
      <w:rPr>
        <w:rFonts w:ascii="Arial" w:hAnsi="Arial"/>
        <w:sz w:val="18"/>
      </w:rPr>
      <w:t xml:space="preserve">Joint ESR </w:t>
    </w:r>
    <w:r w:rsidR="007A7E2E">
      <w:rPr>
        <w:rFonts w:ascii="Arial" w:hAnsi="Arial"/>
        <w:sz w:val="18"/>
      </w:rPr>
      <w:t xml:space="preserve">Commenter </w:t>
    </w:r>
    <w:r w:rsidR="00BD745A">
      <w:rPr>
        <w:rFonts w:ascii="Arial" w:hAnsi="Arial"/>
        <w:sz w:val="18"/>
      </w:rPr>
      <w:t>Comments</w:t>
    </w:r>
    <w:r w:rsidR="007A7E2E">
      <w:rPr>
        <w:rFonts w:ascii="Arial" w:hAnsi="Arial"/>
        <w:sz w:val="18"/>
      </w:rPr>
      <w:t xml:space="preserve"> 03</w:t>
    </w:r>
    <w:r>
      <w:rPr>
        <w:rFonts w:ascii="Arial" w:hAnsi="Arial"/>
        <w:sz w:val="18"/>
      </w:rPr>
      <w:t>05</w:t>
    </w:r>
    <w:r w:rsidR="00CD13AB">
      <w:rPr>
        <w:rFonts w:ascii="Arial" w:hAnsi="Arial"/>
        <w:sz w:val="18"/>
      </w:rPr>
      <w:t>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26909C54"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AE47" w14:textId="77777777" w:rsidR="0039371C" w:rsidRDefault="0039371C">
      <w:r>
        <w:separator/>
      </w:r>
    </w:p>
  </w:footnote>
  <w:footnote w:type="continuationSeparator" w:id="0">
    <w:p w14:paraId="17B5E398" w14:textId="77777777" w:rsidR="0039371C" w:rsidRDefault="0039371C">
      <w:r>
        <w:continuationSeparator/>
      </w:r>
    </w:p>
  </w:footnote>
  <w:footnote w:id="1">
    <w:p w14:paraId="3580722E" w14:textId="4DA4D341" w:rsidR="00D56AC7" w:rsidRPr="004E0FC2" w:rsidRDefault="00D56AC7" w:rsidP="00816D64">
      <w:pPr>
        <w:pStyle w:val="FootnoteText"/>
        <w:ind w:left="360" w:hanging="360"/>
        <w:jc w:val="both"/>
      </w:pPr>
      <w:r>
        <w:rPr>
          <w:rStyle w:val="FootnoteReference"/>
        </w:rPr>
        <w:footnoteRef/>
      </w:r>
      <w:r>
        <w:t xml:space="preserve"> </w:t>
      </w:r>
      <w:r>
        <w:tab/>
        <w:t xml:space="preserve">See also </w:t>
      </w:r>
      <w:r w:rsidR="0004742D">
        <w:rPr>
          <w:i/>
          <w:iCs/>
        </w:rPr>
        <w:t xml:space="preserve">Implementation </w:t>
      </w:r>
      <w:r w:rsidR="002D4FEF">
        <w:rPr>
          <w:i/>
          <w:iCs/>
        </w:rPr>
        <w:t>Activities</w:t>
      </w:r>
      <w:r w:rsidR="0004742D">
        <w:rPr>
          <w:i/>
          <w:iCs/>
        </w:rPr>
        <w:t xml:space="preserve"> 88</w:t>
      </w:r>
      <w:r w:rsidR="0004742D" w:rsidRPr="0004742D">
        <w:rPr>
          <w:i/>
          <w:iCs/>
          <w:vertAlign w:val="superscript"/>
        </w:rPr>
        <w:t>th</w:t>
      </w:r>
      <w:r w:rsidR="0004742D">
        <w:rPr>
          <w:i/>
          <w:iCs/>
        </w:rPr>
        <w:t xml:space="preserve"> Legislature (R.S.)</w:t>
      </w:r>
      <w:r w:rsidR="004E0FC2">
        <w:rPr>
          <w:i/>
          <w:iCs/>
        </w:rPr>
        <w:t>,</w:t>
      </w:r>
      <w:r w:rsidR="004E0FC2">
        <w:t xml:space="preserve"> Project 55166, Dispatchable Reliability Reserve Services </w:t>
      </w:r>
      <w:r w:rsidR="002D4FEF">
        <w:t xml:space="preserve">(DRRS) </w:t>
      </w:r>
      <w:r w:rsidR="004E0FC2">
        <w:t>Letter</w:t>
      </w:r>
      <w:r w:rsidR="002D4FEF">
        <w:t xml:space="preserve"> (Oct. 17, 2023) “</w:t>
      </w:r>
      <w:r w:rsidR="00816D64" w:rsidRPr="00816D64">
        <w:t>The purpose of this provision was to create a targeted ancillary service product that could leverage flexible, dispatchable generation resources to more efficiently manage operational uncertainty within the ERCOT market.</w:t>
      </w:r>
      <w:r w:rsidR="00816D64">
        <w:t>”)</w:t>
      </w:r>
    </w:p>
  </w:footnote>
  <w:footnote w:id="2">
    <w:p w14:paraId="113BBC58" w14:textId="6140289F" w:rsidR="00492838" w:rsidRDefault="00492838" w:rsidP="00B136F0">
      <w:pPr>
        <w:pStyle w:val="FootnoteText"/>
        <w:ind w:left="360" w:hanging="360"/>
        <w:jc w:val="both"/>
      </w:pPr>
      <w:r>
        <w:rPr>
          <w:rStyle w:val="FootnoteReference"/>
        </w:rPr>
        <w:footnoteRef/>
      </w:r>
      <w:r>
        <w:t xml:space="preserve"> </w:t>
      </w:r>
      <w:r>
        <w:tab/>
        <w:t xml:space="preserve">Available at </w:t>
      </w:r>
      <w:hyperlink r:id="rId1" w:history="1">
        <w:r w:rsidR="00B136F0" w:rsidRPr="00F928B8">
          <w:rPr>
            <w:rStyle w:val="Hyperlink"/>
          </w:rPr>
          <w:t>https://www.ercot.com/files/docs/2024/02/22/Standalone%20DRRS%20Workshop%20-%20Concept.pptx</w:t>
        </w:r>
      </w:hyperlink>
      <w:r w:rsidR="00B136F0">
        <w:t xml:space="preserve">. </w:t>
      </w:r>
    </w:p>
  </w:footnote>
  <w:footnote w:id="3">
    <w:p w14:paraId="7D8B9145" w14:textId="39D76A0E" w:rsidR="006F3618" w:rsidRDefault="006F3618" w:rsidP="00624E6D">
      <w:pPr>
        <w:pStyle w:val="FootnoteText"/>
        <w:ind w:left="360" w:hanging="360"/>
        <w:jc w:val="both"/>
      </w:pPr>
      <w:r>
        <w:rPr>
          <w:rStyle w:val="FootnoteReference"/>
        </w:rPr>
        <w:footnoteRef/>
      </w:r>
      <w:r>
        <w:t xml:space="preserve"> </w:t>
      </w:r>
      <w:r>
        <w:tab/>
        <w:t>2021 State of the Market Report for the ERCOT Electricity Markets (May 2022)</w:t>
      </w:r>
      <w:r w:rsidR="00A92BE4">
        <w:t xml:space="preserve"> (2021 SOM)</w:t>
      </w:r>
      <w:r>
        <w:t xml:space="preserve"> at xviii-xix</w:t>
      </w:r>
      <w:r w:rsidR="00936D85">
        <w:t xml:space="preserve"> </w:t>
      </w:r>
      <w:r>
        <w:t>(Recommendation 2021-2 – Implement an uncertainty product)</w:t>
      </w:r>
      <w:r w:rsidR="002247DE">
        <w:t xml:space="preserve"> and 3-4</w:t>
      </w:r>
      <w:r w:rsidR="00201781">
        <w:t>.</w:t>
      </w:r>
    </w:p>
  </w:footnote>
  <w:footnote w:id="4">
    <w:p w14:paraId="6C34F30C" w14:textId="25F33EAA" w:rsidR="00966D55" w:rsidRPr="00966D55" w:rsidRDefault="00966D55" w:rsidP="00624E6D">
      <w:pPr>
        <w:pStyle w:val="FootnoteText"/>
        <w:ind w:left="360" w:hanging="360"/>
        <w:jc w:val="both"/>
      </w:pPr>
      <w:r>
        <w:rPr>
          <w:rStyle w:val="FootnoteReference"/>
        </w:rPr>
        <w:footnoteRef/>
      </w:r>
      <w:r>
        <w:t xml:space="preserve"> </w:t>
      </w:r>
      <w:r>
        <w:tab/>
      </w:r>
      <w:r>
        <w:rPr>
          <w:i/>
          <w:iCs/>
        </w:rPr>
        <w:t>Id.</w:t>
      </w:r>
      <w:r w:rsidR="00F23660">
        <w:t xml:space="preserve">; see also 2022 State of the Market Report for the ERCOT Electricity Markets (May 2023) </w:t>
      </w:r>
      <w:r w:rsidR="00A92BE4">
        <w:t xml:space="preserve">(2022 SOM) </w:t>
      </w:r>
      <w:r w:rsidR="00F23660">
        <w:t>at xix-xx (Recommendation 2021-2 – Implement an uncertainty product)</w:t>
      </w:r>
      <w:r w:rsidR="002247DE">
        <w:t xml:space="preserve"> and 3-4; </w:t>
      </w:r>
      <w:r w:rsidR="005C762F">
        <w:t xml:space="preserve">2023 State of the Market Report for the ERCOT Electricity Market (May 2024) </w:t>
      </w:r>
      <w:r w:rsidR="00A92BE4">
        <w:t xml:space="preserve">(2023 SOM) </w:t>
      </w:r>
      <w:r w:rsidR="000C5F26">
        <w:t>a</w:t>
      </w:r>
      <w:r w:rsidR="003459E0">
        <w:t>t xiv</w:t>
      </w:r>
      <w:r w:rsidR="00A34708">
        <w:t>, xx</w:t>
      </w:r>
      <w:r w:rsidR="00A63EBA">
        <w:t>iii-xxiv</w:t>
      </w:r>
      <w:r w:rsidR="002E7CD7">
        <w:t xml:space="preserve">, </w:t>
      </w:r>
      <w:r w:rsidR="00563DF3">
        <w:t>7, and A-12</w:t>
      </w:r>
      <w:r w:rsidR="00572C19">
        <w:t>-14</w:t>
      </w:r>
      <w:r w:rsidR="00DB3923">
        <w:t>.</w:t>
      </w:r>
      <w:r w:rsidR="0056433A">
        <w:t xml:space="preserve"> </w:t>
      </w:r>
    </w:p>
  </w:footnote>
  <w:footnote w:id="5">
    <w:p w14:paraId="09AFDB5A" w14:textId="77777777" w:rsidR="007F787E" w:rsidRPr="009D0035" w:rsidRDefault="007F787E" w:rsidP="007F787E">
      <w:pPr>
        <w:pStyle w:val="FootnoteText"/>
        <w:ind w:left="360" w:hanging="360"/>
      </w:pPr>
      <w:r>
        <w:rPr>
          <w:rStyle w:val="FootnoteReference"/>
        </w:rPr>
        <w:footnoteRef/>
      </w:r>
      <w:r>
        <w:t xml:space="preserve"> </w:t>
      </w:r>
      <w:r>
        <w:tab/>
      </w:r>
      <w:r>
        <w:rPr>
          <w:i/>
          <w:iCs/>
        </w:rPr>
        <w:t>Id.</w:t>
      </w:r>
    </w:p>
  </w:footnote>
  <w:footnote w:id="6">
    <w:p w14:paraId="6348E830" w14:textId="62387977" w:rsidR="00A03613" w:rsidRDefault="00A03613" w:rsidP="00624E6D">
      <w:pPr>
        <w:pStyle w:val="FootnoteText"/>
        <w:ind w:left="360" w:hanging="360"/>
        <w:jc w:val="both"/>
      </w:pPr>
      <w:r>
        <w:rPr>
          <w:rStyle w:val="FootnoteReference"/>
        </w:rPr>
        <w:footnoteRef/>
      </w:r>
      <w:r>
        <w:t xml:space="preserve"> </w:t>
      </w:r>
      <w:r>
        <w:tab/>
        <w:t>See</w:t>
      </w:r>
      <w:r w:rsidR="00CC5189">
        <w:t xml:space="preserve"> </w:t>
      </w:r>
      <w:r w:rsidR="00EE4E75" w:rsidRPr="00EE4E75">
        <w:t xml:space="preserve">July 22, 2024, comments </w:t>
      </w:r>
      <w:r w:rsidR="0086389E" w:rsidRPr="00EE4E75">
        <w:t>of Spearmint</w:t>
      </w:r>
      <w:r w:rsidR="00EE4E75" w:rsidRPr="00EE4E75">
        <w:t xml:space="preserve"> Renewable Development Company, LLC; Eolian, L.P.; and Form Energy, Inc. (Joint Commenters) submitted under NPRR 1235</w:t>
      </w:r>
      <w:r w:rsidR="00C1699A">
        <w:t xml:space="preserve"> and</w:t>
      </w:r>
      <w:r w:rsidR="00EE4E75">
        <w:t xml:space="preserve"> </w:t>
      </w:r>
      <w:r w:rsidR="00CC2EED">
        <w:t xml:space="preserve">January 29, </w:t>
      </w:r>
      <w:r w:rsidR="00B40E6C">
        <w:t>2026,</w:t>
      </w:r>
      <w:r w:rsidR="00CC2EED">
        <w:t xml:space="preserve"> comments of Texas Solar+Storage Association</w:t>
      </w:r>
      <w:r w:rsidR="003C0F0A">
        <w:t xml:space="preserve"> (TSSA) submitted under NPRR 1309</w:t>
      </w:r>
      <w:r w:rsidR="00C1699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3484" w14:textId="7CBE60CD" w:rsidR="00EE6681" w:rsidRDefault="00EE6681">
    <w:pPr>
      <w:pStyle w:val="Header"/>
      <w:jc w:val="center"/>
      <w:rPr>
        <w:sz w:val="32"/>
      </w:rPr>
    </w:pPr>
    <w:r>
      <w:rPr>
        <w:sz w:val="32"/>
      </w:rPr>
      <w:t>NPRR Comments</w:t>
    </w:r>
  </w:p>
  <w:p w14:paraId="34738A24"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D8A6693"/>
    <w:multiLevelType w:val="multilevel"/>
    <w:tmpl w:val="CD6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8F3AC2"/>
    <w:multiLevelType w:val="multilevel"/>
    <w:tmpl w:val="C51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52521750">
    <w:abstractNumId w:val="0"/>
  </w:num>
  <w:num w:numId="2" w16cid:durableId="656113297">
    <w:abstractNumId w:val="4"/>
  </w:num>
  <w:num w:numId="3" w16cid:durableId="2107924821">
    <w:abstractNumId w:val="3"/>
  </w:num>
  <w:num w:numId="4" w16cid:durableId="1569223299">
    <w:abstractNumId w:val="1"/>
  </w:num>
  <w:num w:numId="5" w16cid:durableId="1374697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20565"/>
    <w:rsid w:val="00020944"/>
    <w:rsid w:val="00020E73"/>
    <w:rsid w:val="0002137F"/>
    <w:rsid w:val="00037668"/>
    <w:rsid w:val="0004742D"/>
    <w:rsid w:val="000552BD"/>
    <w:rsid w:val="00056467"/>
    <w:rsid w:val="00065E3F"/>
    <w:rsid w:val="00075A94"/>
    <w:rsid w:val="0009323B"/>
    <w:rsid w:val="00093F2E"/>
    <w:rsid w:val="000C5F26"/>
    <w:rsid w:val="000D028F"/>
    <w:rsid w:val="000D1D67"/>
    <w:rsid w:val="000F1FD4"/>
    <w:rsid w:val="000F3535"/>
    <w:rsid w:val="000F432E"/>
    <w:rsid w:val="000F77A4"/>
    <w:rsid w:val="001007A5"/>
    <w:rsid w:val="0011422E"/>
    <w:rsid w:val="00120B09"/>
    <w:rsid w:val="00132855"/>
    <w:rsid w:val="00135A3F"/>
    <w:rsid w:val="00135EC4"/>
    <w:rsid w:val="00144FE7"/>
    <w:rsid w:val="00152993"/>
    <w:rsid w:val="001562E3"/>
    <w:rsid w:val="00161748"/>
    <w:rsid w:val="00170297"/>
    <w:rsid w:val="00175A29"/>
    <w:rsid w:val="001A227D"/>
    <w:rsid w:val="001A6F40"/>
    <w:rsid w:val="001B648D"/>
    <w:rsid w:val="001C3D5C"/>
    <w:rsid w:val="001C6930"/>
    <w:rsid w:val="001E2032"/>
    <w:rsid w:val="001F05DD"/>
    <w:rsid w:val="00201781"/>
    <w:rsid w:val="00202F85"/>
    <w:rsid w:val="00203BE1"/>
    <w:rsid w:val="002247DE"/>
    <w:rsid w:val="00230C8C"/>
    <w:rsid w:val="00235525"/>
    <w:rsid w:val="002375D0"/>
    <w:rsid w:val="002434A2"/>
    <w:rsid w:val="0024590F"/>
    <w:rsid w:val="00252477"/>
    <w:rsid w:val="0025391D"/>
    <w:rsid w:val="00255B58"/>
    <w:rsid w:val="00255C57"/>
    <w:rsid w:val="002568C4"/>
    <w:rsid w:val="002641D1"/>
    <w:rsid w:val="002722D2"/>
    <w:rsid w:val="00277E68"/>
    <w:rsid w:val="00286ECC"/>
    <w:rsid w:val="00287298"/>
    <w:rsid w:val="002937C4"/>
    <w:rsid w:val="002A464B"/>
    <w:rsid w:val="002C41F1"/>
    <w:rsid w:val="002C5EE7"/>
    <w:rsid w:val="002D4FEF"/>
    <w:rsid w:val="002E3068"/>
    <w:rsid w:val="002E7CD7"/>
    <w:rsid w:val="002F089A"/>
    <w:rsid w:val="003010C0"/>
    <w:rsid w:val="00305827"/>
    <w:rsid w:val="003116E8"/>
    <w:rsid w:val="00313C47"/>
    <w:rsid w:val="00317298"/>
    <w:rsid w:val="00332A97"/>
    <w:rsid w:val="00341289"/>
    <w:rsid w:val="003459E0"/>
    <w:rsid w:val="00347312"/>
    <w:rsid w:val="00350C00"/>
    <w:rsid w:val="00351762"/>
    <w:rsid w:val="003579F1"/>
    <w:rsid w:val="003613AE"/>
    <w:rsid w:val="00366113"/>
    <w:rsid w:val="003775D2"/>
    <w:rsid w:val="0039371C"/>
    <w:rsid w:val="00396E6F"/>
    <w:rsid w:val="003A23D4"/>
    <w:rsid w:val="003A5743"/>
    <w:rsid w:val="003C0F0A"/>
    <w:rsid w:val="003C270C"/>
    <w:rsid w:val="003D0994"/>
    <w:rsid w:val="003D34F1"/>
    <w:rsid w:val="003D466B"/>
    <w:rsid w:val="003E6F58"/>
    <w:rsid w:val="003F26D9"/>
    <w:rsid w:val="003F67E6"/>
    <w:rsid w:val="0040175F"/>
    <w:rsid w:val="00403D0A"/>
    <w:rsid w:val="00407E79"/>
    <w:rsid w:val="004146E1"/>
    <w:rsid w:val="004156AB"/>
    <w:rsid w:val="00415EF6"/>
    <w:rsid w:val="00423824"/>
    <w:rsid w:val="004270F7"/>
    <w:rsid w:val="00427906"/>
    <w:rsid w:val="0043567D"/>
    <w:rsid w:val="00436E1F"/>
    <w:rsid w:val="00442BCA"/>
    <w:rsid w:val="00451222"/>
    <w:rsid w:val="004653BC"/>
    <w:rsid w:val="0047364B"/>
    <w:rsid w:val="004768DC"/>
    <w:rsid w:val="00483CDE"/>
    <w:rsid w:val="004840E0"/>
    <w:rsid w:val="004852EB"/>
    <w:rsid w:val="00485F0C"/>
    <w:rsid w:val="00492838"/>
    <w:rsid w:val="004B057D"/>
    <w:rsid w:val="004B6A93"/>
    <w:rsid w:val="004B7B90"/>
    <w:rsid w:val="004E0FC2"/>
    <w:rsid w:val="004E2A70"/>
    <w:rsid w:val="004E2C19"/>
    <w:rsid w:val="004F7E45"/>
    <w:rsid w:val="005065F5"/>
    <w:rsid w:val="005138D7"/>
    <w:rsid w:val="0052541E"/>
    <w:rsid w:val="00545989"/>
    <w:rsid w:val="00551B7E"/>
    <w:rsid w:val="00563353"/>
    <w:rsid w:val="00563DF3"/>
    <w:rsid w:val="0056433A"/>
    <w:rsid w:val="00572C19"/>
    <w:rsid w:val="00576413"/>
    <w:rsid w:val="00581FB8"/>
    <w:rsid w:val="00584579"/>
    <w:rsid w:val="00586ED9"/>
    <w:rsid w:val="00591E40"/>
    <w:rsid w:val="00595AE2"/>
    <w:rsid w:val="00595BE4"/>
    <w:rsid w:val="00596E66"/>
    <w:rsid w:val="00597743"/>
    <w:rsid w:val="005A1814"/>
    <w:rsid w:val="005A5F04"/>
    <w:rsid w:val="005B55AD"/>
    <w:rsid w:val="005C762F"/>
    <w:rsid w:val="005D284C"/>
    <w:rsid w:val="005E0BB7"/>
    <w:rsid w:val="005E440F"/>
    <w:rsid w:val="005F1144"/>
    <w:rsid w:val="005F5953"/>
    <w:rsid w:val="005F77E5"/>
    <w:rsid w:val="006008E5"/>
    <w:rsid w:val="00600ACA"/>
    <w:rsid w:val="00604512"/>
    <w:rsid w:val="00607249"/>
    <w:rsid w:val="0061135D"/>
    <w:rsid w:val="0062282E"/>
    <w:rsid w:val="00624E6D"/>
    <w:rsid w:val="006316D4"/>
    <w:rsid w:val="00633E23"/>
    <w:rsid w:val="006414F6"/>
    <w:rsid w:val="00642F7F"/>
    <w:rsid w:val="00643CD7"/>
    <w:rsid w:val="00646F78"/>
    <w:rsid w:val="006475FA"/>
    <w:rsid w:val="00653139"/>
    <w:rsid w:val="00656FF8"/>
    <w:rsid w:val="00657CB1"/>
    <w:rsid w:val="006643BB"/>
    <w:rsid w:val="00666612"/>
    <w:rsid w:val="00673B94"/>
    <w:rsid w:val="00677C77"/>
    <w:rsid w:val="006801F8"/>
    <w:rsid w:val="00680AC6"/>
    <w:rsid w:val="006835D8"/>
    <w:rsid w:val="006B0A2A"/>
    <w:rsid w:val="006C29E1"/>
    <w:rsid w:val="006C316E"/>
    <w:rsid w:val="006C3E2A"/>
    <w:rsid w:val="006D0F7C"/>
    <w:rsid w:val="006D194C"/>
    <w:rsid w:val="006D2D74"/>
    <w:rsid w:val="006D6F2B"/>
    <w:rsid w:val="006E69A9"/>
    <w:rsid w:val="006F3618"/>
    <w:rsid w:val="006F6679"/>
    <w:rsid w:val="0070209C"/>
    <w:rsid w:val="007152CC"/>
    <w:rsid w:val="007269C4"/>
    <w:rsid w:val="00737849"/>
    <w:rsid w:val="0074209E"/>
    <w:rsid w:val="00766262"/>
    <w:rsid w:val="007758AF"/>
    <w:rsid w:val="00780A71"/>
    <w:rsid w:val="007843EF"/>
    <w:rsid w:val="00792384"/>
    <w:rsid w:val="007928B0"/>
    <w:rsid w:val="00792BF0"/>
    <w:rsid w:val="00797C6F"/>
    <w:rsid w:val="007A7E2E"/>
    <w:rsid w:val="007C232B"/>
    <w:rsid w:val="007E5CD9"/>
    <w:rsid w:val="007F0399"/>
    <w:rsid w:val="007F2CA8"/>
    <w:rsid w:val="007F3C16"/>
    <w:rsid w:val="007F4E00"/>
    <w:rsid w:val="007F7161"/>
    <w:rsid w:val="007F787E"/>
    <w:rsid w:val="00813F76"/>
    <w:rsid w:val="00816D64"/>
    <w:rsid w:val="00835649"/>
    <w:rsid w:val="00835FE1"/>
    <w:rsid w:val="0085559E"/>
    <w:rsid w:val="0086389E"/>
    <w:rsid w:val="00865644"/>
    <w:rsid w:val="00867321"/>
    <w:rsid w:val="008674C6"/>
    <w:rsid w:val="008700CE"/>
    <w:rsid w:val="0087380A"/>
    <w:rsid w:val="00875C28"/>
    <w:rsid w:val="00882800"/>
    <w:rsid w:val="00891465"/>
    <w:rsid w:val="00891B29"/>
    <w:rsid w:val="00896B1B"/>
    <w:rsid w:val="008B21B4"/>
    <w:rsid w:val="008B6904"/>
    <w:rsid w:val="008C346D"/>
    <w:rsid w:val="008D0D94"/>
    <w:rsid w:val="008D25DE"/>
    <w:rsid w:val="008D35C9"/>
    <w:rsid w:val="008D74A5"/>
    <w:rsid w:val="008E3BFF"/>
    <w:rsid w:val="008E4699"/>
    <w:rsid w:val="008E559E"/>
    <w:rsid w:val="008E5A99"/>
    <w:rsid w:val="008F6A91"/>
    <w:rsid w:val="00900B77"/>
    <w:rsid w:val="00916080"/>
    <w:rsid w:val="00921A68"/>
    <w:rsid w:val="00936D85"/>
    <w:rsid w:val="00937BB8"/>
    <w:rsid w:val="009565C6"/>
    <w:rsid w:val="00966D55"/>
    <w:rsid w:val="00972E0A"/>
    <w:rsid w:val="0098116D"/>
    <w:rsid w:val="009815FA"/>
    <w:rsid w:val="00992840"/>
    <w:rsid w:val="009A3519"/>
    <w:rsid w:val="009B6C12"/>
    <w:rsid w:val="009D0035"/>
    <w:rsid w:val="009D1F5A"/>
    <w:rsid w:val="009D712D"/>
    <w:rsid w:val="009E3632"/>
    <w:rsid w:val="009F59C9"/>
    <w:rsid w:val="00A015C4"/>
    <w:rsid w:val="00A03613"/>
    <w:rsid w:val="00A05788"/>
    <w:rsid w:val="00A07CEE"/>
    <w:rsid w:val="00A105BE"/>
    <w:rsid w:val="00A13642"/>
    <w:rsid w:val="00A15172"/>
    <w:rsid w:val="00A21C25"/>
    <w:rsid w:val="00A30BAA"/>
    <w:rsid w:val="00A34708"/>
    <w:rsid w:val="00A37E10"/>
    <w:rsid w:val="00A47AEF"/>
    <w:rsid w:val="00A63EBA"/>
    <w:rsid w:val="00A8771C"/>
    <w:rsid w:val="00A90E61"/>
    <w:rsid w:val="00A92BE4"/>
    <w:rsid w:val="00AB5AAD"/>
    <w:rsid w:val="00AC0858"/>
    <w:rsid w:val="00AD1A39"/>
    <w:rsid w:val="00AE0A7A"/>
    <w:rsid w:val="00AE3BBC"/>
    <w:rsid w:val="00B12ECB"/>
    <w:rsid w:val="00B136F0"/>
    <w:rsid w:val="00B237C6"/>
    <w:rsid w:val="00B259FA"/>
    <w:rsid w:val="00B346EB"/>
    <w:rsid w:val="00B40C09"/>
    <w:rsid w:val="00B40E6C"/>
    <w:rsid w:val="00B5080A"/>
    <w:rsid w:val="00B51A36"/>
    <w:rsid w:val="00B57013"/>
    <w:rsid w:val="00B60BDD"/>
    <w:rsid w:val="00B76355"/>
    <w:rsid w:val="00B807C2"/>
    <w:rsid w:val="00B80A1E"/>
    <w:rsid w:val="00B943AE"/>
    <w:rsid w:val="00BA518B"/>
    <w:rsid w:val="00BA59C4"/>
    <w:rsid w:val="00BA73EB"/>
    <w:rsid w:val="00BC3B2D"/>
    <w:rsid w:val="00BD6F64"/>
    <w:rsid w:val="00BD7258"/>
    <w:rsid w:val="00BD745A"/>
    <w:rsid w:val="00BE3CCC"/>
    <w:rsid w:val="00BF3BC5"/>
    <w:rsid w:val="00BF7E5B"/>
    <w:rsid w:val="00C0598D"/>
    <w:rsid w:val="00C1177A"/>
    <w:rsid w:val="00C11956"/>
    <w:rsid w:val="00C13F39"/>
    <w:rsid w:val="00C14912"/>
    <w:rsid w:val="00C158BD"/>
    <w:rsid w:val="00C1639B"/>
    <w:rsid w:val="00C1699A"/>
    <w:rsid w:val="00C17EAC"/>
    <w:rsid w:val="00C21A67"/>
    <w:rsid w:val="00C2535E"/>
    <w:rsid w:val="00C2738A"/>
    <w:rsid w:val="00C36C92"/>
    <w:rsid w:val="00C412B7"/>
    <w:rsid w:val="00C41532"/>
    <w:rsid w:val="00C501A8"/>
    <w:rsid w:val="00C5632D"/>
    <w:rsid w:val="00C602E5"/>
    <w:rsid w:val="00C61D53"/>
    <w:rsid w:val="00C748FD"/>
    <w:rsid w:val="00C7531E"/>
    <w:rsid w:val="00C90441"/>
    <w:rsid w:val="00C91ED3"/>
    <w:rsid w:val="00C94CF6"/>
    <w:rsid w:val="00CA445A"/>
    <w:rsid w:val="00CA6FCA"/>
    <w:rsid w:val="00CB126A"/>
    <w:rsid w:val="00CB3F42"/>
    <w:rsid w:val="00CB6496"/>
    <w:rsid w:val="00CC2EED"/>
    <w:rsid w:val="00CC5189"/>
    <w:rsid w:val="00CD13AB"/>
    <w:rsid w:val="00CD199B"/>
    <w:rsid w:val="00CE4B59"/>
    <w:rsid w:val="00CE5CDE"/>
    <w:rsid w:val="00CE6EC0"/>
    <w:rsid w:val="00D12C2B"/>
    <w:rsid w:val="00D313D7"/>
    <w:rsid w:val="00D31905"/>
    <w:rsid w:val="00D4046E"/>
    <w:rsid w:val="00D4362F"/>
    <w:rsid w:val="00D56AC7"/>
    <w:rsid w:val="00D616E2"/>
    <w:rsid w:val="00DA0E73"/>
    <w:rsid w:val="00DA758A"/>
    <w:rsid w:val="00DB2140"/>
    <w:rsid w:val="00DB3923"/>
    <w:rsid w:val="00DD4739"/>
    <w:rsid w:val="00DD7940"/>
    <w:rsid w:val="00DE4BA5"/>
    <w:rsid w:val="00DE5F33"/>
    <w:rsid w:val="00DF117C"/>
    <w:rsid w:val="00DF24D3"/>
    <w:rsid w:val="00E02F7A"/>
    <w:rsid w:val="00E06757"/>
    <w:rsid w:val="00E07B54"/>
    <w:rsid w:val="00E11F78"/>
    <w:rsid w:val="00E13FD4"/>
    <w:rsid w:val="00E268A7"/>
    <w:rsid w:val="00E31D9F"/>
    <w:rsid w:val="00E32072"/>
    <w:rsid w:val="00E321A0"/>
    <w:rsid w:val="00E40519"/>
    <w:rsid w:val="00E44C9B"/>
    <w:rsid w:val="00E506F9"/>
    <w:rsid w:val="00E6128D"/>
    <w:rsid w:val="00E621E1"/>
    <w:rsid w:val="00E70044"/>
    <w:rsid w:val="00E81161"/>
    <w:rsid w:val="00E92A3E"/>
    <w:rsid w:val="00E94FCB"/>
    <w:rsid w:val="00E95EDA"/>
    <w:rsid w:val="00EA3729"/>
    <w:rsid w:val="00EB6373"/>
    <w:rsid w:val="00EC27DE"/>
    <w:rsid w:val="00EC55B3"/>
    <w:rsid w:val="00EC6DDE"/>
    <w:rsid w:val="00ED127F"/>
    <w:rsid w:val="00EE4677"/>
    <w:rsid w:val="00EE4E75"/>
    <w:rsid w:val="00EE6681"/>
    <w:rsid w:val="00EF07A7"/>
    <w:rsid w:val="00EF1F97"/>
    <w:rsid w:val="00F15AD6"/>
    <w:rsid w:val="00F171A9"/>
    <w:rsid w:val="00F23660"/>
    <w:rsid w:val="00F242A7"/>
    <w:rsid w:val="00F36A43"/>
    <w:rsid w:val="00F45E9D"/>
    <w:rsid w:val="00F477DD"/>
    <w:rsid w:val="00F66074"/>
    <w:rsid w:val="00F74F69"/>
    <w:rsid w:val="00F879A6"/>
    <w:rsid w:val="00F96FB2"/>
    <w:rsid w:val="00F9723E"/>
    <w:rsid w:val="00FB1EB4"/>
    <w:rsid w:val="00FB38F7"/>
    <w:rsid w:val="00FB51D8"/>
    <w:rsid w:val="00FB6FF1"/>
    <w:rsid w:val="00FB6FF7"/>
    <w:rsid w:val="00FC4653"/>
    <w:rsid w:val="00FD08E8"/>
    <w:rsid w:val="00FD1BDC"/>
    <w:rsid w:val="00FD4BC1"/>
    <w:rsid w:val="00FE0A6A"/>
    <w:rsid w:val="00FE5CA5"/>
    <w:rsid w:val="00FF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0F999"/>
  <w15:chartTrackingRefBased/>
  <w15:docId w15:val="{4782361D-2EDE-4B5D-8B33-899DC74D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BA5"/>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FootnoteText">
    <w:name w:val="footnote text"/>
    <w:basedOn w:val="Normal"/>
    <w:link w:val="FootnoteTextChar"/>
    <w:rsid w:val="00BA73EB"/>
    <w:rPr>
      <w:sz w:val="20"/>
      <w:szCs w:val="20"/>
    </w:rPr>
  </w:style>
  <w:style w:type="character" w:customStyle="1" w:styleId="FootnoteTextChar">
    <w:name w:val="Footnote Text Char"/>
    <w:basedOn w:val="DefaultParagraphFont"/>
    <w:link w:val="FootnoteText"/>
    <w:rsid w:val="00BA73EB"/>
  </w:style>
  <w:style w:type="character" w:styleId="FootnoteReference">
    <w:name w:val="footnote reference"/>
    <w:rsid w:val="00BA73EB"/>
    <w:rPr>
      <w:vertAlign w:val="superscript"/>
    </w:rPr>
  </w:style>
  <w:style w:type="character" w:styleId="UnresolvedMention">
    <w:name w:val="Unresolved Mention"/>
    <w:basedOn w:val="DefaultParagraphFont"/>
    <w:uiPriority w:val="99"/>
    <w:semiHidden/>
    <w:unhideWhenUsed/>
    <w:rsid w:val="00BA73EB"/>
    <w:rPr>
      <w:color w:val="605E5C"/>
      <w:shd w:val="clear" w:color="auto" w:fill="E1DFDD"/>
    </w:rPr>
  </w:style>
  <w:style w:type="character" w:customStyle="1" w:styleId="HeaderChar">
    <w:name w:val="Header Char"/>
    <w:basedOn w:val="DefaultParagraphFont"/>
    <w:link w:val="Header"/>
    <w:rsid w:val="00DE4BA5"/>
    <w:rPr>
      <w:rFonts w:ascii="Arial" w:hAnsi="Arial"/>
      <w:b/>
      <w:bCs/>
      <w:sz w:val="24"/>
      <w:szCs w:val="24"/>
    </w:rPr>
  </w:style>
  <w:style w:type="paragraph" w:styleId="Revision">
    <w:name w:val="Revision"/>
    <w:hidden/>
    <w:uiPriority w:val="99"/>
    <w:semiHidden/>
    <w:rsid w:val="00992840"/>
    <w:rPr>
      <w:sz w:val="24"/>
      <w:szCs w:val="24"/>
    </w:rPr>
  </w:style>
  <w:style w:type="character" w:customStyle="1" w:styleId="NormalArialChar">
    <w:name w:val="Normal+Arial Char"/>
    <w:link w:val="NormalArial"/>
    <w:rsid w:val="00595AE2"/>
    <w:rPr>
      <w:rFonts w:ascii="Arial" w:hAnsi="Arial"/>
      <w:sz w:val="24"/>
      <w:szCs w:val="24"/>
    </w:rPr>
  </w:style>
  <w:style w:type="paragraph" w:styleId="NormalWeb">
    <w:name w:val="Normal (Web)"/>
    <w:basedOn w:val="Normal"/>
    <w:uiPriority w:val="99"/>
    <w:unhideWhenUsed/>
    <w:rsid w:val="008700CE"/>
    <w:pPr>
      <w:spacing w:before="100" w:beforeAutospacing="1" w:after="100" w:afterAutospacing="1"/>
    </w:pPr>
  </w:style>
  <w:style w:type="character" w:styleId="Emphasis">
    <w:name w:val="Emphasis"/>
    <w:basedOn w:val="DefaultParagraphFont"/>
    <w:uiPriority w:val="20"/>
    <w:qFormat/>
    <w:rsid w:val="008700CE"/>
    <w:rPr>
      <w:i/>
      <w:iCs/>
    </w:rPr>
  </w:style>
  <w:style w:type="paragraph" w:customStyle="1" w:styleId="my-2">
    <w:name w:val="my-2"/>
    <w:basedOn w:val="Normal"/>
    <w:rsid w:val="00B51A36"/>
    <w:pPr>
      <w:spacing w:before="100" w:beforeAutospacing="1" w:after="100" w:afterAutospacing="1"/>
    </w:pPr>
  </w:style>
  <w:style w:type="character" w:styleId="Strong">
    <w:name w:val="Strong"/>
    <w:basedOn w:val="DefaultParagraphFont"/>
    <w:uiPriority w:val="22"/>
    <w:qFormat/>
    <w:rsid w:val="002C5E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1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nja.wicks@esvolt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meadors@pluspower.com" TargetMode="External"/><Relationship Id="rId4" Type="http://schemas.openxmlformats.org/officeDocument/2006/relationships/settings" Target="settings.xml"/><Relationship Id="rId9" Type="http://schemas.openxmlformats.org/officeDocument/2006/relationships/hyperlink" Target="mailto:jclark@spearmintenergy.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files/docs/2024/02/22/Standalone%20DRRS%20Workshop%20-%20Concept.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A550E-9818-47CF-A460-A22AB032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1568</Words>
  <Characters>8832</Characters>
  <Application>Microsoft Office Word</Application>
  <DocSecurity>0</DocSecurity>
  <Lines>176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10354</CharactersWithSpaces>
  <SharedDoc>false</SharedDoc>
  <HLinks>
    <vt:vector size="6" baseType="variant">
      <vt:variant>
        <vt:i4>7078003</vt:i4>
      </vt:variant>
      <vt:variant>
        <vt:i4>0</vt:i4>
      </vt:variant>
      <vt:variant>
        <vt:i4>0</vt:i4>
      </vt:variant>
      <vt:variant>
        <vt:i4>5</vt:i4>
      </vt:variant>
      <vt:variant>
        <vt:lpwstr>https://www.ercot.com/mktrules/issues/NPRR1310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Harika Basaran</dc:creator>
  <cp:keywords/>
  <dc:description/>
  <cp:lastModifiedBy>Schaper Energy Consulting 030526</cp:lastModifiedBy>
  <cp:revision>3</cp:revision>
  <cp:lastPrinted>2026-03-05T22:13:00Z</cp:lastPrinted>
  <dcterms:created xsi:type="dcterms:W3CDTF">2026-03-06T01:00:00Z</dcterms:created>
  <dcterms:modified xsi:type="dcterms:W3CDTF">2026-03-06T01:02:00Z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2026-02-27T19:08:57Z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5263e7a5-33aa-4ca7-8d92-17b116e56067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