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5399A156" w14:textId="77777777">
        <w:tc>
          <w:tcPr>
            <w:tcW w:w="1620" w:type="dxa"/>
            <w:tcBorders>
              <w:bottom w:val="single" w:sz="4" w:space="0" w:color="auto"/>
            </w:tcBorders>
            <w:shd w:val="clear" w:color="auto" w:fill="FFFFFF"/>
            <w:vAlign w:val="center"/>
          </w:tcPr>
          <w:p w14:paraId="340995AB"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6EBF88D3" w14:textId="16DA0C46" w:rsidR="00152993" w:rsidRDefault="00F4248F">
            <w:pPr>
              <w:pStyle w:val="Header"/>
            </w:pPr>
            <w:hyperlink r:id="rId10" w:history="1">
              <w:r w:rsidRPr="00F4248F">
                <w:rPr>
                  <w:rStyle w:val="Hyperlink"/>
                </w:rPr>
                <w:t>1310</w:t>
              </w:r>
            </w:hyperlink>
          </w:p>
        </w:tc>
        <w:tc>
          <w:tcPr>
            <w:tcW w:w="900" w:type="dxa"/>
            <w:tcBorders>
              <w:bottom w:val="single" w:sz="4" w:space="0" w:color="auto"/>
            </w:tcBorders>
            <w:shd w:val="clear" w:color="auto" w:fill="FFFFFF"/>
            <w:vAlign w:val="center"/>
          </w:tcPr>
          <w:p w14:paraId="44F10056" w14:textId="77777777" w:rsidR="00152993" w:rsidRDefault="00EE6681">
            <w:pPr>
              <w:pStyle w:val="Header"/>
            </w:pPr>
            <w:r>
              <w:t>N</w:t>
            </w:r>
            <w:r w:rsidR="00152993">
              <w:t>PRR Title</w:t>
            </w:r>
          </w:p>
        </w:tc>
        <w:tc>
          <w:tcPr>
            <w:tcW w:w="6660" w:type="dxa"/>
            <w:tcBorders>
              <w:bottom w:val="single" w:sz="4" w:space="0" w:color="auto"/>
            </w:tcBorders>
            <w:vAlign w:val="center"/>
          </w:tcPr>
          <w:p w14:paraId="6CA6BC7B" w14:textId="43EA9C2C" w:rsidR="00152993" w:rsidRDefault="00F4248F">
            <w:pPr>
              <w:pStyle w:val="Header"/>
            </w:pPr>
            <w:r w:rsidRPr="00F4248F">
              <w:t>Dispatchable Reliability Reserve Service Plus Energy Storage Resource Participation and Release Factor</w:t>
            </w:r>
          </w:p>
        </w:tc>
      </w:tr>
      <w:tr w:rsidR="00152993" w14:paraId="372E38AC" w14:textId="77777777">
        <w:trPr>
          <w:trHeight w:val="413"/>
        </w:trPr>
        <w:tc>
          <w:tcPr>
            <w:tcW w:w="2880" w:type="dxa"/>
            <w:gridSpan w:val="2"/>
            <w:tcBorders>
              <w:top w:val="nil"/>
              <w:left w:val="nil"/>
              <w:bottom w:val="single" w:sz="4" w:space="0" w:color="auto"/>
              <w:right w:val="nil"/>
            </w:tcBorders>
            <w:vAlign w:val="center"/>
          </w:tcPr>
          <w:p w14:paraId="47CF3463"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73199320" w14:textId="77777777" w:rsidR="00152993" w:rsidRDefault="00152993">
            <w:pPr>
              <w:pStyle w:val="NormalArial"/>
            </w:pPr>
          </w:p>
        </w:tc>
      </w:tr>
      <w:tr w:rsidR="00152993" w14:paraId="460CB373"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0340F6AE"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E441CAB" w14:textId="3E5DCE7A" w:rsidR="00152993" w:rsidRDefault="00CD107F">
            <w:pPr>
              <w:pStyle w:val="NormalArial"/>
            </w:pPr>
            <w:r>
              <w:t>March 5, 2026</w:t>
            </w:r>
          </w:p>
        </w:tc>
      </w:tr>
      <w:tr w:rsidR="00152993" w14:paraId="77F00A55" w14:textId="77777777">
        <w:trPr>
          <w:trHeight w:val="467"/>
        </w:trPr>
        <w:tc>
          <w:tcPr>
            <w:tcW w:w="2880" w:type="dxa"/>
            <w:gridSpan w:val="2"/>
            <w:tcBorders>
              <w:top w:val="single" w:sz="4" w:space="0" w:color="auto"/>
              <w:left w:val="nil"/>
              <w:bottom w:val="nil"/>
              <w:right w:val="nil"/>
            </w:tcBorders>
            <w:shd w:val="clear" w:color="auto" w:fill="FFFFFF"/>
            <w:vAlign w:val="center"/>
          </w:tcPr>
          <w:p w14:paraId="704D1FC3" w14:textId="77777777" w:rsidR="00152993" w:rsidRDefault="00152993">
            <w:pPr>
              <w:pStyle w:val="NormalArial"/>
            </w:pPr>
          </w:p>
        </w:tc>
        <w:tc>
          <w:tcPr>
            <w:tcW w:w="7560" w:type="dxa"/>
            <w:gridSpan w:val="2"/>
            <w:tcBorders>
              <w:top w:val="nil"/>
              <w:left w:val="nil"/>
              <w:bottom w:val="nil"/>
              <w:right w:val="nil"/>
            </w:tcBorders>
            <w:vAlign w:val="center"/>
          </w:tcPr>
          <w:p w14:paraId="59C865A3" w14:textId="77777777" w:rsidR="00152993" w:rsidRDefault="00152993">
            <w:pPr>
              <w:pStyle w:val="NormalArial"/>
            </w:pPr>
          </w:p>
        </w:tc>
      </w:tr>
      <w:tr w:rsidR="00152993" w14:paraId="1EEF9357" w14:textId="77777777">
        <w:trPr>
          <w:trHeight w:val="440"/>
        </w:trPr>
        <w:tc>
          <w:tcPr>
            <w:tcW w:w="10440" w:type="dxa"/>
            <w:gridSpan w:val="4"/>
            <w:tcBorders>
              <w:top w:val="single" w:sz="4" w:space="0" w:color="auto"/>
            </w:tcBorders>
            <w:shd w:val="clear" w:color="auto" w:fill="FFFFFF"/>
            <w:vAlign w:val="center"/>
          </w:tcPr>
          <w:p w14:paraId="4EC96334" w14:textId="77777777" w:rsidR="00152993" w:rsidRDefault="00152993">
            <w:pPr>
              <w:pStyle w:val="Header"/>
              <w:jc w:val="center"/>
            </w:pPr>
            <w:r>
              <w:t>Submitter’s Information</w:t>
            </w:r>
          </w:p>
        </w:tc>
      </w:tr>
      <w:tr w:rsidR="00152993" w14:paraId="5043478B" w14:textId="77777777">
        <w:trPr>
          <w:trHeight w:val="350"/>
        </w:trPr>
        <w:tc>
          <w:tcPr>
            <w:tcW w:w="2880" w:type="dxa"/>
            <w:gridSpan w:val="2"/>
            <w:shd w:val="clear" w:color="auto" w:fill="FFFFFF"/>
            <w:vAlign w:val="center"/>
          </w:tcPr>
          <w:p w14:paraId="67F43516" w14:textId="77777777" w:rsidR="00152993" w:rsidRPr="00EC55B3" w:rsidRDefault="00152993" w:rsidP="00EC55B3">
            <w:pPr>
              <w:pStyle w:val="Header"/>
            </w:pPr>
            <w:r w:rsidRPr="00EC55B3">
              <w:t>Name</w:t>
            </w:r>
          </w:p>
        </w:tc>
        <w:tc>
          <w:tcPr>
            <w:tcW w:w="7560" w:type="dxa"/>
            <w:gridSpan w:val="2"/>
            <w:vAlign w:val="center"/>
          </w:tcPr>
          <w:p w14:paraId="1EA58DF2" w14:textId="4F457BD6" w:rsidR="00152993" w:rsidRDefault="00F4248F">
            <w:pPr>
              <w:pStyle w:val="NormalArial"/>
            </w:pPr>
            <w:r>
              <w:t>Casey Horan</w:t>
            </w:r>
          </w:p>
        </w:tc>
      </w:tr>
      <w:tr w:rsidR="00152993" w14:paraId="72D41C35" w14:textId="77777777">
        <w:trPr>
          <w:trHeight w:val="350"/>
        </w:trPr>
        <w:tc>
          <w:tcPr>
            <w:tcW w:w="2880" w:type="dxa"/>
            <w:gridSpan w:val="2"/>
            <w:shd w:val="clear" w:color="auto" w:fill="FFFFFF"/>
            <w:vAlign w:val="center"/>
          </w:tcPr>
          <w:p w14:paraId="401C760A" w14:textId="77777777" w:rsidR="00152993" w:rsidRPr="00EC55B3" w:rsidRDefault="00152993" w:rsidP="00EC55B3">
            <w:pPr>
              <w:pStyle w:val="Header"/>
            </w:pPr>
            <w:r w:rsidRPr="00EC55B3">
              <w:t>E-mail Address</w:t>
            </w:r>
          </w:p>
        </w:tc>
        <w:tc>
          <w:tcPr>
            <w:tcW w:w="7560" w:type="dxa"/>
            <w:gridSpan w:val="2"/>
            <w:vAlign w:val="center"/>
          </w:tcPr>
          <w:p w14:paraId="1EE92F9B" w14:textId="2EBECB6D" w:rsidR="00152993" w:rsidRDefault="00CD107F">
            <w:pPr>
              <w:pStyle w:val="NormalArial"/>
            </w:pPr>
            <w:hyperlink r:id="rId11" w:history="1">
              <w:r w:rsidRPr="00C67E89">
                <w:rPr>
                  <w:rStyle w:val="Hyperlink"/>
                </w:rPr>
                <w:t>choran@edf.org</w:t>
              </w:r>
            </w:hyperlink>
          </w:p>
        </w:tc>
      </w:tr>
      <w:tr w:rsidR="00152993" w14:paraId="7DB3F1BC" w14:textId="77777777">
        <w:trPr>
          <w:trHeight w:val="350"/>
        </w:trPr>
        <w:tc>
          <w:tcPr>
            <w:tcW w:w="2880" w:type="dxa"/>
            <w:gridSpan w:val="2"/>
            <w:shd w:val="clear" w:color="auto" w:fill="FFFFFF"/>
            <w:vAlign w:val="center"/>
          </w:tcPr>
          <w:p w14:paraId="4E4B015C" w14:textId="77777777" w:rsidR="00152993" w:rsidRPr="00EC55B3" w:rsidRDefault="00152993" w:rsidP="00EC55B3">
            <w:pPr>
              <w:pStyle w:val="Header"/>
            </w:pPr>
            <w:r w:rsidRPr="00EC55B3">
              <w:t>Company</w:t>
            </w:r>
          </w:p>
        </w:tc>
        <w:tc>
          <w:tcPr>
            <w:tcW w:w="7560" w:type="dxa"/>
            <w:gridSpan w:val="2"/>
            <w:vAlign w:val="center"/>
          </w:tcPr>
          <w:p w14:paraId="2E7FF3AD" w14:textId="5431CA4F" w:rsidR="00152993" w:rsidRDefault="00F4248F">
            <w:pPr>
              <w:pStyle w:val="NormalArial"/>
            </w:pPr>
            <w:r>
              <w:t>Environmental Defense Fund</w:t>
            </w:r>
            <w:r w:rsidR="00CD107F">
              <w:t xml:space="preserve"> (EDF)</w:t>
            </w:r>
          </w:p>
        </w:tc>
      </w:tr>
      <w:tr w:rsidR="00152993" w14:paraId="2F45045A" w14:textId="77777777">
        <w:trPr>
          <w:trHeight w:val="350"/>
        </w:trPr>
        <w:tc>
          <w:tcPr>
            <w:tcW w:w="2880" w:type="dxa"/>
            <w:gridSpan w:val="2"/>
            <w:tcBorders>
              <w:bottom w:val="single" w:sz="4" w:space="0" w:color="auto"/>
            </w:tcBorders>
            <w:shd w:val="clear" w:color="auto" w:fill="FFFFFF"/>
            <w:vAlign w:val="center"/>
          </w:tcPr>
          <w:p w14:paraId="7B4DBAD8" w14:textId="77777777" w:rsidR="00152993" w:rsidRPr="00EC55B3" w:rsidRDefault="00152993" w:rsidP="00EC55B3">
            <w:pPr>
              <w:pStyle w:val="Header"/>
            </w:pPr>
            <w:r w:rsidRPr="00EC55B3">
              <w:t>Phone Number</w:t>
            </w:r>
          </w:p>
        </w:tc>
        <w:tc>
          <w:tcPr>
            <w:tcW w:w="7560" w:type="dxa"/>
            <w:gridSpan w:val="2"/>
            <w:tcBorders>
              <w:bottom w:val="single" w:sz="4" w:space="0" w:color="auto"/>
            </w:tcBorders>
            <w:vAlign w:val="center"/>
          </w:tcPr>
          <w:p w14:paraId="7005F2EB" w14:textId="700B6556" w:rsidR="00152993" w:rsidRDefault="00F4248F">
            <w:pPr>
              <w:pStyle w:val="NormalArial"/>
            </w:pPr>
            <w:r w:rsidRPr="00F4248F">
              <w:t>212-624-8888</w:t>
            </w:r>
          </w:p>
        </w:tc>
      </w:tr>
      <w:tr w:rsidR="00152993" w14:paraId="3CEEF649" w14:textId="77777777">
        <w:trPr>
          <w:trHeight w:val="350"/>
        </w:trPr>
        <w:tc>
          <w:tcPr>
            <w:tcW w:w="2880" w:type="dxa"/>
            <w:gridSpan w:val="2"/>
            <w:shd w:val="clear" w:color="auto" w:fill="FFFFFF"/>
            <w:vAlign w:val="center"/>
          </w:tcPr>
          <w:p w14:paraId="05C4C897" w14:textId="77777777" w:rsidR="00152993" w:rsidRPr="00EC55B3" w:rsidRDefault="00075A94" w:rsidP="00EC55B3">
            <w:pPr>
              <w:pStyle w:val="Header"/>
            </w:pPr>
            <w:r>
              <w:t>Cell</w:t>
            </w:r>
            <w:r w:rsidRPr="00EC55B3">
              <w:t xml:space="preserve"> </w:t>
            </w:r>
            <w:r w:rsidR="00152993" w:rsidRPr="00EC55B3">
              <w:t>Number</w:t>
            </w:r>
          </w:p>
        </w:tc>
        <w:tc>
          <w:tcPr>
            <w:tcW w:w="7560" w:type="dxa"/>
            <w:gridSpan w:val="2"/>
            <w:vAlign w:val="center"/>
          </w:tcPr>
          <w:p w14:paraId="694FFECD" w14:textId="77777777" w:rsidR="00152993" w:rsidRDefault="00152993">
            <w:pPr>
              <w:pStyle w:val="NormalArial"/>
            </w:pPr>
          </w:p>
        </w:tc>
      </w:tr>
      <w:tr w:rsidR="00075A94" w14:paraId="51034645" w14:textId="77777777">
        <w:trPr>
          <w:trHeight w:val="350"/>
        </w:trPr>
        <w:tc>
          <w:tcPr>
            <w:tcW w:w="2880" w:type="dxa"/>
            <w:gridSpan w:val="2"/>
            <w:tcBorders>
              <w:bottom w:val="single" w:sz="4" w:space="0" w:color="auto"/>
            </w:tcBorders>
            <w:shd w:val="clear" w:color="auto" w:fill="FFFFFF"/>
            <w:vAlign w:val="center"/>
          </w:tcPr>
          <w:p w14:paraId="366B1301" w14:textId="77777777" w:rsidR="00075A94" w:rsidRPr="00EC55B3" w:rsidDel="00075A94" w:rsidRDefault="00075A94" w:rsidP="00EC55B3">
            <w:pPr>
              <w:pStyle w:val="Header"/>
            </w:pPr>
            <w:r>
              <w:t>Market Segment</w:t>
            </w:r>
          </w:p>
        </w:tc>
        <w:tc>
          <w:tcPr>
            <w:tcW w:w="7560" w:type="dxa"/>
            <w:gridSpan w:val="2"/>
            <w:tcBorders>
              <w:bottom w:val="single" w:sz="4" w:space="0" w:color="auto"/>
            </w:tcBorders>
            <w:vAlign w:val="center"/>
          </w:tcPr>
          <w:p w14:paraId="44C4E7F4" w14:textId="335008D4" w:rsidR="00075A94" w:rsidRDefault="00F4248F">
            <w:pPr>
              <w:pStyle w:val="NormalArial"/>
            </w:pPr>
            <w:r>
              <w:t xml:space="preserve">Not </w:t>
            </w:r>
            <w:r w:rsidR="00CD107F">
              <w:t>a</w:t>
            </w:r>
            <w:r>
              <w:t>pplicable</w:t>
            </w:r>
          </w:p>
        </w:tc>
      </w:tr>
    </w:tbl>
    <w:p w14:paraId="237D81A5"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004A06" w14:paraId="6D47C8E3" w14:textId="77777777" w:rsidTr="0036350D">
        <w:trPr>
          <w:trHeight w:val="350"/>
        </w:trPr>
        <w:tc>
          <w:tcPr>
            <w:tcW w:w="10440" w:type="dxa"/>
            <w:tcBorders>
              <w:bottom w:val="single" w:sz="4" w:space="0" w:color="auto"/>
            </w:tcBorders>
            <w:shd w:val="clear" w:color="auto" w:fill="FFFFFF"/>
            <w:vAlign w:val="center"/>
          </w:tcPr>
          <w:p w14:paraId="507D2D83" w14:textId="4114CA20" w:rsidR="00004A06" w:rsidRDefault="00004A06" w:rsidP="0036350D">
            <w:pPr>
              <w:pStyle w:val="Header"/>
              <w:jc w:val="center"/>
            </w:pPr>
            <w:r>
              <w:t>Comments</w:t>
            </w:r>
          </w:p>
        </w:tc>
      </w:tr>
    </w:tbl>
    <w:p w14:paraId="277D354D" w14:textId="77777777" w:rsidR="00F4248F" w:rsidRPr="00F4248F" w:rsidRDefault="00F4248F" w:rsidP="00004A06">
      <w:pPr>
        <w:pStyle w:val="NormalArial"/>
        <w:numPr>
          <w:ilvl w:val="0"/>
          <w:numId w:val="3"/>
        </w:numPr>
        <w:spacing w:before="120" w:after="120"/>
        <w:ind w:left="0" w:firstLine="0"/>
        <w:jc w:val="center"/>
        <w:rPr>
          <w:b/>
          <w:bCs/>
        </w:rPr>
      </w:pPr>
      <w:r w:rsidRPr="00F4248F">
        <w:rPr>
          <w:b/>
          <w:bCs/>
        </w:rPr>
        <w:t>INTRODUCTION</w:t>
      </w:r>
    </w:p>
    <w:p w14:paraId="0972862B" w14:textId="278B9B85" w:rsidR="00F4248F" w:rsidRPr="00F4248F" w:rsidRDefault="00F4248F" w:rsidP="00004A06">
      <w:pPr>
        <w:pStyle w:val="NormalArial"/>
        <w:spacing w:before="120" w:after="120" w:line="276" w:lineRule="auto"/>
        <w:ind w:firstLine="720"/>
        <w:jc w:val="both"/>
      </w:pPr>
      <w:r w:rsidRPr="00F4248F">
        <w:t>Environmental Defense Fund (EDF) appreciates the opportunity to comment on Nodal Protocol Revision Request (NPRR) 1310 and the proposed Dispatchable Reliability Reserve Service “Plus” (“DRRS+”) construct. EDF is a non-profit environmental organization dedicated to solving some of the world’s most pressing environmental challenges through practical, science-based solutions. EDF is focused on helping Texas’ competitive energy market thrive as significant new capacity is being added that is transforming the grid amid unprecedented electric load growth, as well as increasing challenges to grid resilience and reliability. For these reasons and those discussed below, EDF recommends that NPRR1310 be suspended, or alternatively, that it not be adopted as proposed. EDF also provides responses to ERCOT’s comments filed on February 27 below.</w:t>
      </w:r>
    </w:p>
    <w:p w14:paraId="0991E622" w14:textId="77382191" w:rsidR="00F4248F" w:rsidRPr="00F4248F" w:rsidRDefault="00F4248F" w:rsidP="00004A06">
      <w:pPr>
        <w:pStyle w:val="NormalArial"/>
        <w:spacing w:before="120" w:after="120" w:line="276" w:lineRule="auto"/>
        <w:ind w:firstLine="720"/>
        <w:jc w:val="both"/>
      </w:pPr>
      <w:r w:rsidRPr="00F4248F">
        <w:t>First, EDF recommends that NPRR1310 be suspended, as ERCOT does not need both NPRR1309</w:t>
      </w:r>
      <w:r w:rsidR="0043249D">
        <w:t xml:space="preserve">, </w:t>
      </w:r>
      <w:r w:rsidR="0043249D" w:rsidRPr="0043249D">
        <w:t>Board Priority - Dispatchable Reliability Reserve Service Ancillary Service</w:t>
      </w:r>
      <w:r w:rsidRPr="00F4248F">
        <w:t xml:space="preserve">—which establishes the Dispatchable Reliability Reserve Service (DRRS) as an </w:t>
      </w:r>
      <w:r w:rsidR="0043249D">
        <w:t>A</w:t>
      </w:r>
      <w:r w:rsidRPr="00F4248F">
        <w:t xml:space="preserve">ncillary </w:t>
      </w:r>
      <w:r w:rsidR="0043249D">
        <w:t>S</w:t>
      </w:r>
      <w:r w:rsidRPr="00F4248F">
        <w:t>ervice—and NPRR1310 to address reliability concerns associated with dispatchable resources. NPRR1309, standing alone, provides a sufficient and workable framework to meet the identified reliability needs. Moreover, ERCOT has ample factual foundation to include energy storage within the existing DRRS framework, including under NPRR1309.  As explained in EDF’s comments being filed contemporaneously in NPRR1309, this change is necessary to ensure alignment with the technology</w:t>
      </w:r>
      <w:r w:rsidRPr="00F4248F">
        <w:rPr>
          <w:rFonts w:ascii="Cambria Math" w:hAnsi="Cambria Math" w:cs="Cambria Math"/>
        </w:rPr>
        <w:t>‑</w:t>
      </w:r>
      <w:r w:rsidRPr="00F4248F">
        <w:t xml:space="preserve">neutral requirements of PURA </w:t>
      </w:r>
      <w:r w:rsidRPr="00F4248F">
        <w:rPr>
          <w:rFonts w:cs="Arial"/>
        </w:rPr>
        <w:t>§</w:t>
      </w:r>
      <w:r w:rsidRPr="00F4248F">
        <w:t xml:space="preserve"> 39.159, which defines eligibility based on performance </w:t>
      </w:r>
      <w:r w:rsidRPr="00F4248F">
        <w:lastRenderedPageBreak/>
        <w:t>capabilities (such as a four</w:t>
      </w:r>
      <w:r w:rsidRPr="00F4248F">
        <w:rPr>
          <w:rFonts w:ascii="Cambria Math" w:hAnsi="Cambria Math" w:cs="Cambria Math"/>
        </w:rPr>
        <w:t>‑</w:t>
      </w:r>
      <w:r w:rsidRPr="00F4248F">
        <w:t>hour duration and a two</w:t>
      </w:r>
      <w:r w:rsidRPr="00F4248F">
        <w:rPr>
          <w:rFonts w:ascii="Cambria Math" w:hAnsi="Cambria Math" w:cs="Cambria Math"/>
        </w:rPr>
        <w:t>‑</w:t>
      </w:r>
      <w:r w:rsidRPr="00F4248F">
        <w:t>hour ramp) rather than resource type or fuel source.</w:t>
      </w:r>
    </w:p>
    <w:p w14:paraId="3D3656E8" w14:textId="5EF0ADE7" w:rsidR="00F4248F" w:rsidRPr="00F4248F" w:rsidRDefault="00F4248F" w:rsidP="00004A06">
      <w:pPr>
        <w:pStyle w:val="NormalArial"/>
        <w:spacing w:before="120" w:after="120" w:line="276" w:lineRule="auto"/>
        <w:ind w:firstLine="720"/>
        <w:jc w:val="both"/>
      </w:pPr>
      <w:r w:rsidRPr="00F4248F">
        <w:t>Additionally, the Aurora Energy Research Study (“Study”) is not sufficiently linked to the NPRR1310 proposal, leaving key design elements, including the sloped demand curve and the Release Factor, without adequate analytical justification. EDF shares concerns raised by Advanced Power Alliance and American Clean Power (“APA” and “ACP,” respectively), the Independent Market Monitor (IMM), Texas Industrial Energy Consumers (TIEC), Lower Colorado River Authority (LCRA), Texas Solar + Storage Association (TSSA), and Sierra Club that the Study does not support the reforms proposed in NPRR1310. Moreover, advancing this proposal in isolation from the study creates a fundamental due process</w:t>
      </w:r>
      <w:r w:rsidRPr="00F4248F">
        <w:noBreakHyphen/>
        <w:t xml:space="preserve"> issue, as stakeholders are being asked to evaluate a significant market reform without the benefit of a transparent, supporting foundation.</w:t>
      </w:r>
      <w:r w:rsidRPr="00F4248F">
        <w:rPr>
          <w:vertAlign w:val="superscript"/>
        </w:rPr>
        <w:footnoteReference w:id="1"/>
      </w:r>
      <w:r w:rsidRPr="00F4248F">
        <w:t xml:space="preserve"> EDF further shares commenters’ concern that ERCOT staff has explicitly acknowledged that NPRR1310 was developed independently of the Study and was not intended to align with its assumptions, further underscoring the lack of justification for core design features.</w:t>
      </w:r>
      <w:r w:rsidRPr="00F4248F">
        <w:rPr>
          <w:vertAlign w:val="superscript"/>
        </w:rPr>
        <w:footnoteReference w:id="2"/>
      </w:r>
    </w:p>
    <w:p w14:paraId="68B0D0BB" w14:textId="77777777" w:rsidR="00F4248F" w:rsidRPr="00F4248F" w:rsidRDefault="00F4248F" w:rsidP="00004A06">
      <w:pPr>
        <w:pStyle w:val="NormalArial"/>
        <w:spacing w:before="120" w:after="120" w:line="276" w:lineRule="auto"/>
        <w:ind w:firstLine="720"/>
        <w:jc w:val="both"/>
      </w:pPr>
      <w:r w:rsidRPr="00F4248F">
        <w:t xml:space="preserve">Accordingly, ERCOT should instead explicitly include energy storage within the existing DRRS framework under NPRR1309 and suspend further consideration of NPRR1310. </w:t>
      </w:r>
    </w:p>
    <w:p w14:paraId="62447697" w14:textId="1AF8F268" w:rsidR="00F4248F" w:rsidRPr="00F4248F" w:rsidRDefault="00F4248F" w:rsidP="00004A06">
      <w:pPr>
        <w:pStyle w:val="NormalArial"/>
        <w:spacing w:before="120" w:after="120" w:line="276" w:lineRule="auto"/>
        <w:ind w:firstLine="720"/>
        <w:jc w:val="both"/>
      </w:pPr>
      <w:r w:rsidRPr="00F4248F">
        <w:t xml:space="preserve">In the alternative, if ERCOT continues to pursue NPRR1310, the proposal should not be adopted as drafted and must be substantially revised to rest on a clear, transparent, and data-driven analytical foundation. </w:t>
      </w:r>
      <w:proofErr w:type="gramStart"/>
      <w:r w:rsidRPr="00F4248F">
        <w:t>At</w:t>
      </w:r>
      <w:proofErr w:type="gramEnd"/>
      <w:r w:rsidRPr="00F4248F">
        <w:t xml:space="preserve"> a minimum, the following deficiencies should be addressed:</w:t>
      </w:r>
    </w:p>
    <w:p w14:paraId="778664D4" w14:textId="77777777" w:rsidR="00F4248F" w:rsidRPr="00F4248F" w:rsidRDefault="00F4248F" w:rsidP="00004A06">
      <w:pPr>
        <w:pStyle w:val="NormalArial"/>
        <w:numPr>
          <w:ilvl w:val="0"/>
          <w:numId w:val="6"/>
        </w:numPr>
        <w:spacing w:before="120" w:after="120" w:line="276" w:lineRule="auto"/>
        <w:jc w:val="both"/>
      </w:pPr>
      <w:r w:rsidRPr="00F4248F">
        <w:t xml:space="preserve">Complete other processes like the reliability standards assessment and interconnection assessment, and have those analytical outcomes determine whether DRRS+, or some other product, is needed to remedy reliability deficiencies (as discussed further in II.B herein). </w:t>
      </w:r>
    </w:p>
    <w:p w14:paraId="79D72162" w14:textId="77777777" w:rsidR="00F4248F" w:rsidRPr="00F4248F" w:rsidRDefault="00F4248F" w:rsidP="00004A06">
      <w:pPr>
        <w:pStyle w:val="NormalArial"/>
        <w:numPr>
          <w:ilvl w:val="0"/>
          <w:numId w:val="6"/>
        </w:numPr>
        <w:spacing w:before="120" w:after="120" w:line="276" w:lineRule="auto"/>
        <w:jc w:val="both"/>
      </w:pPr>
      <w:r w:rsidRPr="00F4248F">
        <w:t>Revise the modeling to:</w:t>
      </w:r>
    </w:p>
    <w:p w14:paraId="4D289CEB" w14:textId="77777777" w:rsidR="00F4248F" w:rsidRPr="00F4248F" w:rsidRDefault="00F4248F" w:rsidP="00004A06">
      <w:pPr>
        <w:pStyle w:val="NormalArial"/>
        <w:numPr>
          <w:ilvl w:val="1"/>
          <w:numId w:val="6"/>
        </w:numPr>
        <w:spacing w:before="120" w:after="120" w:line="276" w:lineRule="auto"/>
        <w:jc w:val="both"/>
      </w:pPr>
      <w:r w:rsidRPr="00F4248F">
        <w:t>Match the revenue mechanism to the one included in the NPRR Proposal for a more faithful representation of the envisioned service;</w:t>
      </w:r>
    </w:p>
    <w:p w14:paraId="2A18C800" w14:textId="77777777" w:rsidR="00F4248F" w:rsidRPr="00F4248F" w:rsidRDefault="00F4248F" w:rsidP="00004A06">
      <w:pPr>
        <w:pStyle w:val="NormalArial"/>
        <w:numPr>
          <w:ilvl w:val="1"/>
          <w:numId w:val="6"/>
        </w:numPr>
        <w:spacing w:before="120" w:after="120" w:line="276" w:lineRule="auto"/>
        <w:jc w:val="both"/>
      </w:pPr>
      <w:r w:rsidRPr="00F4248F">
        <w:lastRenderedPageBreak/>
        <w:t xml:space="preserve">Evaluate impacts over 10 or more weather years, rather than </w:t>
      </w:r>
      <w:proofErr w:type="gramStart"/>
      <w:r w:rsidRPr="00F4248F">
        <w:t>a select</w:t>
      </w:r>
      <w:proofErr w:type="gramEnd"/>
      <w:r w:rsidRPr="00F4248F">
        <w:t xml:space="preserve"> few extreme weather years, for a more robust analysis; and</w:t>
      </w:r>
    </w:p>
    <w:p w14:paraId="13BD7FAB" w14:textId="77777777" w:rsidR="00F4248F" w:rsidRPr="00F4248F" w:rsidRDefault="00F4248F" w:rsidP="00004A06">
      <w:pPr>
        <w:pStyle w:val="NormalArial"/>
        <w:numPr>
          <w:ilvl w:val="1"/>
          <w:numId w:val="6"/>
        </w:numPr>
        <w:spacing w:before="120" w:after="120" w:line="276" w:lineRule="auto"/>
        <w:jc w:val="both"/>
      </w:pPr>
      <w:r w:rsidRPr="00F4248F">
        <w:t xml:space="preserve">Account for supply chain constraints that could delay timely delivery of gas turbines and impact reliability. </w:t>
      </w:r>
    </w:p>
    <w:p w14:paraId="52EA3ADA" w14:textId="77777777" w:rsidR="00F4248F" w:rsidRPr="00F4248F" w:rsidRDefault="00F4248F" w:rsidP="00004A06">
      <w:pPr>
        <w:pStyle w:val="NormalArial"/>
        <w:numPr>
          <w:ilvl w:val="0"/>
          <w:numId w:val="3"/>
        </w:numPr>
        <w:spacing w:before="120" w:after="120"/>
        <w:ind w:left="0" w:firstLine="0"/>
        <w:jc w:val="center"/>
        <w:rPr>
          <w:b/>
          <w:bCs/>
        </w:rPr>
      </w:pPr>
      <w:r w:rsidRPr="00F4248F">
        <w:rPr>
          <w:b/>
          <w:bCs/>
        </w:rPr>
        <w:t>DISCUSSION</w:t>
      </w:r>
    </w:p>
    <w:p w14:paraId="7EE0A6EA" w14:textId="77777777" w:rsidR="00F4248F" w:rsidRPr="00F4248F" w:rsidRDefault="00F4248F" w:rsidP="00004A06">
      <w:pPr>
        <w:pStyle w:val="NormalArial"/>
        <w:numPr>
          <w:ilvl w:val="0"/>
          <w:numId w:val="5"/>
        </w:numPr>
        <w:spacing w:before="120" w:after="120" w:line="276" w:lineRule="auto"/>
        <w:jc w:val="both"/>
        <w:rPr>
          <w:u w:val="single"/>
        </w:rPr>
      </w:pPr>
      <w:r w:rsidRPr="00F4248F">
        <w:rPr>
          <w:u w:val="single"/>
        </w:rPr>
        <w:t>NPRR1310 is Premature</w:t>
      </w:r>
    </w:p>
    <w:p w14:paraId="0B706A87" w14:textId="77777777" w:rsidR="00F4248F" w:rsidRPr="00F4248F" w:rsidRDefault="00F4248F" w:rsidP="00004A06">
      <w:pPr>
        <w:pStyle w:val="NormalArial"/>
        <w:spacing w:before="120" w:after="120" w:line="276" w:lineRule="auto"/>
        <w:ind w:firstLine="720"/>
        <w:jc w:val="both"/>
      </w:pPr>
      <w:r w:rsidRPr="00F4248F">
        <w:t>From a process perspective, advancing NPRR1310 before ERCOT has completed its first reliability standard assessment is premature, and constitutes a procedural failure that risks predetermining the outcome of the state’s ongoing reliability review. As TIEC notes in its comments, NPRR1310 “front-runs” the process established in 16 TAC § 25.508, which requires the PUCT to first review a completed reliability assessment and determine if a resource adequacy gap exists before deciding whether a market design change is necessary.</w:t>
      </w:r>
      <w:r w:rsidRPr="00F4248F">
        <w:rPr>
          <w:vertAlign w:val="superscript"/>
        </w:rPr>
        <w:footnoteReference w:id="3"/>
      </w:r>
      <w:r w:rsidRPr="00F4248F">
        <w:t xml:space="preserve"> Moreover, the statute requires that ERCOT “provide the commission with a menu of proposed recommended market design changes” to address deficiencies.</w:t>
      </w:r>
      <w:r w:rsidRPr="00F4248F">
        <w:rPr>
          <w:vertAlign w:val="superscript"/>
        </w:rPr>
        <w:footnoteReference w:id="4"/>
      </w:r>
      <w:r w:rsidRPr="00F4248F">
        <w:t xml:space="preserve">  Thus, moving this effort forward as proposed effectively prejudges the need for a major market overhaul and assumes that a capacity-payment construct is the best solution before a specific problem has even been identified. </w:t>
      </w:r>
    </w:p>
    <w:p w14:paraId="72B378E8" w14:textId="77777777" w:rsidR="00F4248F" w:rsidRPr="00F4248F" w:rsidRDefault="00F4248F" w:rsidP="00004A06">
      <w:pPr>
        <w:pStyle w:val="NormalArial"/>
        <w:spacing w:before="120" w:after="120" w:line="276" w:lineRule="auto"/>
        <w:ind w:firstLine="720"/>
        <w:jc w:val="both"/>
        <w:rPr>
          <w:b/>
          <w:bCs/>
        </w:rPr>
      </w:pPr>
      <w:r w:rsidRPr="00F4248F">
        <w:t>Once the NPRR1309 is completed and implemented, additional tools can be proposed if a demonstrated reliability need is identified. EDF agrees with TIEC that NPRR1309 “. . . is a non-controversial, operationally grounded implementation of DRRS that meets statutory requirements and still allows for future optionality as directed by the Commission. . .[and] could easily be supplemented with any incremental features of NPRR1310 future, at the Commission’s direction.</w:t>
      </w:r>
      <w:r w:rsidRPr="00F4248F">
        <w:rPr>
          <w:vertAlign w:val="superscript"/>
        </w:rPr>
        <w:footnoteReference w:id="5"/>
      </w:r>
      <w:r w:rsidRPr="00F4248F">
        <w:rPr>
          <w:b/>
          <w:bCs/>
        </w:rPr>
        <w:t xml:space="preserve"> </w:t>
      </w:r>
    </w:p>
    <w:p w14:paraId="6A326180" w14:textId="77777777" w:rsidR="00F4248F" w:rsidRPr="00F4248F" w:rsidRDefault="00F4248F" w:rsidP="00004A06">
      <w:pPr>
        <w:pStyle w:val="NormalArial"/>
        <w:spacing w:before="120" w:after="120" w:line="276" w:lineRule="auto"/>
        <w:ind w:firstLine="720"/>
        <w:jc w:val="both"/>
        <w:rPr>
          <w:b/>
          <w:bCs/>
        </w:rPr>
      </w:pPr>
      <w:r w:rsidRPr="00F4248F">
        <w:t>While large load growth will increase demand, and other factors including weather conditions and forced generator outages will vary, it is notable that significant new capacity additions (11-14GW/yr from 2021-2024)</w:t>
      </w:r>
      <w:r w:rsidRPr="00F4248F">
        <w:rPr>
          <w:vertAlign w:val="superscript"/>
        </w:rPr>
        <w:footnoteReference w:id="6"/>
      </w:r>
      <w:r w:rsidRPr="00F4248F">
        <w:t xml:space="preserve"> have led to an increase in average monthly reserves (with a higher operating reserve in 2024 at the peak net demand hour for each year, compared to the 2017-2023 period).</w:t>
      </w:r>
      <w:r w:rsidRPr="00F4248F">
        <w:rPr>
          <w:vertAlign w:val="superscript"/>
        </w:rPr>
        <w:footnoteReference w:id="7"/>
      </w:r>
      <w:r w:rsidRPr="00F4248F">
        <w:t xml:space="preserve">  In light of changing conditions, further reliability assessments</w:t>
      </w:r>
      <w:r w:rsidRPr="00F4248F">
        <w:rPr>
          <w:vertAlign w:val="superscript"/>
        </w:rPr>
        <w:footnoteReference w:id="8"/>
      </w:r>
      <w:r w:rsidRPr="00F4248F">
        <w:t xml:space="preserve"> should first be conducted to assess if there is still a need for DRRS+.  Furthermore, new large load interconnection rules (e.g., Project No. 58481) and </w:t>
      </w:r>
      <w:r w:rsidRPr="00F4248F">
        <w:lastRenderedPageBreak/>
        <w:t>new ERCOT rules for the batch study process, as well as other SB6 rulemaking will have a bearing on large load forecasts and system-reliability needs.</w:t>
      </w:r>
    </w:p>
    <w:p w14:paraId="2E9E2CA6" w14:textId="77777777" w:rsidR="00F4248F" w:rsidRPr="00F4248F" w:rsidRDefault="00F4248F" w:rsidP="00004A06">
      <w:pPr>
        <w:pStyle w:val="NormalArial"/>
        <w:numPr>
          <w:ilvl w:val="0"/>
          <w:numId w:val="5"/>
        </w:numPr>
        <w:spacing w:before="120" w:after="120" w:line="276" w:lineRule="auto"/>
        <w:jc w:val="both"/>
        <w:rPr>
          <w:u w:val="single"/>
        </w:rPr>
      </w:pPr>
      <w:r w:rsidRPr="00F4248F">
        <w:rPr>
          <w:u w:val="single"/>
        </w:rPr>
        <w:t xml:space="preserve">The Modeling Used to Support DRRS+ is Flawed  </w:t>
      </w:r>
    </w:p>
    <w:p w14:paraId="0523BB65" w14:textId="77777777" w:rsidR="00F4248F" w:rsidRPr="00F4248F" w:rsidRDefault="00F4248F" w:rsidP="00004A06">
      <w:pPr>
        <w:pStyle w:val="NormalArial"/>
        <w:spacing w:before="120" w:after="120" w:line="276" w:lineRule="auto"/>
        <w:ind w:firstLine="720"/>
        <w:jc w:val="both"/>
      </w:pPr>
      <w:r w:rsidRPr="00F4248F">
        <w:t xml:space="preserve">Several commentors have pointed out the revenue mechanism in Aurora’s DRRS+ modeling based on net-CONE is entirely different to that proposed in NPRR1310 (essentially a flat payment across hours of the year). </w:t>
      </w:r>
      <w:proofErr w:type="gramStart"/>
      <w:r w:rsidRPr="00F4248F">
        <w:t>In particular, Aurora’s</w:t>
      </w:r>
      <w:proofErr w:type="gramEnd"/>
      <w:r w:rsidRPr="00F4248F">
        <w:t xml:space="preserve"> revenue budget is based on a revenue budget using net CONE from the previous year, akin to a capacity market with hourly distribution to focus revenues on the hours of highest scarcity during the year. In contrast, ERCOT’s revenue proposal is based on a flat payment of $10/Mw-hr to all generators for all hours of the year, regardless of scarcity conditions.  </w:t>
      </w:r>
    </w:p>
    <w:p w14:paraId="46D8B20F" w14:textId="77777777" w:rsidR="00F4248F" w:rsidRPr="00F4248F" w:rsidRDefault="00F4248F" w:rsidP="00004A06">
      <w:pPr>
        <w:pStyle w:val="NormalArial"/>
        <w:spacing w:before="120" w:after="120" w:line="276" w:lineRule="auto"/>
        <w:ind w:firstLine="720"/>
        <w:jc w:val="both"/>
      </w:pPr>
      <w:r w:rsidRPr="00F4248F">
        <w:t xml:space="preserve">This proposal creates skewed incentives during times of normal operating reserves.  It is also not in line with statute, which clearly implies the need for seasonal and hourly revenue mechanisms based on scarcity, and following reliability assessments. PURA § 39.159(d)-(e)(1) directs ERCOT to “determine the quantity of services necessary based on historical </w:t>
      </w:r>
      <w:r w:rsidRPr="00F4248F">
        <w:rPr>
          <w:i/>
          <w:iCs/>
          <w:u w:val="single"/>
        </w:rPr>
        <w:t>variations</w:t>
      </w:r>
      <w:r w:rsidRPr="00F4248F">
        <w:t xml:space="preserve"> in generation availability for </w:t>
      </w:r>
      <w:r w:rsidRPr="00F4248F">
        <w:rPr>
          <w:i/>
          <w:iCs/>
          <w:u w:val="single"/>
        </w:rPr>
        <w:t>each season</w:t>
      </w:r>
      <w:r w:rsidRPr="00F4248F">
        <w:t xml:space="preserve"> based on a </w:t>
      </w:r>
      <w:r w:rsidRPr="00F4248F">
        <w:rPr>
          <w:i/>
          <w:iCs/>
          <w:u w:val="single"/>
        </w:rPr>
        <w:t>targeted reliability standard</w:t>
      </w:r>
      <w:r w:rsidRPr="00F4248F">
        <w:t xml:space="preserve"> or goal….” [emphasis added]. Therefore, a revised DRRS demand curve should appropriately put higher value on hours of high scarcity leading to system risks, rather than uniform payments across hours of the year.</w:t>
      </w:r>
    </w:p>
    <w:p w14:paraId="0233D546" w14:textId="77777777" w:rsidR="00F4248F" w:rsidRPr="00F4248F" w:rsidRDefault="00F4248F" w:rsidP="00004A06">
      <w:pPr>
        <w:pStyle w:val="NormalArial"/>
        <w:spacing w:before="120" w:after="120" w:line="276" w:lineRule="auto"/>
        <w:ind w:firstLine="720"/>
        <w:jc w:val="both"/>
      </w:pPr>
      <w:r w:rsidRPr="00F4248F">
        <w:t xml:space="preserve">Furthermore, the “Release Factor” concept is problematic. The Release Factor allows DRRS-awarded capacity to overlap with energy and other ancillary service awards, while keeping the remainder as an operating reserve. The Release Factor effectively functions as a capacity payment, distorting market outcomes and reliability signals, and it is unclear what the cost and resource adequacy implications of this proposal would be. Moreover, this proposal is inconsistent with the statute, which intended DRRS to support reliability and reduce the need for Reliability Unit Commitment. Paying units regardless of operational need contradicts this purpose. The Release Factor should therefore be removed or, at the very least, have its inclusion </w:t>
      </w:r>
      <w:proofErr w:type="gramStart"/>
      <w:r w:rsidRPr="00F4248F">
        <w:t>be considered</w:t>
      </w:r>
      <w:proofErr w:type="gramEnd"/>
      <w:r w:rsidRPr="00F4248F">
        <w:t xml:space="preserve"> only after the reliability assessment has been completed and shows that additional resource adequacy tools are needed. </w:t>
      </w:r>
    </w:p>
    <w:p w14:paraId="1989A085" w14:textId="77777777" w:rsidR="00F4248F" w:rsidRPr="00F4248F" w:rsidRDefault="00F4248F" w:rsidP="00004A06">
      <w:pPr>
        <w:pStyle w:val="NormalArial"/>
        <w:spacing w:before="120" w:after="120" w:line="276" w:lineRule="auto"/>
        <w:jc w:val="both"/>
      </w:pPr>
      <w:r w:rsidRPr="00F4248F">
        <w:t>Should ERCOT decide to move forward with NPRR1310 and revise DRRS+, several revisions and improvements to Aurora’s modeling of the services should be considered for any future proposals:</w:t>
      </w:r>
    </w:p>
    <w:p w14:paraId="4FDFC9BC" w14:textId="77777777" w:rsidR="00F4248F" w:rsidRPr="00F4248F" w:rsidRDefault="00F4248F" w:rsidP="00004A06">
      <w:pPr>
        <w:pStyle w:val="NormalArial"/>
        <w:numPr>
          <w:ilvl w:val="0"/>
          <w:numId w:val="4"/>
        </w:numPr>
        <w:spacing w:before="120" w:after="120" w:line="276" w:lineRule="auto"/>
        <w:jc w:val="both"/>
      </w:pPr>
      <w:r w:rsidRPr="00F4248F">
        <w:t>The revenue mechanism used in modeling should be identical to the NPRR demand-curve proposal, and the analysis presented should demonstrate both net revenue and resource adequacy outcomes.</w:t>
      </w:r>
    </w:p>
    <w:p w14:paraId="574B23B6" w14:textId="77777777" w:rsidR="00F4248F" w:rsidRPr="00F4248F" w:rsidRDefault="00F4248F" w:rsidP="00004A06">
      <w:pPr>
        <w:pStyle w:val="NormalArial"/>
        <w:numPr>
          <w:ilvl w:val="0"/>
          <w:numId w:val="4"/>
        </w:numPr>
        <w:spacing w:before="120" w:after="120" w:line="276" w:lineRule="auto"/>
        <w:jc w:val="both"/>
      </w:pPr>
      <w:r w:rsidRPr="00F4248F">
        <w:lastRenderedPageBreak/>
        <w:t>Modeling of the proposal should include Energy Storage Resources (“ESRs”), which operate within the 4-hour duration threshold that Aurora tested as an eligibility boundary, and evaluate their cost and reliability benefits.</w:t>
      </w:r>
    </w:p>
    <w:p w14:paraId="78A5E4F7" w14:textId="77777777" w:rsidR="00F4248F" w:rsidRPr="00F4248F" w:rsidRDefault="00F4248F" w:rsidP="00004A06">
      <w:pPr>
        <w:pStyle w:val="NormalArial"/>
        <w:numPr>
          <w:ilvl w:val="0"/>
          <w:numId w:val="4"/>
        </w:numPr>
        <w:spacing w:before="120" w:after="120" w:line="276" w:lineRule="auto"/>
        <w:jc w:val="both"/>
      </w:pPr>
      <w:proofErr w:type="gramStart"/>
      <w:r w:rsidRPr="00F4248F">
        <w:t>Modeling of</w:t>
      </w:r>
      <w:proofErr w:type="gramEnd"/>
      <w:r w:rsidRPr="00F4248F">
        <w:t xml:space="preserve"> the proposal should include 10 or more weather years to capture longer-term effects, rather than just focusing on a few select extreme weather years. This would provide a more realistic net cost estimate, instead of basing the modeling on a few years with no probabilistic weightings to simulate different weather conditions.</w:t>
      </w:r>
    </w:p>
    <w:p w14:paraId="0F4DCE7F" w14:textId="77777777" w:rsidR="00F4248F" w:rsidRPr="00F4248F" w:rsidRDefault="00F4248F" w:rsidP="00004A06">
      <w:pPr>
        <w:pStyle w:val="NormalArial"/>
        <w:numPr>
          <w:ilvl w:val="0"/>
          <w:numId w:val="4"/>
        </w:numPr>
        <w:spacing w:before="120" w:after="120" w:line="276" w:lineRule="auto"/>
        <w:jc w:val="both"/>
      </w:pPr>
      <w:r w:rsidRPr="00F4248F">
        <w:t>Modeling should include scenarios with supply chain constraints.  Aurora’s analysis projects 5.2-7.9GW of new dispatchable capacity by 2030 without imposing supply chain constraints.  Aurora acknowledges this risk, but still builds its reliability and cost analysis on top of this assumption.  If gas turbine lead times and interconnection queue delays prevent timely delivery, as we have seen in some projects proposed through the Texas Energy Fund, the reliability benefits will not materialize on the timeline presented.</w:t>
      </w:r>
    </w:p>
    <w:p w14:paraId="520A4C2C" w14:textId="77777777" w:rsidR="00F4248F" w:rsidRPr="00F4248F" w:rsidRDefault="00F4248F" w:rsidP="00004A06">
      <w:pPr>
        <w:pStyle w:val="NormalArial"/>
        <w:numPr>
          <w:ilvl w:val="0"/>
          <w:numId w:val="3"/>
        </w:numPr>
        <w:spacing w:before="120" w:after="120"/>
        <w:ind w:left="0" w:firstLine="0"/>
        <w:jc w:val="center"/>
        <w:rPr>
          <w:b/>
        </w:rPr>
      </w:pPr>
      <w:r w:rsidRPr="00F4248F">
        <w:rPr>
          <w:b/>
          <w:bCs/>
        </w:rPr>
        <w:t>EDF RESPONSES TO ERCOT DIRECT QUESTIONS ISSUED FEBRUARY 27, 2026</w:t>
      </w:r>
    </w:p>
    <w:p w14:paraId="0E451188" w14:textId="77777777" w:rsidR="00F4248F" w:rsidRPr="00F4248F" w:rsidRDefault="00F4248F" w:rsidP="00004A06">
      <w:pPr>
        <w:pStyle w:val="NormalArial"/>
        <w:numPr>
          <w:ilvl w:val="0"/>
          <w:numId w:val="7"/>
        </w:numPr>
        <w:spacing w:before="120" w:after="120" w:line="276" w:lineRule="auto"/>
        <w:jc w:val="both"/>
      </w:pPr>
      <w:r w:rsidRPr="00F4248F">
        <w:rPr>
          <w:b/>
          <w:bCs/>
        </w:rPr>
        <w:t xml:space="preserve"> Question:</w:t>
      </w:r>
      <w:r w:rsidRPr="00F4248F">
        <w:t xml:space="preserve"> Public Utility Regulatory Act (PURA) § 39.159(d)(2)(A) states that the criteria for resource participation [in DRRS] must require a resource to: “be capable of running for at least four hours at the resource’s high sustained limit.”  If ESRs were to participate in DRRS, how should that statutory reference to High Sustained Limit (HSL) be interpreted for ESRs’ participation in DRRS?  Please also describe the pros and cons to the ERCOT System of your interpretation compared to the pros and cons if an opposing interpretation were adopted.</w:t>
      </w:r>
    </w:p>
    <w:p w14:paraId="413FBDC6" w14:textId="77777777" w:rsidR="00F4248F" w:rsidRPr="00F4248F" w:rsidRDefault="00F4248F" w:rsidP="00004A06">
      <w:pPr>
        <w:pStyle w:val="NormalArial"/>
        <w:spacing w:before="120" w:after="120" w:line="276" w:lineRule="auto"/>
        <w:ind w:left="720"/>
        <w:jc w:val="both"/>
      </w:pPr>
      <w:r w:rsidRPr="00F4248F">
        <w:rPr>
          <w:b/>
          <w:bCs/>
        </w:rPr>
        <w:t>EDF Response:</w:t>
      </w:r>
      <w:r w:rsidRPr="00F4248F">
        <w:t xml:space="preserve"> EDF interprets the statutory reference to “High Sustained Limit” (“HSL”) for Energy Storage Resources (“ESRs”) as the highest output level at which an ESR </w:t>
      </w:r>
      <w:r w:rsidRPr="00F4248F">
        <w:rPr>
          <w:i/>
          <w:iCs/>
        </w:rPr>
        <w:t>can operate continuously for at least four hours while complying with all other DRRS participation requirements</w:t>
      </w:r>
      <w:r w:rsidRPr="00F4248F">
        <w:t xml:space="preserve">. Under this interpretation, an ESR’s HSL would be defined by its configured and qualified operating capability for DRRS, rather than by its nameplate capacity. This interpretation is consistent with the purpose of DRRS and avoids excluding otherwise capable resources based solely on nameplate characteristics that may exceed their configured DRRS output. </w:t>
      </w:r>
    </w:p>
    <w:p w14:paraId="13376C8A" w14:textId="77777777" w:rsidR="00F4248F" w:rsidRPr="00F4248F" w:rsidRDefault="00F4248F" w:rsidP="00004A06">
      <w:pPr>
        <w:pStyle w:val="NormalArial"/>
        <w:numPr>
          <w:ilvl w:val="0"/>
          <w:numId w:val="7"/>
        </w:numPr>
        <w:spacing w:before="120" w:after="120" w:line="276" w:lineRule="auto"/>
        <w:jc w:val="both"/>
      </w:pPr>
      <w:r w:rsidRPr="00F4248F">
        <w:rPr>
          <w:b/>
          <w:bCs/>
        </w:rPr>
        <w:t>Question</w:t>
      </w:r>
      <w:r w:rsidRPr="00F4248F">
        <w:t xml:space="preserve">: If the reference to HSL in PURA § 39.159(d)(2)(A) were interpreted to mean an ESR’s </w:t>
      </w:r>
      <w:r w:rsidRPr="00F4248F">
        <w:rPr>
          <w:i/>
          <w:iCs/>
        </w:rPr>
        <w:t>nameplate</w:t>
      </w:r>
      <w:r w:rsidRPr="00F4248F">
        <w:t xml:space="preserve"> HSL (e.g., that a 100 megawatt (MW) / 100 megawatt hour (MWh) ESR is not permitted under that interpretation to adjust its HSL down </w:t>
      </w:r>
      <w:r w:rsidRPr="00F4248F">
        <w:lastRenderedPageBreak/>
        <w:t>such that a one-hour ESR can operate as a four-hour ESR), would DRRS participation likely provide sufficient incentive for ESR developers to build longer, four-hour-plus duration ESRs in the ERCOT Region (e.g., a 100 MW / 400 MWh ESR)?  If your response depends on what the value of the DRRS Ancillary Service Demand Curve (ASDC) is, please describe what value would be appropriate to help to provide such incentives.</w:t>
      </w:r>
    </w:p>
    <w:p w14:paraId="7FD33C60" w14:textId="77777777" w:rsidR="00F4248F" w:rsidRPr="00F4248F" w:rsidRDefault="00F4248F" w:rsidP="00004A06">
      <w:pPr>
        <w:pStyle w:val="NormalArial"/>
        <w:spacing w:before="120" w:after="120" w:line="276" w:lineRule="auto"/>
        <w:ind w:left="720"/>
        <w:jc w:val="both"/>
      </w:pPr>
      <w:r w:rsidRPr="00F4248F">
        <w:rPr>
          <w:b/>
          <w:bCs/>
        </w:rPr>
        <w:t>EDF Response</w:t>
      </w:r>
      <w:r w:rsidRPr="00F4248F">
        <w:t xml:space="preserve">: Interpreting HSL to mean an ESR’s nameplate capacity would be both counterproductive and inconsistent with the operational intent of DRRS. Such an interpretation would exclude resources not because they are incapable of meeting DRRS requirements, but because they are </w:t>
      </w:r>
      <w:r w:rsidRPr="00F4248F">
        <w:rPr>
          <w:i/>
          <w:iCs/>
        </w:rPr>
        <w:t>more</w:t>
      </w:r>
      <w:r w:rsidRPr="00F4248F">
        <w:t xml:space="preserve"> capable than required. The fact that an ESR can fully discharge in less than four hours does not mean it must do so, nor does it preclude the resource from being configured to provide sustained output over a four-hour period.</w:t>
      </w:r>
    </w:p>
    <w:p w14:paraId="17FAAE1A" w14:textId="77777777" w:rsidR="00F4248F" w:rsidRPr="00F4248F" w:rsidRDefault="00F4248F" w:rsidP="00004A06">
      <w:pPr>
        <w:pStyle w:val="NormalArial"/>
        <w:numPr>
          <w:ilvl w:val="0"/>
          <w:numId w:val="7"/>
        </w:numPr>
        <w:spacing w:before="120" w:after="120" w:line="276" w:lineRule="auto"/>
        <w:jc w:val="both"/>
      </w:pPr>
      <w:r w:rsidRPr="00F4248F">
        <w:rPr>
          <w:b/>
          <w:bCs/>
        </w:rPr>
        <w:t>Question:</w:t>
      </w:r>
      <w:r w:rsidRPr="00F4248F">
        <w:t xml:space="preserve"> PURA § 39.159(d)(2)(B) states another criterion for participation in DRRS requiring a resource to “be online and dispatchable not more than two hours after being called on for deployment.”  Should subsections (d)(2)(A) and (B) be read together such that a Resource is only qualified to provide DRRS at the amount of MW that it can ramp to within two hours and then sustain for at least four hours?</w:t>
      </w:r>
    </w:p>
    <w:p w14:paraId="2237C111" w14:textId="77777777" w:rsidR="00F4248F" w:rsidRPr="00F4248F" w:rsidRDefault="00F4248F" w:rsidP="00004A06">
      <w:pPr>
        <w:pStyle w:val="NormalArial"/>
        <w:spacing w:before="120" w:after="120" w:line="276" w:lineRule="auto"/>
        <w:ind w:left="720"/>
        <w:jc w:val="both"/>
      </w:pPr>
      <w:r w:rsidRPr="00F4248F">
        <w:rPr>
          <w:b/>
          <w:bCs/>
        </w:rPr>
        <w:t>EDF Response:</w:t>
      </w:r>
      <w:r w:rsidRPr="00F4248F">
        <w:t xml:space="preserve"> Yes. Subsections (d)(2)(A) and (d)(2)(B) should be read together such that a resource qualifies to provide DRRS only at the MW level it can ramp to within two hours and sustain for at least four hours. This interpretation appropriately focuses on demonstrated operational capability and provides consistent treatment across resource types, including ESRs and thermal generators.</w:t>
      </w:r>
    </w:p>
    <w:p w14:paraId="3DEAAF30" w14:textId="77777777" w:rsidR="00F4248F" w:rsidRPr="00F4248F" w:rsidRDefault="00F4248F" w:rsidP="00004A06">
      <w:pPr>
        <w:pStyle w:val="NormalArial"/>
        <w:numPr>
          <w:ilvl w:val="0"/>
          <w:numId w:val="7"/>
        </w:numPr>
        <w:spacing w:before="120" w:after="120" w:line="276" w:lineRule="auto"/>
        <w:jc w:val="both"/>
        <w:rPr>
          <w:i/>
          <w:iCs/>
        </w:rPr>
      </w:pPr>
      <w:r w:rsidRPr="00F4248F">
        <w:rPr>
          <w:b/>
          <w:bCs/>
        </w:rPr>
        <w:t>Question</w:t>
      </w:r>
      <w:r w:rsidRPr="00F4248F">
        <w:t>: PURA § 39.159(e) states that ERCOT “may require a resource to be capable of running for more than four hours as [ERCOT] determines is needed.”  Should DRRS’s duration requirement be extended beyond four hours, for instance to eight hours, twelve hours, or even longer?  Please explain the operational or reliability-related reasons that the DRRS duration should or should not be extended as well as the likely financial impacts of such a longer duration requirement on the current ESR fleet and how that longer duration requirement would impact incentives for future investments in the ESR fleet.</w:t>
      </w:r>
    </w:p>
    <w:p w14:paraId="5B894633" w14:textId="77777777" w:rsidR="00F4248F" w:rsidRDefault="00F4248F" w:rsidP="00004A06">
      <w:pPr>
        <w:pStyle w:val="NormalArial"/>
        <w:spacing w:before="120" w:after="120" w:line="276" w:lineRule="auto"/>
        <w:ind w:firstLine="720"/>
        <w:jc w:val="both"/>
      </w:pPr>
      <w:r w:rsidRPr="00F4248F">
        <w:rPr>
          <w:b/>
          <w:bCs/>
        </w:rPr>
        <w:t>EDF Response</w:t>
      </w:r>
      <w:r w:rsidRPr="00F4248F">
        <w:t>: EDF takes no position on this question here.</w:t>
      </w:r>
    </w:p>
    <w:p w14:paraId="09051453" w14:textId="77777777" w:rsidR="0043249D" w:rsidRDefault="0043249D" w:rsidP="00004A06">
      <w:pPr>
        <w:pStyle w:val="NormalArial"/>
        <w:spacing w:before="120" w:after="120" w:line="276" w:lineRule="auto"/>
        <w:ind w:firstLine="720"/>
        <w:jc w:val="both"/>
      </w:pPr>
    </w:p>
    <w:p w14:paraId="6F89D989" w14:textId="77777777" w:rsidR="0043249D" w:rsidRPr="00F4248F" w:rsidRDefault="0043249D" w:rsidP="00004A06">
      <w:pPr>
        <w:pStyle w:val="NormalArial"/>
        <w:spacing w:before="120" w:after="120" w:line="276" w:lineRule="auto"/>
        <w:ind w:firstLine="720"/>
        <w:jc w:val="both"/>
      </w:pPr>
    </w:p>
    <w:p w14:paraId="6583ADED" w14:textId="77777777" w:rsidR="00F4248F" w:rsidRPr="00F4248F" w:rsidRDefault="00F4248F" w:rsidP="00004A06">
      <w:pPr>
        <w:pStyle w:val="NormalArial"/>
        <w:numPr>
          <w:ilvl w:val="0"/>
          <w:numId w:val="3"/>
        </w:numPr>
        <w:spacing w:before="120" w:after="120"/>
        <w:ind w:left="0" w:firstLine="0"/>
        <w:jc w:val="center"/>
        <w:rPr>
          <w:b/>
          <w:bCs/>
        </w:rPr>
      </w:pPr>
      <w:r w:rsidRPr="00F4248F">
        <w:rPr>
          <w:b/>
          <w:bCs/>
        </w:rPr>
        <w:lastRenderedPageBreak/>
        <w:t>CONCLUSION</w:t>
      </w:r>
    </w:p>
    <w:p w14:paraId="07B43FC8" w14:textId="77777777" w:rsidR="00F4248F" w:rsidRDefault="00F4248F" w:rsidP="00004A06">
      <w:pPr>
        <w:pStyle w:val="NormalArial"/>
        <w:spacing w:before="120" w:after="120" w:line="276" w:lineRule="auto"/>
        <w:ind w:firstLine="720"/>
        <w:jc w:val="both"/>
      </w:pPr>
      <w:r w:rsidRPr="00F4248F">
        <w:t xml:space="preserve">EDF appreciates the opportunity to submit these comments. For the reasons discussed above, EDF urges the Commission to suspend NPRR1310 and proceed with implementation of NPRR1309. In the alternative, EDF urges that NPRR1310 not be adopted and that the Study be refined and more closely integrated with any future proposal.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D107F" w14:paraId="07A60351" w14:textId="77777777" w:rsidTr="0036350D">
        <w:trPr>
          <w:trHeight w:val="350"/>
        </w:trPr>
        <w:tc>
          <w:tcPr>
            <w:tcW w:w="10440" w:type="dxa"/>
            <w:tcBorders>
              <w:bottom w:val="single" w:sz="4" w:space="0" w:color="auto"/>
            </w:tcBorders>
            <w:shd w:val="clear" w:color="auto" w:fill="FFFFFF"/>
            <w:vAlign w:val="center"/>
          </w:tcPr>
          <w:p w14:paraId="6C54AE0C" w14:textId="77777777" w:rsidR="00CD107F" w:rsidRDefault="00CD107F" w:rsidP="0036350D">
            <w:pPr>
              <w:pStyle w:val="Header"/>
              <w:jc w:val="center"/>
            </w:pPr>
            <w:r>
              <w:t>Revised Cover Page Language</w:t>
            </w:r>
          </w:p>
        </w:tc>
      </w:tr>
    </w:tbl>
    <w:p w14:paraId="06D9DEC5" w14:textId="77777777" w:rsidR="00CD107F" w:rsidRDefault="00CD107F" w:rsidP="00CD107F">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D107F" w14:paraId="1A5D5455" w14:textId="77777777" w:rsidTr="0036350D">
        <w:trPr>
          <w:trHeight w:val="350"/>
        </w:trPr>
        <w:tc>
          <w:tcPr>
            <w:tcW w:w="10440" w:type="dxa"/>
            <w:tcBorders>
              <w:bottom w:val="single" w:sz="4" w:space="0" w:color="auto"/>
            </w:tcBorders>
            <w:shd w:val="clear" w:color="auto" w:fill="FFFFFF"/>
            <w:vAlign w:val="center"/>
          </w:tcPr>
          <w:p w14:paraId="6F43E2B6" w14:textId="77777777" w:rsidR="00CD107F" w:rsidRDefault="00CD107F" w:rsidP="0036350D">
            <w:pPr>
              <w:pStyle w:val="Header"/>
              <w:jc w:val="center"/>
            </w:pPr>
            <w:r>
              <w:t>Revised Proposed Protocol Language</w:t>
            </w:r>
          </w:p>
        </w:tc>
      </w:tr>
    </w:tbl>
    <w:p w14:paraId="7C5C15D1" w14:textId="7F48BF9D" w:rsidR="00BD7258" w:rsidRDefault="00CD107F" w:rsidP="0043249D">
      <w:pPr>
        <w:pStyle w:val="NormalArial"/>
        <w:spacing w:before="120" w:after="120"/>
      </w:pPr>
      <w:r>
        <w:t>None.</w:t>
      </w:r>
    </w:p>
    <w:sectPr w:rsidR="00BD7258" w:rsidSect="0074209E">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7A6E3" w14:textId="77777777" w:rsidR="00F771DB" w:rsidRDefault="00F771DB">
      <w:r>
        <w:separator/>
      </w:r>
    </w:p>
  </w:endnote>
  <w:endnote w:type="continuationSeparator" w:id="0">
    <w:p w14:paraId="35F61AA6" w14:textId="77777777" w:rsidR="00F771DB" w:rsidRDefault="00F7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D555D" w14:textId="03DF447B"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004A06">
      <w:rPr>
        <w:rFonts w:ascii="Arial" w:hAnsi="Arial"/>
        <w:noProof/>
        <w:sz w:val="18"/>
      </w:rPr>
      <w:t>1310NPRR-20 EDF Comments 030526</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79309EDB"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38A7A" w14:textId="77777777" w:rsidR="00F771DB" w:rsidRDefault="00F771DB">
      <w:r>
        <w:separator/>
      </w:r>
    </w:p>
  </w:footnote>
  <w:footnote w:type="continuationSeparator" w:id="0">
    <w:p w14:paraId="5F841E8E" w14:textId="77777777" w:rsidR="00F771DB" w:rsidRDefault="00F771DB">
      <w:r>
        <w:continuationSeparator/>
      </w:r>
    </w:p>
  </w:footnote>
  <w:footnote w:id="1">
    <w:p w14:paraId="28FF979A" w14:textId="77777777" w:rsidR="00F4248F" w:rsidRPr="00F4248F" w:rsidRDefault="00F4248F" w:rsidP="00F4248F">
      <w:pPr>
        <w:pStyle w:val="FootnoteText"/>
      </w:pPr>
      <w:r w:rsidRPr="00F4248F">
        <w:rPr>
          <w:rStyle w:val="FootnoteReference"/>
        </w:rPr>
        <w:footnoteRef/>
      </w:r>
      <w:r w:rsidRPr="00F4248F">
        <w:t xml:space="preserve"> TSSA Comments at 5.</w:t>
      </w:r>
    </w:p>
  </w:footnote>
  <w:footnote w:id="2">
    <w:p w14:paraId="7067AE68" w14:textId="77777777" w:rsidR="00F4248F" w:rsidRPr="00F4248F" w:rsidRDefault="00F4248F" w:rsidP="00F4248F">
      <w:pPr>
        <w:pStyle w:val="FootnoteText"/>
      </w:pPr>
      <w:r w:rsidRPr="00F4248F">
        <w:rPr>
          <w:rStyle w:val="FootnoteReference"/>
        </w:rPr>
        <w:footnoteRef/>
      </w:r>
      <w:r w:rsidRPr="00F4248F">
        <w:t xml:space="preserve"> </w:t>
      </w:r>
      <w:r w:rsidRPr="00F4248F">
        <w:rPr>
          <w:i/>
          <w:iCs/>
        </w:rPr>
        <w:t>See</w:t>
      </w:r>
      <w:r w:rsidRPr="00F4248F">
        <w:t xml:space="preserve"> ERCOT Workshop transcript included in TSSA Comments at 5-6: “. . . So, welcome the comments, certainly, but we just wanted to reiterate that the point is not to try to get NPRR1310 to match Aurora. This is what we are proceeding with independently.”</w:t>
      </w:r>
    </w:p>
  </w:footnote>
  <w:footnote w:id="3">
    <w:p w14:paraId="549AC637" w14:textId="77777777" w:rsidR="00F4248F" w:rsidRPr="00F4248F" w:rsidRDefault="00F4248F" w:rsidP="00F4248F">
      <w:pPr>
        <w:pStyle w:val="FootnoteText"/>
      </w:pPr>
      <w:r w:rsidRPr="00F4248F">
        <w:rPr>
          <w:rStyle w:val="FootnoteReference"/>
        </w:rPr>
        <w:footnoteRef/>
      </w:r>
      <w:r w:rsidRPr="00F4248F">
        <w:t xml:space="preserve"> TIEC Comments at 1.</w:t>
      </w:r>
    </w:p>
  </w:footnote>
  <w:footnote w:id="4">
    <w:p w14:paraId="50B2FE53" w14:textId="77777777" w:rsidR="00F4248F" w:rsidRPr="00F4248F" w:rsidRDefault="00F4248F" w:rsidP="00F4248F">
      <w:pPr>
        <w:pStyle w:val="FootnoteText"/>
      </w:pPr>
      <w:r w:rsidRPr="00F4248F">
        <w:rPr>
          <w:rStyle w:val="FootnoteReference"/>
        </w:rPr>
        <w:footnoteRef/>
      </w:r>
      <w:r w:rsidRPr="00F4248F">
        <w:t xml:space="preserve"> 16 TAC § 25.508, Sec. 3(C)(i).</w:t>
      </w:r>
    </w:p>
  </w:footnote>
  <w:footnote w:id="5">
    <w:p w14:paraId="7DD3A7E4" w14:textId="77777777" w:rsidR="00F4248F" w:rsidRPr="00F4248F" w:rsidRDefault="00F4248F" w:rsidP="00F4248F">
      <w:pPr>
        <w:pStyle w:val="FootnoteText"/>
      </w:pPr>
      <w:r w:rsidRPr="00F4248F">
        <w:rPr>
          <w:rStyle w:val="FootnoteReference"/>
        </w:rPr>
        <w:footnoteRef/>
      </w:r>
      <w:r w:rsidRPr="00F4248F">
        <w:t xml:space="preserve"> TIEC Comments at 2.</w:t>
      </w:r>
    </w:p>
  </w:footnote>
  <w:footnote w:id="6">
    <w:p w14:paraId="3BDCCBB1" w14:textId="77777777" w:rsidR="00F4248F" w:rsidRPr="00F4248F" w:rsidRDefault="00F4248F" w:rsidP="00F4248F">
      <w:pPr>
        <w:pStyle w:val="FootnoteText"/>
      </w:pPr>
      <w:r w:rsidRPr="00F4248F">
        <w:rPr>
          <w:rStyle w:val="FootnoteReference"/>
        </w:rPr>
        <w:footnoteRef/>
      </w:r>
      <w:r w:rsidRPr="00F4248F">
        <w:t xml:space="preserve"> NPRR1310 February 25, 2026 Aurora Energy Research Study Webinar, at slide 26.</w:t>
      </w:r>
    </w:p>
  </w:footnote>
  <w:footnote w:id="7">
    <w:p w14:paraId="207F1481" w14:textId="77777777" w:rsidR="00F4248F" w:rsidRPr="00F4248F" w:rsidRDefault="00F4248F" w:rsidP="00F4248F">
      <w:pPr>
        <w:pStyle w:val="FootnoteText"/>
      </w:pPr>
      <w:r w:rsidRPr="00F4248F">
        <w:rPr>
          <w:rStyle w:val="FootnoteReference"/>
        </w:rPr>
        <w:footnoteRef/>
      </w:r>
      <w:r w:rsidRPr="00F4248F">
        <w:t xml:space="preserve"> </w:t>
      </w:r>
      <w:r w:rsidRPr="00F4248F">
        <w:rPr>
          <w:i/>
          <w:iCs/>
        </w:rPr>
        <w:t xml:space="preserve">Id. </w:t>
      </w:r>
      <w:r w:rsidRPr="00F4248F">
        <w:t>at slide 27.</w:t>
      </w:r>
    </w:p>
  </w:footnote>
  <w:footnote w:id="8">
    <w:p w14:paraId="46424C1D" w14:textId="77777777" w:rsidR="00F4248F" w:rsidRPr="00F4248F" w:rsidRDefault="00F4248F" w:rsidP="00F4248F">
      <w:pPr>
        <w:pStyle w:val="FootnoteText"/>
      </w:pPr>
      <w:r w:rsidRPr="00F4248F">
        <w:rPr>
          <w:rStyle w:val="FootnoteReference"/>
        </w:rPr>
        <w:footnoteRef/>
      </w:r>
      <w:r w:rsidRPr="00F4248F">
        <w:t xml:space="preserve">  Triennial reliability review in 2026 and 2029; PUCT reliability standard rule 16 TAC § 25.508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6E891" w14:textId="77777777" w:rsidR="00EE6681" w:rsidRDefault="00EE6681">
    <w:pPr>
      <w:pStyle w:val="Header"/>
      <w:jc w:val="center"/>
      <w:rPr>
        <w:sz w:val="32"/>
      </w:rPr>
    </w:pPr>
    <w:r>
      <w:rPr>
        <w:sz w:val="32"/>
      </w:rPr>
      <w:t>NPRR Comments</w:t>
    </w:r>
  </w:p>
  <w:p w14:paraId="6AB4E428"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17E5AA4"/>
    <w:multiLevelType w:val="hybridMultilevel"/>
    <w:tmpl w:val="1A800FEE"/>
    <w:lvl w:ilvl="0" w:tplc="6FA0EBBE">
      <w:start w:val="1"/>
      <w:numFmt w:val="bullet"/>
      <w:lvlText w:val=""/>
      <w:lvlJc w:val="left"/>
      <w:pPr>
        <w:ind w:left="360" w:hanging="360"/>
      </w:pPr>
      <w:rPr>
        <w:rFonts w:ascii="Symbol" w:hAnsi="Symbol" w:hint="default"/>
      </w:rPr>
    </w:lvl>
    <w:lvl w:ilvl="1" w:tplc="6434800A">
      <w:start w:val="1"/>
      <w:numFmt w:val="bullet"/>
      <w:lvlText w:val="o"/>
      <w:lvlJc w:val="left"/>
      <w:pPr>
        <w:ind w:left="1080" w:hanging="360"/>
      </w:pPr>
      <w:rPr>
        <w:rFonts w:ascii="Courier New" w:hAnsi="Courier New" w:hint="default"/>
      </w:rPr>
    </w:lvl>
    <w:lvl w:ilvl="2" w:tplc="5C545FC6" w:tentative="1">
      <w:start w:val="1"/>
      <w:numFmt w:val="bullet"/>
      <w:lvlText w:val=""/>
      <w:lvlJc w:val="left"/>
      <w:pPr>
        <w:ind w:left="1800" w:hanging="360"/>
      </w:pPr>
      <w:rPr>
        <w:rFonts w:ascii="Wingdings" w:hAnsi="Wingdings" w:hint="default"/>
      </w:rPr>
    </w:lvl>
    <w:lvl w:ilvl="3" w:tplc="AD26119C" w:tentative="1">
      <w:start w:val="1"/>
      <w:numFmt w:val="bullet"/>
      <w:lvlText w:val=""/>
      <w:lvlJc w:val="left"/>
      <w:pPr>
        <w:ind w:left="2520" w:hanging="360"/>
      </w:pPr>
      <w:rPr>
        <w:rFonts w:ascii="Symbol" w:hAnsi="Symbol" w:hint="default"/>
      </w:rPr>
    </w:lvl>
    <w:lvl w:ilvl="4" w:tplc="EADCB294" w:tentative="1">
      <w:start w:val="1"/>
      <w:numFmt w:val="bullet"/>
      <w:lvlText w:val="o"/>
      <w:lvlJc w:val="left"/>
      <w:pPr>
        <w:ind w:left="3240" w:hanging="360"/>
      </w:pPr>
      <w:rPr>
        <w:rFonts w:ascii="Courier New" w:hAnsi="Courier New" w:hint="default"/>
      </w:rPr>
    </w:lvl>
    <w:lvl w:ilvl="5" w:tplc="8C2AA37E" w:tentative="1">
      <w:start w:val="1"/>
      <w:numFmt w:val="bullet"/>
      <w:lvlText w:val=""/>
      <w:lvlJc w:val="left"/>
      <w:pPr>
        <w:ind w:left="3960" w:hanging="360"/>
      </w:pPr>
      <w:rPr>
        <w:rFonts w:ascii="Wingdings" w:hAnsi="Wingdings" w:hint="default"/>
      </w:rPr>
    </w:lvl>
    <w:lvl w:ilvl="6" w:tplc="B60A3FAE" w:tentative="1">
      <w:start w:val="1"/>
      <w:numFmt w:val="bullet"/>
      <w:lvlText w:val=""/>
      <w:lvlJc w:val="left"/>
      <w:pPr>
        <w:ind w:left="4680" w:hanging="360"/>
      </w:pPr>
      <w:rPr>
        <w:rFonts w:ascii="Symbol" w:hAnsi="Symbol" w:hint="default"/>
      </w:rPr>
    </w:lvl>
    <w:lvl w:ilvl="7" w:tplc="729C5390" w:tentative="1">
      <w:start w:val="1"/>
      <w:numFmt w:val="bullet"/>
      <w:lvlText w:val="o"/>
      <w:lvlJc w:val="left"/>
      <w:pPr>
        <w:ind w:left="5400" w:hanging="360"/>
      </w:pPr>
      <w:rPr>
        <w:rFonts w:ascii="Courier New" w:hAnsi="Courier New" w:hint="default"/>
      </w:rPr>
    </w:lvl>
    <w:lvl w:ilvl="8" w:tplc="175C6E9C" w:tentative="1">
      <w:start w:val="1"/>
      <w:numFmt w:val="bullet"/>
      <w:lvlText w:val=""/>
      <w:lvlJc w:val="left"/>
      <w:pPr>
        <w:ind w:left="6120" w:hanging="360"/>
      </w:pPr>
      <w:rPr>
        <w:rFonts w:ascii="Wingdings" w:hAnsi="Wingdings" w:hint="default"/>
      </w:rPr>
    </w:lvl>
  </w:abstractNum>
  <w:abstractNum w:abstractNumId="2" w15:restartNumberingAfterBreak="0">
    <w:nsid w:val="341126F2"/>
    <w:multiLevelType w:val="hybridMultilevel"/>
    <w:tmpl w:val="BE8459F6"/>
    <w:lvl w:ilvl="0" w:tplc="04CECD70">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7FF712E"/>
    <w:multiLevelType w:val="hybridMultilevel"/>
    <w:tmpl w:val="8C0C51CE"/>
    <w:lvl w:ilvl="0" w:tplc="A7E8FEA8">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35199E"/>
    <w:multiLevelType w:val="hybridMultilevel"/>
    <w:tmpl w:val="0F801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CE37C0"/>
    <w:multiLevelType w:val="hybridMultilevel"/>
    <w:tmpl w:val="92F8A2B2"/>
    <w:lvl w:ilvl="0" w:tplc="06F64E8E">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264071996">
    <w:abstractNumId w:val="0"/>
  </w:num>
  <w:num w:numId="2" w16cid:durableId="19627545">
    <w:abstractNumId w:val="6"/>
  </w:num>
  <w:num w:numId="3" w16cid:durableId="1049458254">
    <w:abstractNumId w:val="5"/>
  </w:num>
  <w:num w:numId="4" w16cid:durableId="926689624">
    <w:abstractNumId w:val="4"/>
  </w:num>
  <w:num w:numId="5" w16cid:durableId="1547061055">
    <w:abstractNumId w:val="2"/>
  </w:num>
  <w:num w:numId="6" w16cid:durableId="196086664">
    <w:abstractNumId w:val="1"/>
  </w:num>
  <w:num w:numId="7" w16cid:durableId="19583654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4A06"/>
    <w:rsid w:val="00037668"/>
    <w:rsid w:val="000647B5"/>
    <w:rsid w:val="00075A94"/>
    <w:rsid w:val="00132855"/>
    <w:rsid w:val="00152993"/>
    <w:rsid w:val="00167426"/>
    <w:rsid w:val="00170297"/>
    <w:rsid w:val="001A227D"/>
    <w:rsid w:val="001E2032"/>
    <w:rsid w:val="002E2B72"/>
    <w:rsid w:val="003010C0"/>
    <w:rsid w:val="00332A97"/>
    <w:rsid w:val="00350C00"/>
    <w:rsid w:val="00366113"/>
    <w:rsid w:val="00374944"/>
    <w:rsid w:val="003C270C"/>
    <w:rsid w:val="003D0994"/>
    <w:rsid w:val="00423824"/>
    <w:rsid w:val="0043249D"/>
    <w:rsid w:val="0043567D"/>
    <w:rsid w:val="004B7B90"/>
    <w:rsid w:val="004E2C19"/>
    <w:rsid w:val="005D284C"/>
    <w:rsid w:val="00604512"/>
    <w:rsid w:val="00633E23"/>
    <w:rsid w:val="00673B94"/>
    <w:rsid w:val="00680AC6"/>
    <w:rsid w:val="006835D8"/>
    <w:rsid w:val="006C316E"/>
    <w:rsid w:val="006D0F7C"/>
    <w:rsid w:val="007269C4"/>
    <w:rsid w:val="0074209E"/>
    <w:rsid w:val="007F2CA8"/>
    <w:rsid w:val="007F7161"/>
    <w:rsid w:val="00822F61"/>
    <w:rsid w:val="0085559E"/>
    <w:rsid w:val="00896B1B"/>
    <w:rsid w:val="008E559E"/>
    <w:rsid w:val="00916080"/>
    <w:rsid w:val="00921A68"/>
    <w:rsid w:val="00972C0E"/>
    <w:rsid w:val="00A015C4"/>
    <w:rsid w:val="00A15172"/>
    <w:rsid w:val="00B36C76"/>
    <w:rsid w:val="00B5080A"/>
    <w:rsid w:val="00B943AE"/>
    <w:rsid w:val="00BD2874"/>
    <w:rsid w:val="00BD7258"/>
    <w:rsid w:val="00C0598D"/>
    <w:rsid w:val="00C11956"/>
    <w:rsid w:val="00C602E5"/>
    <w:rsid w:val="00C748FD"/>
    <w:rsid w:val="00CD107F"/>
    <w:rsid w:val="00D4046E"/>
    <w:rsid w:val="00D4362F"/>
    <w:rsid w:val="00DD4739"/>
    <w:rsid w:val="00DE5F33"/>
    <w:rsid w:val="00E07B54"/>
    <w:rsid w:val="00E11F78"/>
    <w:rsid w:val="00E621E1"/>
    <w:rsid w:val="00EC55B3"/>
    <w:rsid w:val="00EE6681"/>
    <w:rsid w:val="00F4248F"/>
    <w:rsid w:val="00F771DB"/>
    <w:rsid w:val="00F96FB2"/>
    <w:rsid w:val="00FB51D8"/>
    <w:rsid w:val="00FD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585048"/>
  <w15:chartTrackingRefBased/>
  <w15:docId w15:val="{05F6D6A9-4B57-47B1-9048-72FAD0900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FootnoteText">
    <w:name w:val="footnote text"/>
    <w:basedOn w:val="Normal"/>
    <w:link w:val="FootnoteTextChar"/>
    <w:uiPriority w:val="99"/>
    <w:unhideWhenUsed/>
    <w:rsid w:val="00F4248F"/>
    <w:rPr>
      <w:rFonts w:ascii="Arial" w:eastAsia="Aptos" w:hAnsi="Arial" w:cs="Arial"/>
      <w:kern w:val="2"/>
      <w:sz w:val="20"/>
      <w:szCs w:val="20"/>
    </w:rPr>
  </w:style>
  <w:style w:type="character" w:customStyle="1" w:styleId="FootnoteTextChar">
    <w:name w:val="Footnote Text Char"/>
    <w:basedOn w:val="DefaultParagraphFont"/>
    <w:link w:val="FootnoteText"/>
    <w:uiPriority w:val="99"/>
    <w:rsid w:val="00F4248F"/>
    <w:rPr>
      <w:rFonts w:ascii="Arial" w:eastAsia="Aptos" w:hAnsi="Arial" w:cs="Arial"/>
      <w:kern w:val="2"/>
    </w:rPr>
  </w:style>
  <w:style w:type="character" w:styleId="FootnoteReference">
    <w:name w:val="footnote reference"/>
    <w:uiPriority w:val="99"/>
    <w:unhideWhenUsed/>
    <w:rsid w:val="00F4248F"/>
    <w:rPr>
      <w:vertAlign w:val="superscript"/>
    </w:rPr>
  </w:style>
  <w:style w:type="character" w:styleId="UnresolvedMention">
    <w:name w:val="Unresolved Mention"/>
    <w:basedOn w:val="DefaultParagraphFont"/>
    <w:uiPriority w:val="99"/>
    <w:semiHidden/>
    <w:unhideWhenUsed/>
    <w:rsid w:val="00F4248F"/>
    <w:rPr>
      <w:color w:val="605E5C"/>
      <w:shd w:val="clear" w:color="auto" w:fill="E1DFDD"/>
    </w:rPr>
  </w:style>
  <w:style w:type="character" w:customStyle="1" w:styleId="HeaderChar">
    <w:name w:val="Header Char"/>
    <w:link w:val="Header"/>
    <w:rsid w:val="00CD107F"/>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oran@edf.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rcot.com/mktrules/issues/NPRR131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_ModernAudienceTargetUserField xmlns="c766e077-93d0-443a-bfce-debdeac60833">
      <UserInfo>
        <DisplayName/>
        <AccountId xsi:nil="true"/>
        <AccountType/>
      </UserInfo>
    </_ModernAudienceTargetUserField>
    <StartDate xmlns="http://schemas.microsoft.com/sharepoint/v3">2026-02-26T14:16:04+00:00</StartDate>
    <Company xmlns="http://schemas.microsoft.com/sharepoint/v3" xsi:nil="true"/>
    <_ExtendedDescription xmlns="http://schemas.microsoft.com/sharepoint/v3" xsi:nil="true"/>
    <Target_x0020_Audiences xmlns="c766e077-93d0-443a-bfce-debdeac60833" xsi:nil="true"/>
    <_EndDate xmlns="http://schemas.microsoft.com/sharepoint/v3/fields">2026-02-26T14:16:04+00:00</_EndDate>
    <_Contributor xmlns="http://schemas.microsoft.com/sharepoint/v3/fields" xsi:nil="true"/>
    <Author1 xmlns="544a5aab-e3b1-4bfd-a897-9e41524c593c">
      <UserInfo>
        <DisplayName/>
        <AccountId xsi:nil="true"/>
        <AccountType/>
      </UserInfo>
    </Author1>
    <lcf76f155ced4ddcb4097134ff3c332f xmlns="c766e077-93d0-443a-bfce-debdeac60833">
      <Terms xmlns="http://schemas.microsoft.com/office/infopath/2007/PartnerControls"/>
    </lcf76f155ced4ddcb4097134ff3c332f>
    <TaxCatchAll xmlns="544a5aab-e3b1-4bfd-a897-9e41524c593c" xsi:nil="true"/>
    <_Status xmlns="http://schemas.microsoft.com/sharepoint/v3/fields">Not Started</_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49BB0C0F0B3348B8DC53D67DA3A4C5" ma:contentTypeVersion="45" ma:contentTypeDescription="Create a new document." ma:contentTypeScope="" ma:versionID="5ca250079e150cb9055eacf586fa808e">
  <xsd:schema xmlns:xsd="http://www.w3.org/2001/XMLSchema" xmlns:xs="http://www.w3.org/2001/XMLSchema" xmlns:p="http://schemas.microsoft.com/office/2006/metadata/properties" xmlns:ns1="http://schemas.microsoft.com/sharepoint/v3" xmlns:ns2="544a5aab-e3b1-4bfd-a897-9e41524c593c" xmlns:ns3="c766e077-93d0-443a-bfce-debdeac60833" xmlns:ns4="http://schemas.microsoft.com/sharepoint/v3/fields" targetNamespace="http://schemas.microsoft.com/office/2006/metadata/properties" ma:root="true" ma:fieldsID="cdbaade93ded670de1fb977900fa5048" ns1:_="" ns2:_="" ns3:_="" ns4:_="">
    <xsd:import namespace="http://schemas.microsoft.com/sharepoint/v3"/>
    <xsd:import namespace="544a5aab-e3b1-4bfd-a897-9e41524c593c"/>
    <xsd:import namespace="c766e077-93d0-443a-bfce-debdeac60833"/>
    <xsd:import namespace="http://schemas.microsoft.com/sharepoint/v3/fields"/>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TaxCatchAll" minOccurs="0"/>
                <xsd:element ref="ns3:MediaServiceDateTaken" minOccurs="0"/>
                <xsd:element ref="ns3:MediaLengthInSeconds" minOccurs="0"/>
                <xsd:element ref="ns3:lcf76f155ced4ddcb4097134ff3c332f" minOccurs="0"/>
                <xsd:element ref="ns3:MediaServiceObjectDetectorVersions" minOccurs="0"/>
                <xsd:element ref="ns3:MediaServiceLocation" minOccurs="0"/>
                <xsd:element ref="ns3:MediaServiceSearchProperties" minOccurs="0"/>
                <xsd:element ref="ns3:Target_x0020_Audiences" minOccurs="0"/>
                <xsd:element ref="ns3:_ModernAudienceTargetUserField" minOccurs="0"/>
                <xsd:element ref="ns3:_ModernAudienceAadObjectIds" minOccurs="0"/>
                <xsd:element ref="ns1:Company" minOccurs="0"/>
                <xsd:element ref="ns4:_Contributor" minOccurs="0"/>
                <xsd:element ref="ns1:StartDate" minOccurs="0"/>
                <xsd:element ref="ns4:_EndDate" minOccurs="0"/>
                <xsd:element ref="ns4:_Status" minOccurs="0"/>
                <xsd:element ref="ns4:_Coverage" minOccurs="0"/>
                <xsd:element ref="ns2:Author1" minOccurs="0"/>
                <xsd:element ref="ns1:_ExtendedDescrip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30" nillable="true" ma:displayName="Company" ma:internalName="Company">
      <xsd:simpleType>
        <xsd:restriction base="dms:Text"/>
      </xsd:simpleType>
    </xsd:element>
    <xsd:element name="StartDate" ma:index="34" nillable="true" ma:displayName="Start Date" ma:default="[today]" ma:format="DateOnly" ma:internalName="StartDate0">
      <xsd:simpleType>
        <xsd:restriction base="dms:DateTime"/>
      </xsd:simpleType>
    </xsd:element>
    <xsd:element name="_ExtendedDescription" ma:index="40"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4a5aab-e3b1-4bfd-a897-9e41524c59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d6fd040-3dbc-4528-992e-d54c08c1db25}" ma:internalName="TaxCatchAll" ma:showField="CatchAllData" ma:web="544a5aab-e3b1-4bfd-a897-9e41524c593c">
      <xsd:complexType>
        <xsd:complexContent>
          <xsd:extension base="dms:MultiChoiceLookup">
            <xsd:sequence>
              <xsd:element name="Value" type="dms:Lookup" maxOccurs="unbounded" minOccurs="0" nillable="true"/>
            </xsd:sequence>
          </xsd:extension>
        </xsd:complexContent>
      </xsd:complexType>
    </xsd:element>
    <xsd:element name="Author1" ma:index="39" nillable="true" ma:displayName="Author" ma:description="The primary author" ma:list="UserInfo" ma:SearchPeopleOnly="false" ma:SharePointGroup="0" ma:internalName="Author1"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66e077-93d0-443a-bfce-debdeac6083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2c4596-0455-4dfd-b3e1-e582100e08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Target_x0020_Audiences" ma:index="26" nillable="true" ma:displayName="Target Audiences" ma:internalName="Target_x0020_Audiences">
      <xsd:simpleType>
        <xsd:restriction base="dms:Unknown"/>
      </xsd:simpleType>
    </xsd:element>
    <xsd:element name="_ModernAudienceTargetUserField" ma:index="27" nillable="true" ma:displayName="Audience" ma:format="Dropdown"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8" nillable="true" ma:displayName="AudienceIds" ma:list="{a2d636d1-d6e8-432d-b078-9ac52869bf3e}" ma:internalName="_ModernAudienceAadObjectIds" ma:readOnly="true" ma:showField="_AadObjectIdForUser" ma:web="544a5aab-e3b1-4bfd-a897-9e41524c593c">
      <xsd:complexType>
        <xsd:complexContent>
          <xsd:extension base="dms:MultiChoiceLookup">
            <xsd:sequence>
              <xsd:element name="Value" type="dms:Lookup" maxOccurs="unbounded" minOccurs="0" nillable="true"/>
            </xsd:sequence>
          </xsd:extension>
        </xsd:complexContent>
      </xsd:complexType>
    </xsd:element>
    <xsd:element name="MediaServiceBillingMetadata" ma:index="4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33" nillable="true" ma:displayName="Contributor" ma:description="One or more people or organizations that contributed to this resource" ma:internalName="_Contributor">
      <xsd:simpleType>
        <xsd:restriction base="dms:Note">
          <xsd:maxLength value="255"/>
        </xsd:restriction>
      </xsd:simpleType>
    </xsd:element>
    <xsd:element name="_EndDate" ma:index="35" nillable="true" ma:displayName="End Date" ma:default="[today]" ma:format="DateTime" ma:internalName="_EndDate">
      <xsd:simpleType>
        <xsd:restriction base="dms:DateTime"/>
      </xsd:simpleType>
    </xsd:element>
    <xsd:element name="_Status" ma:index="37"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element name="_Coverage" ma:index="38" nillable="true" ma:displayName="Coverage" ma:description="The extent or scope" ma:internalName="_Coverag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31" ma:displayName="Subject"/>
        <xsd:element ref="dc:description" minOccurs="0" maxOccurs="1" ma:index="29" ma:displayName="Comments"/>
        <xsd:element name="keywords" minOccurs="0" maxOccurs="1" type="xsd:string" ma:index="32" ma:displayName="Keywords"/>
        <xsd:element ref="dc:language" minOccurs="0" maxOccurs="1"/>
        <xsd:element name="category" minOccurs="0" maxOccurs="1" type="xsd:string" ma:index="36"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69E898-42B5-4986-B79E-B83CC3E0BA93}">
  <ds:schemaRefs>
    <ds:schemaRef ds:uri="http://schemas.microsoft.com/sharepoint/v3/contenttype/forms"/>
  </ds:schemaRefs>
</ds:datastoreItem>
</file>

<file path=customXml/itemProps2.xml><?xml version="1.0" encoding="utf-8"?>
<ds:datastoreItem xmlns:ds="http://schemas.openxmlformats.org/officeDocument/2006/customXml" ds:itemID="{2E733450-CCD0-4B64-89D8-B2370D39CF1C}">
  <ds:schemaRefs>
    <ds:schemaRef ds:uri="http://schemas.microsoft.com/office/2006/metadata/properties"/>
    <ds:schemaRef ds:uri="http://schemas.microsoft.com/office/infopath/2007/PartnerControls"/>
    <ds:schemaRef ds:uri="http://schemas.microsoft.com/sharepoint/v3/fields"/>
    <ds:schemaRef ds:uri="c766e077-93d0-443a-bfce-debdeac60833"/>
    <ds:schemaRef ds:uri="http://schemas.microsoft.com/sharepoint/v3"/>
    <ds:schemaRef ds:uri="544a5aab-e3b1-4bfd-a897-9e41524c593c"/>
  </ds:schemaRefs>
</ds:datastoreItem>
</file>

<file path=customXml/itemProps3.xml><?xml version="1.0" encoding="utf-8"?>
<ds:datastoreItem xmlns:ds="http://schemas.openxmlformats.org/officeDocument/2006/customXml" ds:itemID="{A718A803-47B1-4014-B8C7-7F1FCB970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4a5aab-e3b1-4bfd-a897-9e41524c593c"/>
    <ds:schemaRef ds:uri="c766e077-93d0-443a-bfce-debdeac6083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2157</Words>
  <Characters>12390</Characters>
  <Application>Microsoft Office Word</Application>
  <DocSecurity>0</DocSecurity>
  <Lines>309</Lines>
  <Paragraphs>161</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14386</CharactersWithSpaces>
  <SharedDoc>false</SharedDoc>
  <HLinks>
    <vt:vector size="6" baseType="variant">
      <vt:variant>
        <vt:i4>7078003</vt:i4>
      </vt:variant>
      <vt:variant>
        <vt:i4>0</vt:i4>
      </vt:variant>
      <vt:variant>
        <vt:i4>0</vt:i4>
      </vt:variant>
      <vt:variant>
        <vt:i4>5</vt:i4>
      </vt:variant>
      <vt:variant>
        <vt:lpwstr>https://www.ercot.com/mktrules/issues/NPRR1310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Market Rules</cp:lastModifiedBy>
  <cp:revision>6</cp:revision>
  <cp:lastPrinted>2001-06-20T16:28:00Z</cp:lastPrinted>
  <dcterms:created xsi:type="dcterms:W3CDTF">2026-03-05T20:42:00Z</dcterms:created>
  <dcterms:modified xsi:type="dcterms:W3CDTF">2026-03-05T20:47:00Z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0x010100A949BB0C0F0B3348B8DC53D67DA3A4C5</vt:lpwstr>
  </property>
  <property fmtid="{D5CDD505-2E9C-101B-9397-08002B2CF9AE}" pid="4" name="MSIP_Label_7084cbda-52b8-46fb-a7b7-cb5bd465ed85_Enabled">
    <vt:lpwstr>true</vt:lpwstr>
  </property>
  <property fmtid="{D5CDD505-2E9C-101B-9397-08002B2CF9AE}" pid="5" name="MSIP_Label_7084cbda-52b8-46fb-a7b7-cb5bd465ed85_SetDate">
    <vt:lpwstr>2026-03-05T20:42:15Z</vt:lpwstr>
  </property>
  <property fmtid="{D5CDD505-2E9C-101B-9397-08002B2CF9AE}" pid="6" name="MSIP_Label_7084cbda-52b8-46fb-a7b7-cb5bd465ed85_Method">
    <vt:lpwstr>Standard</vt:lpwstr>
  </property>
  <property fmtid="{D5CDD505-2E9C-101B-9397-08002B2CF9AE}" pid="7" name="MSIP_Label_7084cbda-52b8-46fb-a7b7-cb5bd465ed85_Name">
    <vt:lpwstr>Internal</vt:lpwstr>
  </property>
  <property fmtid="{D5CDD505-2E9C-101B-9397-08002B2CF9AE}" pid="8" name="MSIP_Label_7084cbda-52b8-46fb-a7b7-cb5bd465ed85_SiteId">
    <vt:lpwstr>0afb747d-bff7-4596-a9fc-950ef9e0ec45</vt:lpwstr>
  </property>
  <property fmtid="{D5CDD505-2E9C-101B-9397-08002B2CF9AE}" pid="9" name="MSIP_Label_7084cbda-52b8-46fb-a7b7-cb5bd465ed85_ActionId">
    <vt:lpwstr>5913d6b7-a626-4b43-a774-7dccedee84ad</vt:lpwstr>
  </property>
  <property fmtid="{D5CDD505-2E9C-101B-9397-08002B2CF9AE}" pid="10" name="MSIP_Label_7084cbda-52b8-46fb-a7b7-cb5bd465ed85_ContentBits">
    <vt:lpwstr>0</vt:lpwstr>
  </property>
  <property fmtid="{D5CDD505-2E9C-101B-9397-08002B2CF9AE}" pid="11" name="MSIP_Label_7084cbda-52b8-46fb-a7b7-cb5bd465ed85_Tag">
    <vt:lpwstr>10, 3, 0, 1</vt:lpwstr>
  </property>
</Properties>
</file>