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37338" w14:paraId="5399A156" w14:textId="77777777">
        <w:tc>
          <w:tcPr>
            <w:tcW w:w="1620" w:type="dxa"/>
            <w:tcBorders>
              <w:bottom w:val="single" w:sz="4" w:space="0" w:color="auto"/>
            </w:tcBorders>
            <w:shd w:val="clear" w:color="auto" w:fill="FFFFFF"/>
            <w:vAlign w:val="center"/>
          </w:tcPr>
          <w:p w14:paraId="340995AB" w14:textId="77777777" w:rsidR="00F37338" w:rsidRDefault="00F37338" w:rsidP="00F37338">
            <w:pPr>
              <w:pStyle w:val="Header"/>
              <w:rPr>
                <w:rFonts w:ascii="Verdana" w:hAnsi="Verdana"/>
                <w:sz w:val="22"/>
              </w:rPr>
            </w:pPr>
            <w:r>
              <w:t>NPRR Number</w:t>
            </w:r>
          </w:p>
        </w:tc>
        <w:tc>
          <w:tcPr>
            <w:tcW w:w="1260" w:type="dxa"/>
            <w:tcBorders>
              <w:bottom w:val="single" w:sz="4" w:space="0" w:color="auto"/>
            </w:tcBorders>
            <w:vAlign w:val="center"/>
          </w:tcPr>
          <w:p w14:paraId="6EBF88D3" w14:textId="0C683FED" w:rsidR="00F37338" w:rsidRDefault="00F37338" w:rsidP="00F37338">
            <w:pPr>
              <w:pStyle w:val="Header"/>
            </w:pPr>
            <w:hyperlink r:id="rId10" w:history="1">
              <w:r w:rsidRPr="00EA28F4">
                <w:rPr>
                  <w:rStyle w:val="Hyperlink"/>
                </w:rPr>
                <w:t>1309</w:t>
              </w:r>
            </w:hyperlink>
          </w:p>
        </w:tc>
        <w:tc>
          <w:tcPr>
            <w:tcW w:w="900" w:type="dxa"/>
            <w:tcBorders>
              <w:bottom w:val="single" w:sz="4" w:space="0" w:color="auto"/>
            </w:tcBorders>
            <w:shd w:val="clear" w:color="auto" w:fill="FFFFFF"/>
            <w:vAlign w:val="center"/>
          </w:tcPr>
          <w:p w14:paraId="44F10056" w14:textId="5C8E8425" w:rsidR="00F37338" w:rsidRDefault="00F37338" w:rsidP="00F37338">
            <w:pPr>
              <w:pStyle w:val="Header"/>
            </w:pPr>
            <w:r>
              <w:t>NPRR Title</w:t>
            </w:r>
          </w:p>
        </w:tc>
        <w:tc>
          <w:tcPr>
            <w:tcW w:w="6660" w:type="dxa"/>
            <w:tcBorders>
              <w:bottom w:val="single" w:sz="4" w:space="0" w:color="auto"/>
            </w:tcBorders>
            <w:vAlign w:val="center"/>
          </w:tcPr>
          <w:p w14:paraId="6CA6BC7B" w14:textId="0EE0E582" w:rsidR="00F37338" w:rsidRDefault="00F37338" w:rsidP="00F37338">
            <w:pPr>
              <w:pStyle w:val="Header"/>
            </w:pPr>
            <w:bookmarkStart w:id="0" w:name="_Hlk214556874"/>
            <w:r>
              <w:t xml:space="preserve">Board Priority - Dispatchable Reliability Reserve Service </w:t>
            </w:r>
            <w:bookmarkEnd w:id="0"/>
            <w:r>
              <w:t>Ancillary Service</w:t>
            </w:r>
          </w:p>
        </w:tc>
      </w:tr>
      <w:tr w:rsidR="00152993" w14:paraId="372E38AC" w14:textId="77777777">
        <w:trPr>
          <w:trHeight w:val="413"/>
        </w:trPr>
        <w:tc>
          <w:tcPr>
            <w:tcW w:w="2880" w:type="dxa"/>
            <w:gridSpan w:val="2"/>
            <w:tcBorders>
              <w:top w:val="nil"/>
              <w:left w:val="nil"/>
              <w:bottom w:val="single" w:sz="4" w:space="0" w:color="auto"/>
              <w:right w:val="nil"/>
            </w:tcBorders>
            <w:vAlign w:val="center"/>
          </w:tcPr>
          <w:p w14:paraId="47CF3463"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73199320" w14:textId="77777777" w:rsidR="00152993" w:rsidRDefault="00152993">
            <w:pPr>
              <w:pStyle w:val="NormalArial"/>
            </w:pPr>
          </w:p>
        </w:tc>
      </w:tr>
      <w:tr w:rsidR="00152993" w14:paraId="460CB373"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340F6A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E441CAB" w14:textId="57C11CE4" w:rsidR="00152993" w:rsidRDefault="00F37338">
            <w:pPr>
              <w:pStyle w:val="NormalArial"/>
            </w:pPr>
            <w:r>
              <w:t>March 5, 2026</w:t>
            </w:r>
          </w:p>
        </w:tc>
      </w:tr>
      <w:tr w:rsidR="00152993" w14:paraId="77F00A55" w14:textId="77777777">
        <w:trPr>
          <w:trHeight w:val="467"/>
        </w:trPr>
        <w:tc>
          <w:tcPr>
            <w:tcW w:w="2880" w:type="dxa"/>
            <w:gridSpan w:val="2"/>
            <w:tcBorders>
              <w:top w:val="single" w:sz="4" w:space="0" w:color="auto"/>
              <w:left w:val="nil"/>
              <w:bottom w:val="nil"/>
              <w:right w:val="nil"/>
            </w:tcBorders>
            <w:shd w:val="clear" w:color="auto" w:fill="FFFFFF"/>
            <w:vAlign w:val="center"/>
          </w:tcPr>
          <w:p w14:paraId="704D1FC3" w14:textId="77777777" w:rsidR="00152993" w:rsidRDefault="00152993">
            <w:pPr>
              <w:pStyle w:val="NormalArial"/>
            </w:pPr>
          </w:p>
        </w:tc>
        <w:tc>
          <w:tcPr>
            <w:tcW w:w="7560" w:type="dxa"/>
            <w:gridSpan w:val="2"/>
            <w:tcBorders>
              <w:top w:val="nil"/>
              <w:left w:val="nil"/>
              <w:bottom w:val="nil"/>
              <w:right w:val="nil"/>
            </w:tcBorders>
            <w:vAlign w:val="center"/>
          </w:tcPr>
          <w:p w14:paraId="59C865A3" w14:textId="77777777" w:rsidR="00152993" w:rsidRDefault="00152993">
            <w:pPr>
              <w:pStyle w:val="NormalArial"/>
            </w:pPr>
          </w:p>
        </w:tc>
      </w:tr>
      <w:tr w:rsidR="00152993" w14:paraId="1EEF9357" w14:textId="77777777">
        <w:trPr>
          <w:trHeight w:val="440"/>
        </w:trPr>
        <w:tc>
          <w:tcPr>
            <w:tcW w:w="10440" w:type="dxa"/>
            <w:gridSpan w:val="4"/>
            <w:tcBorders>
              <w:top w:val="single" w:sz="4" w:space="0" w:color="auto"/>
            </w:tcBorders>
            <w:shd w:val="clear" w:color="auto" w:fill="FFFFFF"/>
            <w:vAlign w:val="center"/>
          </w:tcPr>
          <w:p w14:paraId="4EC96334" w14:textId="77777777" w:rsidR="00152993" w:rsidRDefault="00152993">
            <w:pPr>
              <w:pStyle w:val="Header"/>
              <w:jc w:val="center"/>
            </w:pPr>
            <w:r>
              <w:t>Submitter’s Information</w:t>
            </w:r>
          </w:p>
        </w:tc>
      </w:tr>
      <w:tr w:rsidR="00152993" w14:paraId="5043478B" w14:textId="77777777">
        <w:trPr>
          <w:trHeight w:val="350"/>
        </w:trPr>
        <w:tc>
          <w:tcPr>
            <w:tcW w:w="2880" w:type="dxa"/>
            <w:gridSpan w:val="2"/>
            <w:shd w:val="clear" w:color="auto" w:fill="FFFFFF"/>
            <w:vAlign w:val="center"/>
          </w:tcPr>
          <w:p w14:paraId="67F43516" w14:textId="77777777" w:rsidR="00152993" w:rsidRPr="00EC55B3" w:rsidRDefault="00152993" w:rsidP="00EC55B3">
            <w:pPr>
              <w:pStyle w:val="Header"/>
            </w:pPr>
            <w:r w:rsidRPr="00EC55B3">
              <w:t>Name</w:t>
            </w:r>
          </w:p>
        </w:tc>
        <w:tc>
          <w:tcPr>
            <w:tcW w:w="7560" w:type="dxa"/>
            <w:gridSpan w:val="2"/>
            <w:vAlign w:val="center"/>
          </w:tcPr>
          <w:p w14:paraId="1EA58DF2" w14:textId="4F457BD6" w:rsidR="00152993" w:rsidRDefault="00F4248F">
            <w:pPr>
              <w:pStyle w:val="NormalArial"/>
            </w:pPr>
            <w:r>
              <w:t>Casey Horan</w:t>
            </w:r>
          </w:p>
        </w:tc>
      </w:tr>
      <w:tr w:rsidR="00152993" w14:paraId="72D41C35" w14:textId="77777777">
        <w:trPr>
          <w:trHeight w:val="350"/>
        </w:trPr>
        <w:tc>
          <w:tcPr>
            <w:tcW w:w="2880" w:type="dxa"/>
            <w:gridSpan w:val="2"/>
            <w:shd w:val="clear" w:color="auto" w:fill="FFFFFF"/>
            <w:vAlign w:val="center"/>
          </w:tcPr>
          <w:p w14:paraId="401C760A" w14:textId="77777777" w:rsidR="00152993" w:rsidRPr="00EC55B3" w:rsidRDefault="00152993" w:rsidP="00EC55B3">
            <w:pPr>
              <w:pStyle w:val="Header"/>
            </w:pPr>
            <w:r w:rsidRPr="00EC55B3">
              <w:t>E-mail Address</w:t>
            </w:r>
          </w:p>
        </w:tc>
        <w:tc>
          <w:tcPr>
            <w:tcW w:w="7560" w:type="dxa"/>
            <w:gridSpan w:val="2"/>
            <w:vAlign w:val="center"/>
          </w:tcPr>
          <w:p w14:paraId="1EE92F9B" w14:textId="657FFD02" w:rsidR="00152993" w:rsidRDefault="00F37338">
            <w:pPr>
              <w:pStyle w:val="NormalArial"/>
            </w:pPr>
            <w:hyperlink r:id="rId11" w:history="1">
              <w:r w:rsidRPr="007D5536">
                <w:rPr>
                  <w:rStyle w:val="Hyperlink"/>
                </w:rPr>
                <w:t>choran@edf.org</w:t>
              </w:r>
            </w:hyperlink>
          </w:p>
        </w:tc>
      </w:tr>
      <w:tr w:rsidR="00152993" w14:paraId="7DB3F1BC" w14:textId="77777777">
        <w:trPr>
          <w:trHeight w:val="350"/>
        </w:trPr>
        <w:tc>
          <w:tcPr>
            <w:tcW w:w="2880" w:type="dxa"/>
            <w:gridSpan w:val="2"/>
            <w:shd w:val="clear" w:color="auto" w:fill="FFFFFF"/>
            <w:vAlign w:val="center"/>
          </w:tcPr>
          <w:p w14:paraId="4E4B015C" w14:textId="77777777" w:rsidR="00152993" w:rsidRPr="00EC55B3" w:rsidRDefault="00152993" w:rsidP="00EC55B3">
            <w:pPr>
              <w:pStyle w:val="Header"/>
            </w:pPr>
            <w:r w:rsidRPr="00EC55B3">
              <w:t>Company</w:t>
            </w:r>
          </w:p>
        </w:tc>
        <w:tc>
          <w:tcPr>
            <w:tcW w:w="7560" w:type="dxa"/>
            <w:gridSpan w:val="2"/>
            <w:vAlign w:val="center"/>
          </w:tcPr>
          <w:p w14:paraId="2E7FF3AD" w14:textId="43855555" w:rsidR="00152993" w:rsidRDefault="00F4248F">
            <w:pPr>
              <w:pStyle w:val="NormalArial"/>
            </w:pPr>
            <w:r>
              <w:t>Environmental Defense Fund</w:t>
            </w:r>
            <w:r w:rsidR="00945A7B">
              <w:t xml:space="preserve"> (EDF)</w:t>
            </w:r>
          </w:p>
        </w:tc>
      </w:tr>
      <w:tr w:rsidR="00152993" w14:paraId="2F45045A" w14:textId="77777777">
        <w:trPr>
          <w:trHeight w:val="350"/>
        </w:trPr>
        <w:tc>
          <w:tcPr>
            <w:tcW w:w="2880" w:type="dxa"/>
            <w:gridSpan w:val="2"/>
            <w:tcBorders>
              <w:bottom w:val="single" w:sz="4" w:space="0" w:color="auto"/>
            </w:tcBorders>
            <w:shd w:val="clear" w:color="auto" w:fill="FFFFFF"/>
            <w:vAlign w:val="center"/>
          </w:tcPr>
          <w:p w14:paraId="7B4DBAD8"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7005F2EB" w14:textId="700B6556" w:rsidR="00152993" w:rsidRDefault="00F4248F">
            <w:pPr>
              <w:pStyle w:val="NormalArial"/>
            </w:pPr>
            <w:r w:rsidRPr="00F4248F">
              <w:t>212-624-8888</w:t>
            </w:r>
          </w:p>
        </w:tc>
      </w:tr>
      <w:tr w:rsidR="00152993" w14:paraId="3CEEF649" w14:textId="77777777">
        <w:trPr>
          <w:trHeight w:val="350"/>
        </w:trPr>
        <w:tc>
          <w:tcPr>
            <w:tcW w:w="2880" w:type="dxa"/>
            <w:gridSpan w:val="2"/>
            <w:shd w:val="clear" w:color="auto" w:fill="FFFFFF"/>
            <w:vAlign w:val="center"/>
          </w:tcPr>
          <w:p w14:paraId="05C4C897"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694FFECD" w14:textId="77777777" w:rsidR="00152993" w:rsidRDefault="00152993">
            <w:pPr>
              <w:pStyle w:val="NormalArial"/>
            </w:pPr>
          </w:p>
        </w:tc>
      </w:tr>
      <w:tr w:rsidR="00075A94" w14:paraId="51034645" w14:textId="77777777">
        <w:trPr>
          <w:trHeight w:val="350"/>
        </w:trPr>
        <w:tc>
          <w:tcPr>
            <w:tcW w:w="2880" w:type="dxa"/>
            <w:gridSpan w:val="2"/>
            <w:tcBorders>
              <w:bottom w:val="single" w:sz="4" w:space="0" w:color="auto"/>
            </w:tcBorders>
            <w:shd w:val="clear" w:color="auto" w:fill="FFFFFF"/>
            <w:vAlign w:val="center"/>
          </w:tcPr>
          <w:p w14:paraId="366B1301"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44C4E7F4" w14:textId="4F133F94" w:rsidR="00075A94" w:rsidRDefault="00F4248F">
            <w:pPr>
              <w:pStyle w:val="NormalArial"/>
            </w:pPr>
            <w:r>
              <w:t xml:space="preserve">Not </w:t>
            </w:r>
            <w:r w:rsidR="00F37338">
              <w:t>a</w:t>
            </w:r>
            <w:r>
              <w:t>pplicable</w:t>
            </w:r>
          </w:p>
        </w:tc>
      </w:tr>
    </w:tbl>
    <w:p w14:paraId="237D81A5"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45FE1" w14:paraId="2670A624" w14:textId="77777777" w:rsidTr="005559CA">
        <w:trPr>
          <w:trHeight w:val="350"/>
        </w:trPr>
        <w:tc>
          <w:tcPr>
            <w:tcW w:w="10440" w:type="dxa"/>
            <w:tcBorders>
              <w:bottom w:val="single" w:sz="4" w:space="0" w:color="auto"/>
            </w:tcBorders>
            <w:shd w:val="clear" w:color="auto" w:fill="FFFFFF"/>
            <w:vAlign w:val="center"/>
          </w:tcPr>
          <w:p w14:paraId="11D7FF7A" w14:textId="634D44E0" w:rsidR="00245FE1" w:rsidRDefault="00245FE1" w:rsidP="005559CA">
            <w:pPr>
              <w:pStyle w:val="Header"/>
              <w:jc w:val="center"/>
            </w:pPr>
            <w:r>
              <w:t>Comments</w:t>
            </w:r>
          </w:p>
        </w:tc>
      </w:tr>
    </w:tbl>
    <w:p w14:paraId="3323969D" w14:textId="77777777" w:rsidR="00F558F0" w:rsidRPr="00B407A3" w:rsidRDefault="00F558F0" w:rsidP="000B0E27">
      <w:pPr>
        <w:pStyle w:val="NormalArial"/>
        <w:numPr>
          <w:ilvl w:val="0"/>
          <w:numId w:val="3"/>
        </w:numPr>
        <w:spacing w:before="120" w:after="120"/>
        <w:ind w:left="0" w:firstLine="0"/>
        <w:jc w:val="center"/>
        <w:rPr>
          <w:b/>
          <w:bCs/>
        </w:rPr>
      </w:pPr>
      <w:r w:rsidRPr="00B407A3">
        <w:rPr>
          <w:b/>
          <w:bCs/>
        </w:rPr>
        <w:t>INTRODUCTION</w:t>
      </w:r>
    </w:p>
    <w:p w14:paraId="7755CC4A" w14:textId="49E34A28" w:rsidR="00F558F0" w:rsidRDefault="00F558F0" w:rsidP="000B0E27">
      <w:pPr>
        <w:pStyle w:val="NormalArial"/>
        <w:spacing w:before="120" w:after="120" w:line="276" w:lineRule="auto"/>
        <w:ind w:firstLine="720"/>
        <w:jc w:val="both"/>
      </w:pPr>
      <w:r w:rsidRPr="00F558F0">
        <w:t>Environmental Defense Fund (EDF) appreciates the opportunity to comment on Nodal Protocol Revision Request (NPRR) 1309 and the proposed Dispatchable Reliability Reserve Service (DRRS) Ancillary Service. EDF is a non-profit environmental organization dedicated to solving some of the world’s most pressing environmental challenges through practical, science-based solutions. EDF is focused on helping Texas’ competitive energy market thrive as significant new capacity is being added that is transforming the grid amid unprecedented electric load growth, as well as increasing challenges to grid resilience and reliability. For these reasons, EDF recommends that Energy Storage Resources (ESRs) be explicitly included in NPRR1309 rather than the related proposal under NPRR1310</w:t>
      </w:r>
      <w:r w:rsidR="00A817C7">
        <w:t xml:space="preserve">, </w:t>
      </w:r>
      <w:r w:rsidR="00A817C7" w:rsidRPr="00A817C7">
        <w:t>Dispatchable Reliability Reserve Service Plus Energy Storage Resource Participation and Release Factor</w:t>
      </w:r>
      <w:r w:rsidRPr="00F558F0">
        <w:t xml:space="preserve"> (“DRRS+”).</w:t>
      </w:r>
    </w:p>
    <w:p w14:paraId="318B291F" w14:textId="77777777" w:rsidR="00F558F0" w:rsidRPr="00B407A3" w:rsidRDefault="00F558F0" w:rsidP="000B0E27">
      <w:pPr>
        <w:pStyle w:val="NormalArial"/>
        <w:numPr>
          <w:ilvl w:val="0"/>
          <w:numId w:val="3"/>
        </w:numPr>
        <w:spacing w:before="120" w:after="120"/>
        <w:ind w:left="0" w:firstLine="0"/>
        <w:jc w:val="center"/>
        <w:rPr>
          <w:b/>
          <w:bCs/>
        </w:rPr>
      </w:pPr>
      <w:r w:rsidRPr="00B407A3">
        <w:rPr>
          <w:b/>
          <w:bCs/>
        </w:rPr>
        <w:t>DISCUSSION</w:t>
      </w:r>
    </w:p>
    <w:p w14:paraId="42B55604" w14:textId="77777777" w:rsidR="00F558F0" w:rsidRPr="00F558F0" w:rsidRDefault="00F558F0" w:rsidP="000B0E27">
      <w:pPr>
        <w:pStyle w:val="NormalArial"/>
        <w:numPr>
          <w:ilvl w:val="0"/>
          <w:numId w:val="8"/>
        </w:numPr>
        <w:spacing w:before="120" w:after="120" w:line="276" w:lineRule="auto"/>
        <w:jc w:val="both"/>
        <w:rPr>
          <w:u w:val="single"/>
        </w:rPr>
      </w:pPr>
      <w:r w:rsidRPr="00F558F0">
        <w:rPr>
          <w:u w:val="single"/>
        </w:rPr>
        <w:t>Inclusion of Energy Storage Resources in NPRR1309</w:t>
      </w:r>
    </w:p>
    <w:p w14:paraId="41B1A36E" w14:textId="454592BC" w:rsidR="00F558F0" w:rsidRPr="00F558F0" w:rsidRDefault="00F558F0" w:rsidP="000B0E27">
      <w:pPr>
        <w:pStyle w:val="NormalArial"/>
        <w:spacing w:before="120" w:after="120" w:line="276" w:lineRule="auto"/>
        <w:ind w:firstLine="720"/>
        <w:jc w:val="both"/>
      </w:pPr>
      <w:r w:rsidRPr="00F558F0">
        <w:t>EDF agrees with commenters such as Independent Market Monitor (IMM), Jupiter Power LLC/Engie North America (“Joint Commenters”), and Sierra Club that ESRs should be expressly included as eligible providers under NPRR1309, rather than being deferred to the more complex and contested framework of NPRR1310. This change is necessary to ensure alignment with the technology</w:t>
      </w:r>
      <w:r w:rsidRPr="00F558F0">
        <w:rPr>
          <w:rFonts w:ascii="Cambria Math" w:hAnsi="Cambria Math" w:cs="Cambria Math"/>
        </w:rPr>
        <w:t>‑</w:t>
      </w:r>
      <w:r w:rsidRPr="00F558F0">
        <w:t xml:space="preserve">neutral requirements of PURA </w:t>
      </w:r>
      <w:r w:rsidRPr="00F558F0">
        <w:rPr>
          <w:rFonts w:cs="Arial"/>
        </w:rPr>
        <w:t>§</w:t>
      </w:r>
      <w:r w:rsidRPr="00F558F0">
        <w:t xml:space="preserve"> 39.159, which defines eligibility based on performance capabilities (such as a four</w:t>
      </w:r>
      <w:r w:rsidRPr="00F558F0">
        <w:rPr>
          <w:rFonts w:ascii="Cambria Math" w:hAnsi="Cambria Math" w:cs="Cambria Math"/>
        </w:rPr>
        <w:t>‑</w:t>
      </w:r>
      <w:r w:rsidRPr="00F558F0">
        <w:t>hour duration and a two</w:t>
      </w:r>
      <w:r w:rsidRPr="00F558F0">
        <w:rPr>
          <w:rFonts w:ascii="Cambria Math" w:hAnsi="Cambria Math" w:cs="Cambria Math"/>
        </w:rPr>
        <w:t>‑</w:t>
      </w:r>
      <w:r w:rsidRPr="00F558F0">
        <w:t xml:space="preserve">hour ramp) rather than resource type or fuel source. </w:t>
      </w:r>
    </w:p>
    <w:p w14:paraId="56D793D8" w14:textId="35E54AEA" w:rsidR="00F558F0" w:rsidRPr="00F558F0" w:rsidRDefault="00F558F0" w:rsidP="000B0E27">
      <w:pPr>
        <w:pStyle w:val="NormalArial"/>
        <w:spacing w:before="120" w:after="120" w:line="276" w:lineRule="auto"/>
        <w:ind w:firstLine="720"/>
        <w:jc w:val="both"/>
      </w:pPr>
      <w:r w:rsidRPr="00F558F0">
        <w:lastRenderedPageBreak/>
        <w:t>EDF agrees with commenters emphasizing that ESR participation is substantively unrelated to the “Release Factor” and broader resource adequacy mechanisms introduced in NPRR1310.</w:t>
      </w:r>
      <w:r w:rsidRPr="00F558F0">
        <w:rPr>
          <w:vertAlign w:val="superscript"/>
        </w:rPr>
        <w:footnoteReference w:id="1"/>
      </w:r>
      <w:r w:rsidRPr="00F558F0">
        <w:t xml:space="preserve"> Linking ESR eligibility to those constructs is unnecessary and would delay the reliability benefits that storage resources can provide. Moreover, because NPRR1309 is designated as a Board Priority and is proceeding on an accelerated timeline, excluding ESRs from this initial implementation is discriminatory and risks sidelining the fastest</w:t>
      </w:r>
      <w:r w:rsidRPr="00F558F0">
        <w:rPr>
          <w:rFonts w:ascii="Cambria Math" w:hAnsi="Cambria Math" w:cs="Cambria Math"/>
        </w:rPr>
        <w:t>‑</w:t>
      </w:r>
      <w:r w:rsidRPr="00F558F0">
        <w:t>to</w:t>
      </w:r>
      <w:r w:rsidRPr="00F558F0">
        <w:rPr>
          <w:rFonts w:ascii="Cambria Math" w:hAnsi="Cambria Math" w:cs="Cambria Math"/>
        </w:rPr>
        <w:t>‑</w:t>
      </w:r>
      <w:r w:rsidRPr="00F558F0">
        <w:t>market dispatchable technology from the service for years.</w:t>
      </w:r>
    </w:p>
    <w:p w14:paraId="274F99FD" w14:textId="4D634E8F" w:rsidR="00F558F0" w:rsidRPr="00F558F0" w:rsidRDefault="00F558F0" w:rsidP="000B0E27">
      <w:pPr>
        <w:pStyle w:val="NormalArial"/>
        <w:spacing w:before="120" w:after="120" w:line="276" w:lineRule="auto"/>
        <w:ind w:firstLine="720"/>
        <w:jc w:val="both"/>
      </w:pPr>
      <w:r w:rsidRPr="00F558F0">
        <w:t>EDF further agrees with Advanced Power Alliance and American Clean Power Association (“APA” and “ACP</w:t>
      </w:r>
      <w:r w:rsidR="0010121A">
        <w:t>,”</w:t>
      </w:r>
      <w:r w:rsidRPr="00F558F0">
        <w:t xml:space="preserve"> respectively) and Texas Energy Buyers Alliance (“TEBA”) that, from an operational perspective, ESRs are uniquely well-suited to provide DRRS.</w:t>
      </w:r>
      <w:r w:rsidRPr="00F558F0">
        <w:rPr>
          <w:vertAlign w:val="superscript"/>
        </w:rPr>
        <w:footnoteReference w:id="2"/>
      </w:r>
      <w:r w:rsidRPr="00F558F0">
        <w:t xml:space="preserve"> Including ESRs under NPRR1309 would “strengthen the program by expanding the pool of flexible, fast-responding resources available ERCOT during periods of system stress,” enhance market competition, and reduce costs to consumers by expanding the pool of eligible resources capable of meeting reliability needs.</w:t>
      </w:r>
      <w:r w:rsidRPr="00F558F0">
        <w:rPr>
          <w:vertAlign w:val="superscript"/>
        </w:rPr>
        <w:footnoteReference w:id="3"/>
      </w:r>
    </w:p>
    <w:p w14:paraId="33D3548E" w14:textId="77777777" w:rsidR="00F558F0" w:rsidRDefault="00F558F0" w:rsidP="000B0E27">
      <w:pPr>
        <w:pStyle w:val="NormalArial"/>
        <w:spacing w:before="120" w:after="120" w:line="276" w:lineRule="auto"/>
        <w:ind w:firstLine="720"/>
        <w:jc w:val="both"/>
      </w:pPr>
      <w:r w:rsidRPr="00F558F0">
        <w:t xml:space="preserve">Accordingly, to ensure a legally durable, operationally efficient, and timely implementation of the service, EDF recommends moving the ESR participation language directly into NPRR1309. </w:t>
      </w:r>
    </w:p>
    <w:p w14:paraId="4D5F96AA" w14:textId="77777777" w:rsidR="00F558F0" w:rsidRPr="00B407A3" w:rsidRDefault="00F558F0" w:rsidP="000B0E27">
      <w:pPr>
        <w:pStyle w:val="NormalArial"/>
        <w:numPr>
          <w:ilvl w:val="0"/>
          <w:numId w:val="3"/>
        </w:numPr>
        <w:spacing w:before="120" w:after="120"/>
        <w:ind w:left="0" w:firstLine="0"/>
        <w:jc w:val="center"/>
        <w:rPr>
          <w:b/>
          <w:bCs/>
        </w:rPr>
      </w:pPr>
      <w:r w:rsidRPr="00B407A3">
        <w:rPr>
          <w:b/>
          <w:bCs/>
        </w:rPr>
        <w:t>CONCLUSION</w:t>
      </w:r>
    </w:p>
    <w:p w14:paraId="6723D1BF" w14:textId="77777777" w:rsidR="00F558F0" w:rsidRPr="00F558F0" w:rsidRDefault="00F558F0" w:rsidP="000B0E27">
      <w:pPr>
        <w:pStyle w:val="NormalArial"/>
        <w:spacing w:before="120" w:after="120" w:line="276" w:lineRule="auto"/>
        <w:ind w:firstLine="720"/>
        <w:jc w:val="both"/>
      </w:pPr>
      <w:r w:rsidRPr="00F558F0">
        <w:t xml:space="preserve">For the reasons discussed above, EDF urges that ESRs be expressly included under NPRR1309. EDF appreciates the opportunity to provide these comments.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B0E27" w14:paraId="14227160" w14:textId="77777777" w:rsidTr="005559CA">
        <w:trPr>
          <w:trHeight w:val="350"/>
        </w:trPr>
        <w:tc>
          <w:tcPr>
            <w:tcW w:w="10440" w:type="dxa"/>
            <w:tcBorders>
              <w:bottom w:val="single" w:sz="4" w:space="0" w:color="auto"/>
            </w:tcBorders>
            <w:shd w:val="clear" w:color="auto" w:fill="FFFFFF"/>
            <w:vAlign w:val="center"/>
          </w:tcPr>
          <w:p w14:paraId="4C026D28" w14:textId="77777777" w:rsidR="000B0E27" w:rsidRDefault="000B0E27" w:rsidP="005559CA">
            <w:pPr>
              <w:pStyle w:val="Header"/>
              <w:jc w:val="center"/>
            </w:pPr>
            <w:r>
              <w:t>Revised Cover Page Language</w:t>
            </w:r>
          </w:p>
        </w:tc>
      </w:tr>
    </w:tbl>
    <w:p w14:paraId="08641B30" w14:textId="77777777" w:rsidR="000B0E27" w:rsidRDefault="000B0E27" w:rsidP="000B0E2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B0E27" w14:paraId="08B8AA76" w14:textId="77777777" w:rsidTr="005559CA">
        <w:trPr>
          <w:trHeight w:val="350"/>
        </w:trPr>
        <w:tc>
          <w:tcPr>
            <w:tcW w:w="10440" w:type="dxa"/>
            <w:tcBorders>
              <w:bottom w:val="single" w:sz="4" w:space="0" w:color="auto"/>
            </w:tcBorders>
            <w:shd w:val="clear" w:color="auto" w:fill="FFFFFF"/>
            <w:vAlign w:val="center"/>
          </w:tcPr>
          <w:p w14:paraId="0373B378" w14:textId="77777777" w:rsidR="000B0E27" w:rsidRDefault="000B0E27" w:rsidP="005559CA">
            <w:pPr>
              <w:pStyle w:val="Header"/>
              <w:jc w:val="center"/>
            </w:pPr>
            <w:r>
              <w:t>Revised Proposed Protocol Language</w:t>
            </w:r>
          </w:p>
        </w:tc>
      </w:tr>
    </w:tbl>
    <w:p w14:paraId="7C5C15D1" w14:textId="03D9DA18" w:rsidR="00BD7258" w:rsidRDefault="000B0E27" w:rsidP="000B0E27">
      <w:pPr>
        <w:pStyle w:val="NormalArial"/>
        <w:spacing w:before="120" w:after="120"/>
      </w:pPr>
      <w:r>
        <w:t>None.</w:t>
      </w:r>
    </w:p>
    <w:sectPr w:rsidR="00BD7258"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5078" w14:textId="77777777" w:rsidR="002477C2" w:rsidRDefault="002477C2">
      <w:r>
        <w:separator/>
      </w:r>
    </w:p>
  </w:endnote>
  <w:endnote w:type="continuationSeparator" w:id="0">
    <w:p w14:paraId="5EA57213" w14:textId="77777777" w:rsidR="002477C2" w:rsidRDefault="0024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555D" w14:textId="2712189B"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0B0E27">
      <w:rPr>
        <w:rFonts w:ascii="Arial" w:hAnsi="Arial"/>
        <w:noProof/>
        <w:sz w:val="18"/>
      </w:rPr>
      <w:t>1309NPRR-17 EDF Comments 030526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79309EDB"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8209" w14:textId="77777777" w:rsidR="002477C2" w:rsidRDefault="002477C2">
      <w:r>
        <w:separator/>
      </w:r>
    </w:p>
  </w:footnote>
  <w:footnote w:type="continuationSeparator" w:id="0">
    <w:p w14:paraId="57B9E229" w14:textId="77777777" w:rsidR="002477C2" w:rsidRDefault="002477C2">
      <w:r>
        <w:continuationSeparator/>
      </w:r>
    </w:p>
  </w:footnote>
  <w:footnote w:id="1">
    <w:p w14:paraId="279727FB" w14:textId="77777777" w:rsidR="00F558F0" w:rsidRPr="00B407A3" w:rsidRDefault="00F558F0" w:rsidP="00F558F0">
      <w:pPr>
        <w:pStyle w:val="FootnoteText"/>
      </w:pPr>
      <w:r w:rsidRPr="00B407A3">
        <w:rPr>
          <w:rStyle w:val="FootnoteReference"/>
        </w:rPr>
        <w:footnoteRef/>
      </w:r>
      <w:r w:rsidRPr="00B407A3">
        <w:t xml:space="preserve">  Joint Commenters Comments at 1.</w:t>
      </w:r>
    </w:p>
  </w:footnote>
  <w:footnote w:id="2">
    <w:p w14:paraId="6CE5A325" w14:textId="77777777" w:rsidR="00F558F0" w:rsidRPr="00B407A3" w:rsidRDefault="00F558F0" w:rsidP="00F558F0">
      <w:pPr>
        <w:pStyle w:val="FootnoteText"/>
      </w:pPr>
      <w:r w:rsidRPr="00B407A3">
        <w:rPr>
          <w:rStyle w:val="FootnoteReference"/>
        </w:rPr>
        <w:footnoteRef/>
      </w:r>
      <w:r w:rsidRPr="00B407A3">
        <w:t xml:space="preserve"> APA/ACP Comments at 1-2.</w:t>
      </w:r>
    </w:p>
  </w:footnote>
  <w:footnote w:id="3">
    <w:p w14:paraId="40B0AFE9" w14:textId="77777777" w:rsidR="00F558F0" w:rsidRPr="00B407A3" w:rsidRDefault="00F558F0" w:rsidP="00F558F0">
      <w:pPr>
        <w:pStyle w:val="FootnoteText"/>
      </w:pPr>
      <w:r w:rsidRPr="00B407A3">
        <w:rPr>
          <w:rStyle w:val="FootnoteReference"/>
        </w:rPr>
        <w:footnoteRef/>
      </w:r>
      <w:r w:rsidRPr="00B407A3">
        <w:t xml:space="preserve"> TEBA Comments at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E891" w14:textId="77777777" w:rsidR="00EE6681" w:rsidRDefault="00EE6681">
    <w:pPr>
      <w:pStyle w:val="Header"/>
      <w:jc w:val="center"/>
      <w:rPr>
        <w:sz w:val="32"/>
      </w:rPr>
    </w:pPr>
    <w:r>
      <w:rPr>
        <w:sz w:val="32"/>
      </w:rPr>
      <w:t>NPRR Comments</w:t>
    </w:r>
  </w:p>
  <w:p w14:paraId="6AB4E42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7E5AA4"/>
    <w:multiLevelType w:val="hybridMultilevel"/>
    <w:tmpl w:val="1A800FEE"/>
    <w:lvl w:ilvl="0" w:tplc="6FA0EBBE">
      <w:start w:val="1"/>
      <w:numFmt w:val="bullet"/>
      <w:lvlText w:val=""/>
      <w:lvlJc w:val="left"/>
      <w:pPr>
        <w:ind w:left="360" w:hanging="360"/>
      </w:pPr>
      <w:rPr>
        <w:rFonts w:ascii="Symbol" w:hAnsi="Symbol" w:hint="default"/>
      </w:rPr>
    </w:lvl>
    <w:lvl w:ilvl="1" w:tplc="6434800A">
      <w:start w:val="1"/>
      <w:numFmt w:val="bullet"/>
      <w:lvlText w:val="o"/>
      <w:lvlJc w:val="left"/>
      <w:pPr>
        <w:ind w:left="1080" w:hanging="360"/>
      </w:pPr>
      <w:rPr>
        <w:rFonts w:ascii="Courier New" w:hAnsi="Courier New" w:hint="default"/>
      </w:rPr>
    </w:lvl>
    <w:lvl w:ilvl="2" w:tplc="5C545FC6" w:tentative="1">
      <w:start w:val="1"/>
      <w:numFmt w:val="bullet"/>
      <w:lvlText w:val=""/>
      <w:lvlJc w:val="left"/>
      <w:pPr>
        <w:ind w:left="1800" w:hanging="360"/>
      </w:pPr>
      <w:rPr>
        <w:rFonts w:ascii="Wingdings" w:hAnsi="Wingdings" w:hint="default"/>
      </w:rPr>
    </w:lvl>
    <w:lvl w:ilvl="3" w:tplc="AD26119C" w:tentative="1">
      <w:start w:val="1"/>
      <w:numFmt w:val="bullet"/>
      <w:lvlText w:val=""/>
      <w:lvlJc w:val="left"/>
      <w:pPr>
        <w:ind w:left="2520" w:hanging="360"/>
      </w:pPr>
      <w:rPr>
        <w:rFonts w:ascii="Symbol" w:hAnsi="Symbol" w:hint="default"/>
      </w:rPr>
    </w:lvl>
    <w:lvl w:ilvl="4" w:tplc="EADCB294" w:tentative="1">
      <w:start w:val="1"/>
      <w:numFmt w:val="bullet"/>
      <w:lvlText w:val="o"/>
      <w:lvlJc w:val="left"/>
      <w:pPr>
        <w:ind w:left="3240" w:hanging="360"/>
      </w:pPr>
      <w:rPr>
        <w:rFonts w:ascii="Courier New" w:hAnsi="Courier New" w:hint="default"/>
      </w:rPr>
    </w:lvl>
    <w:lvl w:ilvl="5" w:tplc="8C2AA37E" w:tentative="1">
      <w:start w:val="1"/>
      <w:numFmt w:val="bullet"/>
      <w:lvlText w:val=""/>
      <w:lvlJc w:val="left"/>
      <w:pPr>
        <w:ind w:left="3960" w:hanging="360"/>
      </w:pPr>
      <w:rPr>
        <w:rFonts w:ascii="Wingdings" w:hAnsi="Wingdings" w:hint="default"/>
      </w:rPr>
    </w:lvl>
    <w:lvl w:ilvl="6" w:tplc="B60A3FAE" w:tentative="1">
      <w:start w:val="1"/>
      <w:numFmt w:val="bullet"/>
      <w:lvlText w:val=""/>
      <w:lvlJc w:val="left"/>
      <w:pPr>
        <w:ind w:left="4680" w:hanging="360"/>
      </w:pPr>
      <w:rPr>
        <w:rFonts w:ascii="Symbol" w:hAnsi="Symbol" w:hint="default"/>
      </w:rPr>
    </w:lvl>
    <w:lvl w:ilvl="7" w:tplc="729C5390" w:tentative="1">
      <w:start w:val="1"/>
      <w:numFmt w:val="bullet"/>
      <w:lvlText w:val="o"/>
      <w:lvlJc w:val="left"/>
      <w:pPr>
        <w:ind w:left="5400" w:hanging="360"/>
      </w:pPr>
      <w:rPr>
        <w:rFonts w:ascii="Courier New" w:hAnsi="Courier New" w:hint="default"/>
      </w:rPr>
    </w:lvl>
    <w:lvl w:ilvl="8" w:tplc="175C6E9C" w:tentative="1">
      <w:start w:val="1"/>
      <w:numFmt w:val="bullet"/>
      <w:lvlText w:val=""/>
      <w:lvlJc w:val="left"/>
      <w:pPr>
        <w:ind w:left="6120" w:hanging="360"/>
      </w:pPr>
      <w:rPr>
        <w:rFonts w:ascii="Wingdings" w:hAnsi="Wingdings" w:hint="default"/>
      </w:rPr>
    </w:lvl>
  </w:abstractNum>
  <w:abstractNum w:abstractNumId="2" w15:restartNumberingAfterBreak="0">
    <w:nsid w:val="1E851DA9"/>
    <w:multiLevelType w:val="hybridMultilevel"/>
    <w:tmpl w:val="26561B8A"/>
    <w:lvl w:ilvl="0" w:tplc="B8C4C6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1126F2"/>
    <w:multiLevelType w:val="hybridMultilevel"/>
    <w:tmpl w:val="BE8459F6"/>
    <w:lvl w:ilvl="0" w:tplc="04CECD7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FF712E"/>
    <w:multiLevelType w:val="hybridMultilevel"/>
    <w:tmpl w:val="8C0C51CE"/>
    <w:lvl w:ilvl="0" w:tplc="A7E8FEA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5199E"/>
    <w:multiLevelType w:val="hybridMultilevel"/>
    <w:tmpl w:val="0F801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E37C0"/>
    <w:multiLevelType w:val="hybridMultilevel"/>
    <w:tmpl w:val="92F8A2B2"/>
    <w:lvl w:ilvl="0" w:tplc="06F64E8E">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64071996">
    <w:abstractNumId w:val="0"/>
  </w:num>
  <w:num w:numId="2" w16cid:durableId="19627545">
    <w:abstractNumId w:val="7"/>
  </w:num>
  <w:num w:numId="3" w16cid:durableId="1049458254">
    <w:abstractNumId w:val="6"/>
  </w:num>
  <w:num w:numId="4" w16cid:durableId="926689624">
    <w:abstractNumId w:val="5"/>
  </w:num>
  <w:num w:numId="5" w16cid:durableId="1547061055">
    <w:abstractNumId w:val="3"/>
  </w:num>
  <w:num w:numId="6" w16cid:durableId="196086664">
    <w:abstractNumId w:val="1"/>
  </w:num>
  <w:num w:numId="7" w16cid:durableId="1958365406">
    <w:abstractNumId w:val="4"/>
  </w:num>
  <w:num w:numId="8" w16cid:durableId="1757171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0144"/>
    <w:rsid w:val="00037668"/>
    <w:rsid w:val="00075A94"/>
    <w:rsid w:val="000B0E27"/>
    <w:rsid w:val="0010121A"/>
    <w:rsid w:val="00132855"/>
    <w:rsid w:val="00152993"/>
    <w:rsid w:val="00170297"/>
    <w:rsid w:val="001A227D"/>
    <w:rsid w:val="001E2032"/>
    <w:rsid w:val="001F339B"/>
    <w:rsid w:val="00245FE1"/>
    <w:rsid w:val="002477C2"/>
    <w:rsid w:val="00273D56"/>
    <w:rsid w:val="003010C0"/>
    <w:rsid w:val="00332A97"/>
    <w:rsid w:val="00350C00"/>
    <w:rsid w:val="00366113"/>
    <w:rsid w:val="00376C48"/>
    <w:rsid w:val="003A1F37"/>
    <w:rsid w:val="003C270C"/>
    <w:rsid w:val="003C67CC"/>
    <w:rsid w:val="003D0994"/>
    <w:rsid w:val="00423824"/>
    <w:rsid w:val="0043567D"/>
    <w:rsid w:val="004B7B90"/>
    <w:rsid w:val="004E2C19"/>
    <w:rsid w:val="005D284C"/>
    <w:rsid w:val="00604512"/>
    <w:rsid w:val="00633E23"/>
    <w:rsid w:val="00662C67"/>
    <w:rsid w:val="00673B94"/>
    <w:rsid w:val="00680AC6"/>
    <w:rsid w:val="006835D8"/>
    <w:rsid w:val="006C316E"/>
    <w:rsid w:val="006D0F7C"/>
    <w:rsid w:val="007269C4"/>
    <w:rsid w:val="0074209E"/>
    <w:rsid w:val="007F2CA8"/>
    <w:rsid w:val="007F7161"/>
    <w:rsid w:val="0085559E"/>
    <w:rsid w:val="00896B1B"/>
    <w:rsid w:val="008E559E"/>
    <w:rsid w:val="00916080"/>
    <w:rsid w:val="00921A68"/>
    <w:rsid w:val="009245B8"/>
    <w:rsid w:val="00945A7B"/>
    <w:rsid w:val="0095409F"/>
    <w:rsid w:val="00972C0E"/>
    <w:rsid w:val="00A015C4"/>
    <w:rsid w:val="00A15172"/>
    <w:rsid w:val="00A817C7"/>
    <w:rsid w:val="00B14471"/>
    <w:rsid w:val="00B407A3"/>
    <w:rsid w:val="00B5080A"/>
    <w:rsid w:val="00B943AE"/>
    <w:rsid w:val="00BB73B9"/>
    <w:rsid w:val="00BD7258"/>
    <w:rsid w:val="00C0598D"/>
    <w:rsid w:val="00C11956"/>
    <w:rsid w:val="00C602E5"/>
    <w:rsid w:val="00C748FD"/>
    <w:rsid w:val="00D4046E"/>
    <w:rsid w:val="00D4362F"/>
    <w:rsid w:val="00DD4739"/>
    <w:rsid w:val="00DE5F33"/>
    <w:rsid w:val="00E07B54"/>
    <w:rsid w:val="00E11F78"/>
    <w:rsid w:val="00E12506"/>
    <w:rsid w:val="00E621E1"/>
    <w:rsid w:val="00EC55B3"/>
    <w:rsid w:val="00EE6681"/>
    <w:rsid w:val="00F37338"/>
    <w:rsid w:val="00F4248F"/>
    <w:rsid w:val="00F558F0"/>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85048"/>
  <w15:chartTrackingRefBased/>
  <w15:docId w15:val="{05F6D6A9-4B57-47B1-9048-72FAD090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uiPriority w:val="99"/>
    <w:unhideWhenUsed/>
    <w:rsid w:val="00F4248F"/>
    <w:rPr>
      <w:rFonts w:ascii="Arial" w:eastAsia="Aptos" w:hAnsi="Arial" w:cs="Arial"/>
      <w:kern w:val="2"/>
      <w:sz w:val="20"/>
      <w:szCs w:val="20"/>
    </w:rPr>
  </w:style>
  <w:style w:type="character" w:customStyle="1" w:styleId="FootnoteTextChar">
    <w:name w:val="Footnote Text Char"/>
    <w:link w:val="FootnoteText"/>
    <w:uiPriority w:val="99"/>
    <w:rsid w:val="00F4248F"/>
    <w:rPr>
      <w:rFonts w:ascii="Arial" w:eastAsia="Aptos" w:hAnsi="Arial" w:cs="Arial"/>
      <w:kern w:val="2"/>
    </w:rPr>
  </w:style>
  <w:style w:type="character" w:styleId="FootnoteReference">
    <w:name w:val="footnote reference"/>
    <w:uiPriority w:val="99"/>
    <w:unhideWhenUsed/>
    <w:rsid w:val="00F4248F"/>
    <w:rPr>
      <w:vertAlign w:val="superscript"/>
    </w:rPr>
  </w:style>
  <w:style w:type="character" w:styleId="UnresolvedMention">
    <w:name w:val="Unresolved Mention"/>
    <w:uiPriority w:val="99"/>
    <w:semiHidden/>
    <w:unhideWhenUsed/>
    <w:rsid w:val="00F4248F"/>
    <w:rPr>
      <w:color w:val="605E5C"/>
      <w:shd w:val="clear" w:color="auto" w:fill="E1DFDD"/>
    </w:rPr>
  </w:style>
  <w:style w:type="character" w:styleId="Mention">
    <w:name w:val="Mention"/>
    <w:uiPriority w:val="99"/>
    <w:unhideWhenUsed/>
    <w:rsid w:val="00F558F0"/>
    <w:rPr>
      <w:color w:val="2B579A"/>
      <w:shd w:val="clear" w:color="auto" w:fill="E1DFDD"/>
    </w:rPr>
  </w:style>
  <w:style w:type="character" w:customStyle="1" w:styleId="HeaderChar">
    <w:name w:val="Header Char"/>
    <w:basedOn w:val="DefaultParagraphFont"/>
    <w:link w:val="Header"/>
    <w:rsid w:val="000B0E2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oran@edf.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rcot.com/mktrules/issues/NPRR13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_ModernAudienceTargetUserField xmlns="c766e077-93d0-443a-bfce-debdeac60833">
      <UserInfo>
        <DisplayName/>
        <AccountId xsi:nil="true"/>
        <AccountType/>
      </UserInfo>
    </_ModernAudienceTargetUserField>
    <StartDate xmlns="http://schemas.microsoft.com/sharepoint/v3">2026-02-26T14:16:04+00:00</StartDate>
    <Company xmlns="http://schemas.microsoft.com/sharepoint/v3" xsi:nil="true"/>
    <_ExtendedDescription xmlns="http://schemas.microsoft.com/sharepoint/v3" xsi:nil="true"/>
    <Target_x0020_Audiences xmlns="c766e077-93d0-443a-bfce-debdeac60833" xsi:nil="true"/>
    <_EndDate xmlns="http://schemas.microsoft.com/sharepoint/v3/fields">2026-02-26T14:16:04+00:00</_EndDate>
    <_Contributor xmlns="http://schemas.microsoft.com/sharepoint/v3/fields" xsi:nil="true"/>
    <Author1 xmlns="544a5aab-e3b1-4bfd-a897-9e41524c593c">
      <UserInfo>
        <DisplayName/>
        <AccountId xsi:nil="true"/>
        <AccountType/>
      </UserInfo>
    </Author1>
    <lcf76f155ced4ddcb4097134ff3c332f xmlns="c766e077-93d0-443a-bfce-debdeac60833">
      <Terms xmlns="http://schemas.microsoft.com/office/infopath/2007/PartnerControls"/>
    </lcf76f155ced4ddcb4097134ff3c332f>
    <TaxCatchAll xmlns="544a5aab-e3b1-4bfd-a897-9e41524c593c" xsi:nil="true"/>
    <_Status xmlns="http://schemas.microsoft.com/sharepoint/v3/fields">Not Started</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49BB0C0F0B3348B8DC53D67DA3A4C5" ma:contentTypeVersion="45" ma:contentTypeDescription="Create a new document." ma:contentTypeScope="" ma:versionID="5ca250079e150cb9055eacf586fa808e">
  <xsd:schema xmlns:xsd="http://www.w3.org/2001/XMLSchema" xmlns:xs="http://www.w3.org/2001/XMLSchema" xmlns:p="http://schemas.microsoft.com/office/2006/metadata/properties" xmlns:ns1="http://schemas.microsoft.com/sharepoint/v3" xmlns:ns2="544a5aab-e3b1-4bfd-a897-9e41524c593c" xmlns:ns3="c766e077-93d0-443a-bfce-debdeac60833" xmlns:ns4="http://schemas.microsoft.com/sharepoint/v3/fields" targetNamespace="http://schemas.microsoft.com/office/2006/metadata/properties" ma:root="true" ma:fieldsID="cdbaade93ded670de1fb977900fa5048" ns1:_="" ns2:_="" ns3:_="" ns4:_="">
    <xsd:import namespace="http://schemas.microsoft.com/sharepoint/v3"/>
    <xsd:import namespace="544a5aab-e3b1-4bfd-a897-9e41524c593c"/>
    <xsd:import namespace="c766e077-93d0-443a-bfce-debdeac60833"/>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TaxCatchAll" minOccurs="0"/>
                <xsd:element ref="ns3:MediaServiceDateTaken" minOccurs="0"/>
                <xsd:element ref="ns3:MediaLengthInSeconds" minOccurs="0"/>
                <xsd:element ref="ns3:lcf76f155ced4ddcb4097134ff3c332f" minOccurs="0"/>
                <xsd:element ref="ns3:MediaServiceObjectDetectorVersions" minOccurs="0"/>
                <xsd:element ref="ns3:MediaServiceLocation" minOccurs="0"/>
                <xsd:element ref="ns3:MediaServiceSearchProperties" minOccurs="0"/>
                <xsd:element ref="ns3:Target_x0020_Audiences" minOccurs="0"/>
                <xsd:element ref="ns3:_ModernAudienceTargetUserField" minOccurs="0"/>
                <xsd:element ref="ns3:_ModernAudienceAadObjectIds" minOccurs="0"/>
                <xsd:element ref="ns1:Company" minOccurs="0"/>
                <xsd:element ref="ns4:_Contributor" minOccurs="0"/>
                <xsd:element ref="ns1:StartDate" minOccurs="0"/>
                <xsd:element ref="ns4:_EndDate" minOccurs="0"/>
                <xsd:element ref="ns4:_Status" minOccurs="0"/>
                <xsd:element ref="ns4:_Coverage" minOccurs="0"/>
                <xsd:element ref="ns2:Author1" minOccurs="0"/>
                <xsd:element ref="ns1:_ExtendedDescrip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30" nillable="true" ma:displayName="Company" ma:internalName="Company">
      <xsd:simpleType>
        <xsd:restriction base="dms:Text"/>
      </xsd:simpleType>
    </xsd:element>
    <xsd:element name="StartDate" ma:index="34" nillable="true" ma:displayName="Start Date" ma:default="[today]" ma:format="DateOnly" ma:internalName="StartDate0">
      <xsd:simpleType>
        <xsd:restriction base="dms:DateTime"/>
      </xsd:simpleType>
    </xsd:element>
    <xsd:element name="_ExtendedDescription" ma:index="40"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4a5aab-e3b1-4bfd-a897-9e41524c59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d6fd040-3dbc-4528-992e-d54c08c1db25}" ma:internalName="TaxCatchAll" ma:showField="CatchAllData" ma:web="544a5aab-e3b1-4bfd-a897-9e41524c593c">
      <xsd:complexType>
        <xsd:complexContent>
          <xsd:extension base="dms:MultiChoiceLookup">
            <xsd:sequence>
              <xsd:element name="Value" type="dms:Lookup" maxOccurs="unbounded" minOccurs="0" nillable="true"/>
            </xsd:sequence>
          </xsd:extension>
        </xsd:complexContent>
      </xsd:complexType>
    </xsd:element>
    <xsd:element name="Author1" ma:index="39" nillable="true" ma:displayName="Author" ma:description="The primary author" ma:list="UserInfo" ma:SearchPeopleOnly="false" ma:SharePointGroup="0" ma:internalName="Author1"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66e077-93d0-443a-bfce-debdeac608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2c4596-0455-4dfd-b3e1-e582100e08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arget_x0020_Audiences" ma:index="26" nillable="true" ma:displayName="Target Audiences" ma:internalName="Target_x0020_Audiences">
      <xsd:simpleType>
        <xsd:restriction base="dms:Unknown"/>
      </xsd:simpleType>
    </xsd:element>
    <xsd:element name="_ModernAudienceTargetUserField" ma:index="27" nillable="true" ma:displayName="Audience" ma:format="Dropdown"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8" nillable="true" ma:displayName="AudienceIds" ma:list="{a2d636d1-d6e8-432d-b078-9ac52869bf3e}" ma:internalName="_ModernAudienceAadObjectIds" ma:readOnly="true" ma:showField="_AadObjectIdForUser" ma:web="544a5aab-e3b1-4bfd-a897-9e41524c593c">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33" nillable="true" ma:displayName="Contributor" ma:description="One or more people or organizations that contributed to this resource" ma:internalName="_Contributor">
      <xsd:simpleType>
        <xsd:restriction base="dms:Note">
          <xsd:maxLength value="255"/>
        </xsd:restriction>
      </xsd:simpleType>
    </xsd:element>
    <xsd:element name="_EndDate" ma:index="35" nillable="true" ma:displayName="End Date" ma:default="[today]" ma:format="DateTime" ma:internalName="_EndDate">
      <xsd:simpleType>
        <xsd:restriction base="dms:DateTime"/>
      </xsd:simpleType>
    </xsd:element>
    <xsd:element name="_Status" ma:index="37"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Coverage" ma:index="38" nillable="true" ma:displayName="Coverage" ma:description="The extent or scope"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1" ma:displayName="Subject"/>
        <xsd:element ref="dc:description" minOccurs="0" maxOccurs="1" ma:index="29" ma:displayName="Comments"/>
        <xsd:element name="keywords" minOccurs="0" maxOccurs="1" type="xsd:string" ma:index="32" ma:displayName="Keywords"/>
        <xsd:element ref="dc:language" minOccurs="0" maxOccurs="1"/>
        <xsd:element name="category" minOccurs="0" maxOccurs="1" type="xsd:string" ma:index="36"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FA62C-D4A8-4CA2-9270-F9C4F6C07A02}">
  <ds:schemaRefs>
    <ds:schemaRef ds:uri="http://schemas.microsoft.com/sharepoint/v3/contenttype/forms"/>
  </ds:schemaRefs>
</ds:datastoreItem>
</file>

<file path=customXml/itemProps2.xml><?xml version="1.0" encoding="utf-8"?>
<ds:datastoreItem xmlns:ds="http://schemas.openxmlformats.org/officeDocument/2006/customXml" ds:itemID="{3B2B9451-00B0-41C3-A820-8659EAB0FF27}">
  <ds:schemaRefs>
    <ds:schemaRef ds:uri="http://schemas.microsoft.com/office/2006/metadata/properties"/>
    <ds:schemaRef ds:uri="http://schemas.microsoft.com/office/infopath/2007/PartnerControls"/>
    <ds:schemaRef ds:uri="http://schemas.microsoft.com/sharepoint/v3/fields"/>
    <ds:schemaRef ds:uri="c766e077-93d0-443a-bfce-debdeac60833"/>
    <ds:schemaRef ds:uri="http://schemas.microsoft.com/sharepoint/v3"/>
    <ds:schemaRef ds:uri="544a5aab-e3b1-4bfd-a897-9e41524c593c"/>
  </ds:schemaRefs>
</ds:datastoreItem>
</file>

<file path=customXml/itemProps3.xml><?xml version="1.0" encoding="utf-8"?>
<ds:datastoreItem xmlns:ds="http://schemas.openxmlformats.org/officeDocument/2006/customXml" ds:itemID="{B330A184-2494-4CAB-B168-3CE9E3E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4a5aab-e3b1-4bfd-a897-9e41524c593c"/>
    <ds:schemaRef ds:uri="c766e077-93d0-443a-bfce-debdeac6083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4574ed-bcfd-4bf0-bde8-43713c3f434f}" enabled="0" method="" siteId="{fe4574ed-bcfd-4bf0-bde8-43713c3f434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467</Words>
  <Characters>3058</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3499</CharactersWithSpaces>
  <SharedDoc>false</SharedDoc>
  <HLinks>
    <vt:vector size="6" baseType="variant">
      <vt:variant>
        <vt:i4>7078003</vt:i4>
      </vt:variant>
      <vt:variant>
        <vt:i4>0</vt:i4>
      </vt:variant>
      <vt:variant>
        <vt:i4>0</vt:i4>
      </vt:variant>
      <vt:variant>
        <vt:i4>5</vt:i4>
      </vt:variant>
      <vt:variant>
        <vt:lpwstr>https://www.ercot.com/mktrules/issues/NPRR1310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5</cp:revision>
  <cp:lastPrinted>2001-06-20T16:28:00Z</cp:lastPrinted>
  <dcterms:created xsi:type="dcterms:W3CDTF">2026-03-05T20:25:00Z</dcterms:created>
  <dcterms:modified xsi:type="dcterms:W3CDTF">2026-03-05T20:37:00Z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0x010100A949BB0C0F0B3348B8DC53D67DA3A4C5</vt:lpwstr>
  </property>
  <property fmtid="{D5CDD505-2E9C-101B-9397-08002B2CF9AE}" pid="4" name="MSIP_Label_7084cbda-52b8-46fb-a7b7-cb5bd465ed85_Enabled">
    <vt:lpwstr>true</vt:lpwstr>
  </property>
  <property fmtid="{D5CDD505-2E9C-101B-9397-08002B2CF9AE}" pid="5" name="MSIP_Label_7084cbda-52b8-46fb-a7b7-cb5bd465ed85_SetDate">
    <vt:lpwstr>2026-03-05T20:25:45Z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cf171a8f-5dbd-4db3-afe6-388d3aecb81e</vt:lpwstr>
  </property>
  <property fmtid="{D5CDD505-2E9C-101B-9397-08002B2CF9AE}" pid="10" name="MSIP_Label_7084cbda-52b8-46fb-a7b7-cb5bd465ed85_ContentBits">
    <vt:lpwstr>0</vt:lpwstr>
  </property>
  <property fmtid="{D5CDD505-2E9C-101B-9397-08002B2CF9AE}" pid="11" name="MSIP_Label_7084cbda-52b8-46fb-a7b7-cb5bd465ed85_Tag">
    <vt:lpwstr>10, 3, 0, 1</vt:lpwstr>
  </property>
</Properties>
</file>