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FB4274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3A3ABBE4" w:rsidR="00FB4274" w:rsidRDefault="00FB4274" w:rsidP="00FB4274">
            <w:pPr>
              <w:pStyle w:val="Header"/>
            </w:pPr>
            <w:r>
              <w:t>PGRR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4D7DD171" w:rsidR="00FB4274" w:rsidRPr="00595DDC" w:rsidRDefault="00FB4274" w:rsidP="00FB4274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180821">
                <w:rPr>
                  <w:rStyle w:val="Hyperlink"/>
                </w:rPr>
                <w:t>145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C508BC9" w:rsidR="00FB4274" w:rsidRDefault="00FB4274" w:rsidP="00FB4274">
            <w:pPr>
              <w:pStyle w:val="Header"/>
            </w:pPr>
            <w:r>
              <w:t>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2D48B4B4" w:rsidR="00FB4274" w:rsidRPr="009F3D0E" w:rsidRDefault="00FB4274" w:rsidP="00FB4274">
            <w:pPr>
              <w:pStyle w:val="Header"/>
              <w:rPr>
                <w:szCs w:val="23"/>
              </w:rPr>
            </w:pPr>
            <w:r w:rsidRPr="000051C6">
              <w:t>Batch Zero</w:t>
            </w:r>
            <w:r>
              <w:t xml:space="preserve"> Process for Large Load Interconnections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3E8E1D8A" w:rsidR="00FC0BDC" w:rsidRPr="009F3D0E" w:rsidRDefault="00FC77BC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March 4,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9213540" w14:textId="5925F852" w:rsidR="00EB5E7E" w:rsidRDefault="00EB5E7E" w:rsidP="00EB5E7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  <w:r w:rsidR="00320300">
              <w:rPr>
                <w:rFonts w:ascii="Arial" w:hAnsi="Arial" w:cs="Arial"/>
              </w:rPr>
              <w:t>.</w:t>
            </w:r>
            <w:r w:rsidR="00FC77BC">
              <w:rPr>
                <w:rFonts w:ascii="Arial" w:hAnsi="Arial" w:cs="Arial"/>
              </w:rPr>
              <w:t xml:space="preserve"> </w:t>
            </w:r>
            <w:r w:rsidR="00320300">
              <w:rPr>
                <w:rFonts w:ascii="Arial" w:hAnsi="Arial" w:cs="Arial"/>
              </w:rPr>
              <w:t xml:space="preserve"> </w:t>
            </w:r>
          </w:p>
          <w:p w14:paraId="7A048E32" w14:textId="497568D0" w:rsidR="00EB5E7E" w:rsidRPr="00295C69" w:rsidRDefault="00EB5E7E" w:rsidP="00EB5E7E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00442FBA">
              <w:rPr>
                <w:rFonts w:ascii="Arial" w:hAnsi="Arial" w:cs="Arial"/>
              </w:rPr>
              <w:t xml:space="preserve">Annual Recurring Operations and Maintenance (O&amp;M) Budget Cost: </w:t>
            </w:r>
            <w:r w:rsidR="00320300">
              <w:rPr>
                <w:rFonts w:ascii="Arial" w:hAnsi="Arial" w:cs="Arial"/>
              </w:rPr>
              <w:t>TBD</w:t>
            </w:r>
          </w:p>
          <w:p w14:paraId="45CA1C19" w14:textId="59EAAE60" w:rsidR="00124420" w:rsidRDefault="00EB5E7E" w:rsidP="00EB5E7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152F">
              <w:rPr>
                <w:rFonts w:ascii="Arial" w:hAnsi="Arial" w:cs="Arial"/>
              </w:rPr>
              <w:t>See ERCOT Staffing Impacts</w:t>
            </w:r>
            <w:r w:rsidR="006805FB">
              <w:rPr>
                <w:rFonts w:ascii="Arial" w:hAnsi="Arial" w:cs="Arial"/>
              </w:rPr>
              <w:t>.</w:t>
            </w:r>
          </w:p>
          <w:p w14:paraId="24EC7B8C" w14:textId="40388B3B" w:rsidR="005478AD" w:rsidRPr="00EB5E7E" w:rsidRDefault="005478AD" w:rsidP="00EB5E7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 </w:t>
            </w:r>
            <w:r w:rsidR="006805F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omments below</w:t>
            </w:r>
            <w:r w:rsidR="006805FB">
              <w:rPr>
                <w:rFonts w:ascii="Arial" w:hAnsi="Arial" w:cs="Arial"/>
              </w:rPr>
              <w:t>.</w:t>
            </w:r>
          </w:p>
        </w:tc>
      </w:tr>
      <w:tr w:rsidR="00145C2F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145C2F" w:rsidRPr="00663934" w:rsidRDefault="00145C2F" w:rsidP="00145C2F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3A55225F" w:rsidR="00145C2F" w:rsidRPr="00511748" w:rsidRDefault="00145C2F" w:rsidP="007A77AC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>
              <w:t>Planning Guide Revision Request (PGRR)</w:t>
            </w:r>
            <w:r>
              <w:rPr>
                <w:rFonts w:cs="Arial"/>
              </w:rPr>
              <w:t xml:space="preserve">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145C2F" w14:paraId="769C380A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DADD" w14:textId="77777777" w:rsidR="001C3A94" w:rsidRPr="001C3A94" w:rsidRDefault="001C3A94" w:rsidP="001C3A94">
            <w:pPr>
              <w:pStyle w:val="Header"/>
            </w:pPr>
            <w:r w:rsidRPr="001C3A94">
              <w:t>ERCOT Staffing Impacts</w:t>
            </w:r>
          </w:p>
          <w:p w14:paraId="0F0B2029" w14:textId="77777777" w:rsidR="001C3A94" w:rsidRPr="001C3A94" w:rsidRDefault="001C3A94" w:rsidP="001C3A94">
            <w:pPr>
              <w:pStyle w:val="Header"/>
            </w:pPr>
            <w:r w:rsidRPr="001C3A94">
              <w:t>(across all areas)</w:t>
            </w:r>
          </w:p>
          <w:p w14:paraId="0C41A9F3" w14:textId="77777777" w:rsidR="00145C2F" w:rsidRDefault="00145C2F" w:rsidP="00145C2F">
            <w:pPr>
              <w:pStyle w:val="Header"/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42CE" w14:textId="5172A6B9" w:rsidR="00145C2F" w:rsidRPr="00072A89" w:rsidRDefault="00145C2F" w:rsidP="00145C2F">
            <w:pPr>
              <w:pStyle w:val="NormalArial"/>
              <w:spacing w:before="120"/>
            </w:pPr>
            <w:r w:rsidRPr="00072A89">
              <w:t>There will be ongoing operational impacts to the following ERCOT departments</w:t>
            </w:r>
            <w:r>
              <w:t xml:space="preserve"> </w:t>
            </w:r>
            <w:r w:rsidRPr="00072A89">
              <w:t xml:space="preserve">to support this </w:t>
            </w:r>
            <w:r>
              <w:t>PG</w:t>
            </w:r>
            <w:r w:rsidRPr="00072A89">
              <w:t>RR</w:t>
            </w:r>
            <w:r w:rsidR="004755B8">
              <w:t xml:space="preserve"> (total FTEs to be determined – See comments below)</w:t>
            </w:r>
            <w:r w:rsidRPr="00072A89">
              <w:t>:</w:t>
            </w:r>
          </w:p>
          <w:p w14:paraId="640D95FA" w14:textId="77777777" w:rsidR="00145C2F" w:rsidRPr="00072A89" w:rsidRDefault="00145C2F" w:rsidP="00145C2F">
            <w:pPr>
              <w:pStyle w:val="NormalArial"/>
            </w:pPr>
          </w:p>
          <w:p w14:paraId="783F7A0C" w14:textId="3672F368" w:rsidR="00145C2F" w:rsidRDefault="00145C2F" w:rsidP="00145C2F">
            <w:pPr>
              <w:pStyle w:val="NormalArial"/>
            </w:pPr>
            <w:r w:rsidRPr="00072A89">
              <w:t xml:space="preserve">•  </w:t>
            </w:r>
            <w:r>
              <w:t>Large Load Integration:</w:t>
            </w:r>
            <w:r w:rsidRPr="00072A89">
              <w:t xml:space="preserve"> </w:t>
            </w:r>
            <w:r>
              <w:t>(TBD)</w:t>
            </w:r>
          </w:p>
          <w:p w14:paraId="2AD3C5A9" w14:textId="5B29C2A9" w:rsidR="00145C2F" w:rsidRDefault="00145C2F" w:rsidP="00145C2F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 xml:space="preserve">Support and evaluate Large Load </w:t>
            </w:r>
            <w:r w:rsidR="001C3A94">
              <w:rPr>
                <w:rFonts w:cs="Arial"/>
              </w:rPr>
              <w:t>i</w:t>
            </w:r>
            <w:r>
              <w:rPr>
                <w:rFonts w:cs="Arial"/>
              </w:rPr>
              <w:t xml:space="preserve">nterconnections, project submissions, facilitate internal and external communications, enhance analytical tools, and conduct the Large Load </w:t>
            </w:r>
            <w:r w:rsidR="001C3A94">
              <w:rPr>
                <w:rFonts w:cs="Arial"/>
              </w:rPr>
              <w:t>b</w:t>
            </w:r>
            <w:r>
              <w:rPr>
                <w:rFonts w:cs="Arial"/>
              </w:rPr>
              <w:t>atch studies and refinements.</w:t>
            </w:r>
          </w:p>
          <w:p w14:paraId="634B7FBC" w14:textId="77777777" w:rsidR="00145C2F" w:rsidRPr="00072A89" w:rsidRDefault="00145C2F" w:rsidP="00145C2F">
            <w:pPr>
              <w:pStyle w:val="NormalArial"/>
            </w:pPr>
          </w:p>
          <w:p w14:paraId="363A2395" w14:textId="6C1DBAA3" w:rsidR="00145C2F" w:rsidRDefault="00145C2F" w:rsidP="00145C2F">
            <w:pPr>
              <w:pStyle w:val="NormalArial"/>
            </w:pPr>
            <w:r w:rsidRPr="00072A89">
              <w:t>•  Planning Model Administration</w:t>
            </w:r>
            <w:r>
              <w:t>:</w:t>
            </w:r>
            <w:r w:rsidRPr="00072A89">
              <w:t xml:space="preserve"> </w:t>
            </w:r>
            <w:r>
              <w:t>(TBD)</w:t>
            </w:r>
          </w:p>
          <w:p w14:paraId="1280DA95" w14:textId="1A146429" w:rsidR="00145C2F" w:rsidRDefault="00145C2F" w:rsidP="00145C2F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 xml:space="preserve">Support the building and delivery of models for the Large Load </w:t>
            </w:r>
            <w:r w:rsidR="004755B8">
              <w:rPr>
                <w:rFonts w:cs="Arial"/>
              </w:rPr>
              <w:t>b</w:t>
            </w:r>
            <w:r>
              <w:rPr>
                <w:rFonts w:cs="Arial"/>
              </w:rPr>
              <w:t xml:space="preserve">atch studies and underlying increase in </w:t>
            </w:r>
            <w:r w:rsidR="004755B8">
              <w:rPr>
                <w:rFonts w:cs="Arial"/>
              </w:rPr>
              <w:t>Steady State Working Group (</w:t>
            </w:r>
            <w:r>
              <w:rPr>
                <w:rFonts w:cs="Arial"/>
              </w:rPr>
              <w:t>SSWG</w:t>
            </w:r>
            <w:r w:rsidR="004755B8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cases to deliver the additional cases needed for the </w:t>
            </w:r>
            <w:r w:rsidR="001C3A94">
              <w:rPr>
                <w:rFonts w:cs="Arial"/>
              </w:rPr>
              <w:t>b</w:t>
            </w:r>
            <w:r>
              <w:rPr>
                <w:rFonts w:cs="Arial"/>
              </w:rPr>
              <w:t xml:space="preserve">atch studies. The FTEs will also provide support during the Large Load </w:t>
            </w:r>
            <w:r w:rsidR="001C3A94">
              <w:rPr>
                <w:rFonts w:cs="Arial"/>
              </w:rPr>
              <w:t>b</w:t>
            </w:r>
            <w:r>
              <w:rPr>
                <w:rFonts w:cs="Arial"/>
              </w:rPr>
              <w:t>atch studies to study teams as needed.</w:t>
            </w:r>
          </w:p>
          <w:p w14:paraId="74B1C0F2" w14:textId="77777777" w:rsidR="00145C2F" w:rsidRPr="00072A89" w:rsidRDefault="00145C2F" w:rsidP="00145C2F">
            <w:pPr>
              <w:pStyle w:val="NormalArial"/>
            </w:pPr>
          </w:p>
          <w:p w14:paraId="6F73E377" w14:textId="1B534925" w:rsidR="00145C2F" w:rsidRPr="00072A89" w:rsidRDefault="00145C2F" w:rsidP="00145C2F">
            <w:pPr>
              <w:pStyle w:val="NormalArial"/>
              <w:numPr>
                <w:ilvl w:val="0"/>
                <w:numId w:val="6"/>
              </w:numPr>
              <w:ind w:left="227" w:hanging="227"/>
            </w:pPr>
            <w:r w:rsidRPr="00072A89">
              <w:t xml:space="preserve">Dynamic Studies </w:t>
            </w:r>
            <w:r>
              <w:t>(TBD)</w:t>
            </w:r>
          </w:p>
          <w:p w14:paraId="6EC4CA15" w14:textId="523C9F51" w:rsidR="004755B8" w:rsidRDefault="00145C2F" w:rsidP="00145C2F">
            <w:pPr>
              <w:pStyle w:val="NormalArial"/>
            </w:pPr>
            <w:r>
              <w:t>S</w:t>
            </w:r>
            <w:r w:rsidRPr="0052565A">
              <w:t>upport case development, perform stability screening analyses, conduct the NERC</w:t>
            </w:r>
            <w:r w:rsidR="001C3A94">
              <w:t xml:space="preserve"> </w:t>
            </w:r>
            <w:r w:rsidRPr="0052565A">
              <w:t>FAC</w:t>
            </w:r>
            <w:r w:rsidR="001C3A94">
              <w:t>-</w:t>
            </w:r>
            <w:r w:rsidRPr="0052565A">
              <w:t>002</w:t>
            </w:r>
            <w:r w:rsidR="001C3A94">
              <w:t>, Facility Interconnection Studies,</w:t>
            </w:r>
            <w:r w:rsidRPr="0052565A">
              <w:t xml:space="preserve"> study and refinement analysis, and prepare the associated reports. This effort also includes providing necessary technical support throughout the batch process, managing internal and external communications, and maintaining the database.</w:t>
            </w:r>
          </w:p>
          <w:p w14:paraId="01BC7ED7" w14:textId="77777777" w:rsidR="004755B8" w:rsidRDefault="004755B8" w:rsidP="00145C2F">
            <w:pPr>
              <w:pStyle w:val="NormalArial"/>
            </w:pPr>
          </w:p>
          <w:p w14:paraId="776625ED" w14:textId="4B7AC8FC" w:rsidR="00145C2F" w:rsidRPr="00072A89" w:rsidRDefault="004755B8" w:rsidP="00145C2F">
            <w:pPr>
              <w:pStyle w:val="NormalArial"/>
            </w:pPr>
            <w:r w:rsidRPr="004755B8">
              <w:t>The 2026-2027 ERCOT budget does not account for the FTEs needed to support this PGRR.</w:t>
            </w:r>
          </w:p>
          <w:p w14:paraId="4E21829A" w14:textId="1B523D3C" w:rsidR="00145C2F" w:rsidRPr="00511748" w:rsidRDefault="00145C2F" w:rsidP="00145C2F">
            <w:pPr>
              <w:pStyle w:val="NormalArial"/>
              <w:rPr>
                <w:rFonts w:cs="Arial"/>
              </w:rPr>
            </w:pPr>
          </w:p>
        </w:tc>
      </w:tr>
      <w:tr w:rsidR="00145C2F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145C2F" w:rsidRDefault="00145C2F" w:rsidP="00145C2F">
            <w:pPr>
              <w:pStyle w:val="Header"/>
            </w:pPr>
            <w:r>
              <w:lastRenderedPageBreak/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3E76955A" w14:textId="52ED28A9" w:rsidR="00145C2F" w:rsidRDefault="004755B8" w:rsidP="00145C2F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 xml:space="preserve">No </w:t>
            </w:r>
            <w:proofErr w:type="gramStart"/>
            <w:r>
              <w:rPr>
                <w:rFonts w:cs="Arial"/>
              </w:rPr>
              <w:t>impacts</w:t>
            </w:r>
            <w:proofErr w:type="gram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to</w:t>
            </w:r>
            <w:proofErr w:type="gramEnd"/>
            <w:r>
              <w:rPr>
                <w:rFonts w:cs="Arial"/>
              </w:rPr>
              <w:t xml:space="preserve"> ERCOT computer systems.  </w:t>
            </w:r>
          </w:p>
          <w:p w14:paraId="77BAAD9A" w14:textId="77777777" w:rsidR="004755B8" w:rsidRDefault="004755B8" w:rsidP="00145C2F">
            <w:pPr>
              <w:pStyle w:val="NormalArial"/>
              <w:rPr>
                <w:rFonts w:cs="Arial"/>
              </w:rPr>
            </w:pPr>
          </w:p>
          <w:p w14:paraId="26B381D9" w14:textId="063B4DDD" w:rsidR="004755B8" w:rsidRPr="00FE71C0" w:rsidRDefault="004755B8" w:rsidP="00145C2F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See </w:t>
            </w:r>
            <w:r w:rsidR="006805FB">
              <w:rPr>
                <w:rFonts w:cs="Arial"/>
              </w:rPr>
              <w:t>C</w:t>
            </w:r>
            <w:r>
              <w:rPr>
                <w:rFonts w:cs="Arial"/>
              </w:rPr>
              <w:t>omments below.</w:t>
            </w:r>
          </w:p>
        </w:tc>
      </w:tr>
      <w:tr w:rsidR="00145C2F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145C2F" w:rsidRDefault="00145C2F" w:rsidP="00145C2F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6F3DBB86" w:rsidR="00145C2F" w:rsidRPr="009266AD" w:rsidRDefault="00145C2F" w:rsidP="00145C2F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ERCOT will update business processes to implement this PGRR.</w:t>
            </w:r>
          </w:p>
        </w:tc>
      </w:tr>
      <w:tr w:rsidR="00145C2F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145C2F" w:rsidRDefault="00145C2F" w:rsidP="00145C2F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2E50059B" w:rsidR="00145C2F" w:rsidRPr="00D54DC7" w:rsidRDefault="00145C2F" w:rsidP="00145C2F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impact </w:t>
            </w:r>
            <w:proofErr w:type="gramStart"/>
            <w:r w:rsidRPr="00D54DC7">
              <w:rPr>
                <w:b w:val="0"/>
              </w:rPr>
              <w:t>to</w:t>
            </w:r>
            <w:proofErr w:type="gramEnd"/>
            <w:r w:rsidRPr="00D54DC7">
              <w:rPr>
                <w:b w:val="0"/>
              </w:rPr>
              <w:t xml:space="preserve"> ERCOT grid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8B14DD" w14:textId="0F11F638" w:rsidR="001C3A94" w:rsidRDefault="001C3A94" w:rsidP="001C3A94">
            <w:pPr>
              <w:pStyle w:val="NormalArial"/>
              <w:spacing w:before="120"/>
            </w:pPr>
            <w:r>
              <w:rPr>
                <w:rFonts w:cs="Arial"/>
              </w:rPr>
              <w:t>ERCOT anticipates additional staffing and/or contractors; and incremental hardware and software licensing to support Batch Zero processes, but will need more time and details to assess the staffing and computer system impacts.</w:t>
            </w:r>
          </w:p>
          <w:p w14:paraId="24BF0258" w14:textId="4EF3E3F3" w:rsidR="000A2646" w:rsidRPr="00A36BDB" w:rsidRDefault="000A2646" w:rsidP="0088379F">
            <w:pPr>
              <w:pStyle w:val="NormalArial"/>
            </w:pP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7346" w14:textId="77777777" w:rsidR="00DF53C9" w:rsidRDefault="00DF53C9">
      <w:r>
        <w:separator/>
      </w:r>
    </w:p>
  </w:endnote>
  <w:endnote w:type="continuationSeparator" w:id="0">
    <w:p w14:paraId="02BFA4EE" w14:textId="77777777" w:rsidR="00DF53C9" w:rsidRDefault="00DF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0E61B334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217CBE">
      <w:rPr>
        <w:rFonts w:ascii="Arial" w:hAnsi="Arial"/>
        <w:noProof/>
        <w:sz w:val="18"/>
      </w:rPr>
      <w:t>145PGRR-02 Impact Analysis 030426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FF06" w14:textId="77777777" w:rsidR="00DF53C9" w:rsidRDefault="00DF53C9">
      <w:r>
        <w:separator/>
      </w:r>
    </w:p>
  </w:footnote>
  <w:footnote w:type="continuationSeparator" w:id="0">
    <w:p w14:paraId="05DF0C48" w14:textId="77777777" w:rsidR="00DF53C9" w:rsidRDefault="00DF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B420A44"/>
    <w:multiLevelType w:val="hybridMultilevel"/>
    <w:tmpl w:val="88780172"/>
    <w:lvl w:ilvl="0" w:tplc="CC487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5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  <w:num w:numId="6" w16cid:durableId="1289773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208FC"/>
    <w:rsid w:val="00023679"/>
    <w:rsid w:val="00026E9F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031E"/>
    <w:rsid w:val="00072A89"/>
    <w:rsid w:val="00083944"/>
    <w:rsid w:val="00093663"/>
    <w:rsid w:val="00094676"/>
    <w:rsid w:val="000A2646"/>
    <w:rsid w:val="000A3DB5"/>
    <w:rsid w:val="000B0B1C"/>
    <w:rsid w:val="000B3B55"/>
    <w:rsid w:val="000D1980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5C2F"/>
    <w:rsid w:val="00147406"/>
    <w:rsid w:val="001503FA"/>
    <w:rsid w:val="001542F8"/>
    <w:rsid w:val="00155C21"/>
    <w:rsid w:val="0016055C"/>
    <w:rsid w:val="001633D8"/>
    <w:rsid w:val="0017002D"/>
    <w:rsid w:val="0017075F"/>
    <w:rsid w:val="00172E89"/>
    <w:rsid w:val="00175435"/>
    <w:rsid w:val="001779DF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C16C2"/>
    <w:rsid w:val="001C3A94"/>
    <w:rsid w:val="001D2511"/>
    <w:rsid w:val="001D25C1"/>
    <w:rsid w:val="001E1E0B"/>
    <w:rsid w:val="001E4FDC"/>
    <w:rsid w:val="001E6796"/>
    <w:rsid w:val="001E7AE7"/>
    <w:rsid w:val="001F4A33"/>
    <w:rsid w:val="001F6C86"/>
    <w:rsid w:val="002002F0"/>
    <w:rsid w:val="0020134E"/>
    <w:rsid w:val="0020272B"/>
    <w:rsid w:val="00205960"/>
    <w:rsid w:val="00206B28"/>
    <w:rsid w:val="002140E5"/>
    <w:rsid w:val="00217CBE"/>
    <w:rsid w:val="002267F1"/>
    <w:rsid w:val="00226DFE"/>
    <w:rsid w:val="00227723"/>
    <w:rsid w:val="00227B32"/>
    <w:rsid w:val="0024317E"/>
    <w:rsid w:val="00243501"/>
    <w:rsid w:val="00243BB9"/>
    <w:rsid w:val="002475CD"/>
    <w:rsid w:val="00256388"/>
    <w:rsid w:val="00261F9F"/>
    <w:rsid w:val="00264C33"/>
    <w:rsid w:val="00264E6E"/>
    <w:rsid w:val="00270E4F"/>
    <w:rsid w:val="00277037"/>
    <w:rsid w:val="002842DB"/>
    <w:rsid w:val="00284AFE"/>
    <w:rsid w:val="00285724"/>
    <w:rsid w:val="00287D44"/>
    <w:rsid w:val="00295C69"/>
    <w:rsid w:val="002A5AAE"/>
    <w:rsid w:val="002B11CA"/>
    <w:rsid w:val="002B1CD1"/>
    <w:rsid w:val="002B6BBB"/>
    <w:rsid w:val="002B7381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2F0892"/>
    <w:rsid w:val="00302400"/>
    <w:rsid w:val="00305163"/>
    <w:rsid w:val="00306F40"/>
    <w:rsid w:val="0031098C"/>
    <w:rsid w:val="0031543B"/>
    <w:rsid w:val="00315727"/>
    <w:rsid w:val="00320300"/>
    <w:rsid w:val="00324744"/>
    <w:rsid w:val="00337A14"/>
    <w:rsid w:val="00343A04"/>
    <w:rsid w:val="003442FA"/>
    <w:rsid w:val="00351312"/>
    <w:rsid w:val="003532C4"/>
    <w:rsid w:val="00361A4D"/>
    <w:rsid w:val="0037167C"/>
    <w:rsid w:val="003806C4"/>
    <w:rsid w:val="003821C4"/>
    <w:rsid w:val="00394BE3"/>
    <w:rsid w:val="003971D4"/>
    <w:rsid w:val="003A3246"/>
    <w:rsid w:val="003A6591"/>
    <w:rsid w:val="003B3863"/>
    <w:rsid w:val="003C51CF"/>
    <w:rsid w:val="003C6A6A"/>
    <w:rsid w:val="003C7219"/>
    <w:rsid w:val="003D29A2"/>
    <w:rsid w:val="003E7403"/>
    <w:rsid w:val="003E74C8"/>
    <w:rsid w:val="003F39B9"/>
    <w:rsid w:val="004062C0"/>
    <w:rsid w:val="00414B41"/>
    <w:rsid w:val="0042091F"/>
    <w:rsid w:val="00421355"/>
    <w:rsid w:val="00424401"/>
    <w:rsid w:val="004249AB"/>
    <w:rsid w:val="00431BFE"/>
    <w:rsid w:val="00433605"/>
    <w:rsid w:val="00442FBA"/>
    <w:rsid w:val="004501A8"/>
    <w:rsid w:val="00451032"/>
    <w:rsid w:val="0045119E"/>
    <w:rsid w:val="00452578"/>
    <w:rsid w:val="00460297"/>
    <w:rsid w:val="00460D3A"/>
    <w:rsid w:val="00471A6A"/>
    <w:rsid w:val="00472F10"/>
    <w:rsid w:val="004755B8"/>
    <w:rsid w:val="0047621E"/>
    <w:rsid w:val="00477221"/>
    <w:rsid w:val="0047741B"/>
    <w:rsid w:val="00483998"/>
    <w:rsid w:val="004938B8"/>
    <w:rsid w:val="004B2AA2"/>
    <w:rsid w:val="004B3901"/>
    <w:rsid w:val="004C389D"/>
    <w:rsid w:val="004C47CB"/>
    <w:rsid w:val="004D252E"/>
    <w:rsid w:val="004D321F"/>
    <w:rsid w:val="004E7041"/>
    <w:rsid w:val="005059AD"/>
    <w:rsid w:val="00510D3C"/>
    <w:rsid w:val="00511748"/>
    <w:rsid w:val="00512FC8"/>
    <w:rsid w:val="0051647B"/>
    <w:rsid w:val="00517A49"/>
    <w:rsid w:val="005204C1"/>
    <w:rsid w:val="0052229A"/>
    <w:rsid w:val="00523111"/>
    <w:rsid w:val="0052565A"/>
    <w:rsid w:val="00531816"/>
    <w:rsid w:val="00534DA9"/>
    <w:rsid w:val="00543589"/>
    <w:rsid w:val="005478AD"/>
    <w:rsid w:val="005502FA"/>
    <w:rsid w:val="005522EB"/>
    <w:rsid w:val="00561EBA"/>
    <w:rsid w:val="005672AF"/>
    <w:rsid w:val="00577B36"/>
    <w:rsid w:val="00585304"/>
    <w:rsid w:val="00585DAB"/>
    <w:rsid w:val="00590565"/>
    <w:rsid w:val="00592DDF"/>
    <w:rsid w:val="00594770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2652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2B03"/>
    <w:rsid w:val="00623EB4"/>
    <w:rsid w:val="00625F0A"/>
    <w:rsid w:val="006302C9"/>
    <w:rsid w:val="00640D1E"/>
    <w:rsid w:val="00644499"/>
    <w:rsid w:val="00651DB6"/>
    <w:rsid w:val="00655AA3"/>
    <w:rsid w:val="00656684"/>
    <w:rsid w:val="00660F9F"/>
    <w:rsid w:val="00661266"/>
    <w:rsid w:val="00663934"/>
    <w:rsid w:val="0066416B"/>
    <w:rsid w:val="00664CC1"/>
    <w:rsid w:val="00666549"/>
    <w:rsid w:val="00666808"/>
    <w:rsid w:val="00672521"/>
    <w:rsid w:val="00676DC7"/>
    <w:rsid w:val="00677B73"/>
    <w:rsid w:val="00677EA2"/>
    <w:rsid w:val="006805FB"/>
    <w:rsid w:val="00680DA7"/>
    <w:rsid w:val="00683B65"/>
    <w:rsid w:val="00683FB5"/>
    <w:rsid w:val="00687020"/>
    <w:rsid w:val="00690122"/>
    <w:rsid w:val="006B0C5E"/>
    <w:rsid w:val="006B25E9"/>
    <w:rsid w:val="006C3039"/>
    <w:rsid w:val="006E4E93"/>
    <w:rsid w:val="006E67E1"/>
    <w:rsid w:val="006E7A40"/>
    <w:rsid w:val="006F0D6E"/>
    <w:rsid w:val="006F4F9D"/>
    <w:rsid w:val="007002AE"/>
    <w:rsid w:val="007030DF"/>
    <w:rsid w:val="00712E26"/>
    <w:rsid w:val="007233B6"/>
    <w:rsid w:val="00733A0B"/>
    <w:rsid w:val="00740C8C"/>
    <w:rsid w:val="00741D65"/>
    <w:rsid w:val="00742975"/>
    <w:rsid w:val="007435EA"/>
    <w:rsid w:val="007436DB"/>
    <w:rsid w:val="007453CF"/>
    <w:rsid w:val="00746D94"/>
    <w:rsid w:val="007515B3"/>
    <w:rsid w:val="0075487E"/>
    <w:rsid w:val="00755CFC"/>
    <w:rsid w:val="00771453"/>
    <w:rsid w:val="00771BEE"/>
    <w:rsid w:val="00771D27"/>
    <w:rsid w:val="0077547B"/>
    <w:rsid w:val="00780AB9"/>
    <w:rsid w:val="00782043"/>
    <w:rsid w:val="00791CD8"/>
    <w:rsid w:val="00793DE2"/>
    <w:rsid w:val="007A427B"/>
    <w:rsid w:val="007A77AC"/>
    <w:rsid w:val="007B1349"/>
    <w:rsid w:val="007B2C06"/>
    <w:rsid w:val="007C1F60"/>
    <w:rsid w:val="007C5E7B"/>
    <w:rsid w:val="007D3E51"/>
    <w:rsid w:val="007E347C"/>
    <w:rsid w:val="007E5F62"/>
    <w:rsid w:val="007E77E9"/>
    <w:rsid w:val="007F094A"/>
    <w:rsid w:val="007F3E6D"/>
    <w:rsid w:val="007F68BE"/>
    <w:rsid w:val="008013FA"/>
    <w:rsid w:val="0080426E"/>
    <w:rsid w:val="008120F0"/>
    <w:rsid w:val="0081403B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416F"/>
    <w:rsid w:val="00867213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C2C03"/>
    <w:rsid w:val="008D147D"/>
    <w:rsid w:val="008D3937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5ED"/>
    <w:rsid w:val="009216C2"/>
    <w:rsid w:val="00921D1C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3EB"/>
    <w:rsid w:val="009E0E28"/>
    <w:rsid w:val="009F0EB6"/>
    <w:rsid w:val="009F3D0E"/>
    <w:rsid w:val="009F5415"/>
    <w:rsid w:val="00A06E42"/>
    <w:rsid w:val="00A24797"/>
    <w:rsid w:val="00A36BDB"/>
    <w:rsid w:val="00A36F8D"/>
    <w:rsid w:val="00A377E8"/>
    <w:rsid w:val="00A46EAE"/>
    <w:rsid w:val="00A5034C"/>
    <w:rsid w:val="00A50D47"/>
    <w:rsid w:val="00A521B7"/>
    <w:rsid w:val="00A63EAA"/>
    <w:rsid w:val="00A6446D"/>
    <w:rsid w:val="00A72F4C"/>
    <w:rsid w:val="00A74BB6"/>
    <w:rsid w:val="00A76EE3"/>
    <w:rsid w:val="00A813DF"/>
    <w:rsid w:val="00A84D2E"/>
    <w:rsid w:val="00A94113"/>
    <w:rsid w:val="00A953DF"/>
    <w:rsid w:val="00A96BD7"/>
    <w:rsid w:val="00A96F5A"/>
    <w:rsid w:val="00AA5DE9"/>
    <w:rsid w:val="00AB092F"/>
    <w:rsid w:val="00AC0240"/>
    <w:rsid w:val="00AC5086"/>
    <w:rsid w:val="00AC5C28"/>
    <w:rsid w:val="00AC6DEC"/>
    <w:rsid w:val="00AD1EC0"/>
    <w:rsid w:val="00AD5EE2"/>
    <w:rsid w:val="00AD6AFA"/>
    <w:rsid w:val="00AE0BE5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57DD8"/>
    <w:rsid w:val="00B61793"/>
    <w:rsid w:val="00B70B20"/>
    <w:rsid w:val="00B83EC8"/>
    <w:rsid w:val="00B85D42"/>
    <w:rsid w:val="00B96544"/>
    <w:rsid w:val="00BA0DB9"/>
    <w:rsid w:val="00BA23FC"/>
    <w:rsid w:val="00BB1036"/>
    <w:rsid w:val="00BB3E15"/>
    <w:rsid w:val="00BB456F"/>
    <w:rsid w:val="00BB6B2A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05235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65B7"/>
    <w:rsid w:val="00C97625"/>
    <w:rsid w:val="00CA17FC"/>
    <w:rsid w:val="00CA1FEF"/>
    <w:rsid w:val="00CB3C8E"/>
    <w:rsid w:val="00CB7783"/>
    <w:rsid w:val="00CC046E"/>
    <w:rsid w:val="00CC3457"/>
    <w:rsid w:val="00CC4A8A"/>
    <w:rsid w:val="00CC76D7"/>
    <w:rsid w:val="00CD515E"/>
    <w:rsid w:val="00CD717D"/>
    <w:rsid w:val="00CE0FE9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DE371B"/>
    <w:rsid w:val="00DF53C9"/>
    <w:rsid w:val="00E014F4"/>
    <w:rsid w:val="00E13CDD"/>
    <w:rsid w:val="00E17AEE"/>
    <w:rsid w:val="00E205DF"/>
    <w:rsid w:val="00E21909"/>
    <w:rsid w:val="00E25C08"/>
    <w:rsid w:val="00E2676D"/>
    <w:rsid w:val="00E30B30"/>
    <w:rsid w:val="00E449BD"/>
    <w:rsid w:val="00E4537A"/>
    <w:rsid w:val="00E45763"/>
    <w:rsid w:val="00E50DE3"/>
    <w:rsid w:val="00E5316F"/>
    <w:rsid w:val="00E55111"/>
    <w:rsid w:val="00E5697D"/>
    <w:rsid w:val="00E56F48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B5E7E"/>
    <w:rsid w:val="00EB7F62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2BF3"/>
    <w:rsid w:val="00F33E4A"/>
    <w:rsid w:val="00F3574A"/>
    <w:rsid w:val="00F35A46"/>
    <w:rsid w:val="00F4061A"/>
    <w:rsid w:val="00F43890"/>
    <w:rsid w:val="00F456DE"/>
    <w:rsid w:val="00F50D13"/>
    <w:rsid w:val="00F53B07"/>
    <w:rsid w:val="00F5445D"/>
    <w:rsid w:val="00F555E9"/>
    <w:rsid w:val="00F56CBA"/>
    <w:rsid w:val="00F64E6D"/>
    <w:rsid w:val="00F67699"/>
    <w:rsid w:val="00F70445"/>
    <w:rsid w:val="00F7084F"/>
    <w:rsid w:val="00F72884"/>
    <w:rsid w:val="00F76FE9"/>
    <w:rsid w:val="00F776C4"/>
    <w:rsid w:val="00F77D07"/>
    <w:rsid w:val="00F8400C"/>
    <w:rsid w:val="00F86B94"/>
    <w:rsid w:val="00F92B33"/>
    <w:rsid w:val="00F92B61"/>
    <w:rsid w:val="00FA621B"/>
    <w:rsid w:val="00FB22A3"/>
    <w:rsid w:val="00FB4274"/>
    <w:rsid w:val="00FB437C"/>
    <w:rsid w:val="00FC0BDC"/>
    <w:rsid w:val="00FC1C43"/>
    <w:rsid w:val="00FC72B5"/>
    <w:rsid w:val="00FC77BC"/>
    <w:rsid w:val="00FD14D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customStyle="1" w:styleId="ui-provider">
    <w:name w:val="ui-provider"/>
    <w:basedOn w:val="DefaultParagraphFont"/>
    <w:rsid w:val="00CD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4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1956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3</cp:revision>
  <cp:lastPrinted>2007-01-12T13:31:00Z</cp:lastPrinted>
  <dcterms:created xsi:type="dcterms:W3CDTF">2026-03-05T05:36:00Z</dcterms:created>
  <dcterms:modified xsi:type="dcterms:W3CDTF">2026-03-05T05:36:00Z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