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BA73EB" w14:paraId="55F792B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5A190" w14:textId="77777777" w:rsidR="00BA73EB" w:rsidRDefault="00BA73EB" w:rsidP="00BA73EB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A3EDD9" w14:textId="5EDB31DD" w:rsidR="00BA73EB" w:rsidRDefault="00BA73EB" w:rsidP="00BA73EB">
            <w:pPr>
              <w:pStyle w:val="Header"/>
            </w:pPr>
            <w:hyperlink r:id="rId8" w:history="1">
              <w:r w:rsidRPr="00BA73EB">
                <w:rPr>
                  <w:rStyle w:val="Hyperlink"/>
                </w:rPr>
                <w:t>1310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E8842E" w14:textId="26E13C72" w:rsidR="00BA73EB" w:rsidRDefault="00BA73EB" w:rsidP="00BA73EB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723DD90" w14:textId="29D8A41A" w:rsidR="00BA73EB" w:rsidRDefault="00BA73EB" w:rsidP="00BA73EB">
            <w:pPr>
              <w:pStyle w:val="Header"/>
            </w:pPr>
            <w:bookmarkStart w:id="0" w:name="_Hlk214556874"/>
            <w:r>
              <w:t>Dispatchable Reliability Reserve Service Plus Energy Storage Resource Participation and Release Factor</w:t>
            </w:r>
            <w:bookmarkEnd w:id="0"/>
          </w:p>
        </w:tc>
      </w:tr>
      <w:tr w:rsidR="00152993" w14:paraId="115F04D2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523B2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71EA2" w14:textId="77777777" w:rsidR="00152993" w:rsidRDefault="00152993">
            <w:pPr>
              <w:pStyle w:val="NormalArial"/>
            </w:pPr>
          </w:p>
        </w:tc>
      </w:tr>
      <w:tr w:rsidR="00152993" w14:paraId="67B1CFFC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93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2394" w14:textId="18B2DADD" w:rsidR="00152993" w:rsidRPr="003F16B3" w:rsidRDefault="001904AC">
            <w:pPr>
              <w:pStyle w:val="NormalArial"/>
            </w:pPr>
            <w:r w:rsidRPr="003F16B3">
              <w:t>March</w:t>
            </w:r>
            <w:r w:rsidR="00BA73EB" w:rsidRPr="003F16B3">
              <w:t xml:space="preserve"> </w:t>
            </w:r>
            <w:r w:rsidR="00C51A6A" w:rsidRPr="003F16B3">
              <w:t>2</w:t>
            </w:r>
            <w:r w:rsidR="00BA73EB" w:rsidRPr="003F16B3">
              <w:t>, 2026</w:t>
            </w:r>
          </w:p>
        </w:tc>
      </w:tr>
      <w:tr w:rsidR="00152993" w14:paraId="1478BBAC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4F3FA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9A35" w14:textId="77777777" w:rsidR="00152993" w:rsidRDefault="00152993">
            <w:pPr>
              <w:pStyle w:val="NormalArial"/>
            </w:pPr>
          </w:p>
        </w:tc>
      </w:tr>
      <w:tr w:rsidR="00152993" w14:paraId="69E9E0CB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475D8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3F492C" w14:paraId="174680C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C61B95E" w14:textId="77777777" w:rsidR="003F492C" w:rsidRPr="00EC55B3" w:rsidRDefault="003F492C" w:rsidP="003F492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C111B05" w14:textId="7DB432A8" w:rsidR="003F492C" w:rsidRDefault="003F492C" w:rsidP="003F492C">
            <w:pPr>
              <w:pStyle w:val="NormalArial"/>
            </w:pPr>
            <w:r>
              <w:t>Jameel Pueblos</w:t>
            </w:r>
          </w:p>
        </w:tc>
      </w:tr>
      <w:tr w:rsidR="003F492C" w14:paraId="14C5682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6C75D10" w14:textId="77777777" w:rsidR="003F492C" w:rsidRPr="00EC55B3" w:rsidRDefault="003F492C" w:rsidP="003F492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949F193" w14:textId="60E50E95" w:rsidR="003F492C" w:rsidRDefault="003F492C" w:rsidP="003F492C">
            <w:pPr>
              <w:pStyle w:val="NormalArial"/>
            </w:pPr>
            <w:hyperlink r:id="rId9" w:history="1">
              <w:r w:rsidRPr="006F6B34">
                <w:rPr>
                  <w:rStyle w:val="Hyperlink"/>
                </w:rPr>
                <w:t>jameel_pueblos@oxy.com</w:t>
              </w:r>
            </w:hyperlink>
          </w:p>
        </w:tc>
      </w:tr>
      <w:tr w:rsidR="003F492C" w14:paraId="361D7263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A3CAB" w14:textId="77777777" w:rsidR="003F492C" w:rsidRPr="00EC55B3" w:rsidRDefault="003F492C" w:rsidP="003F492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9366068" w14:textId="42D3559F" w:rsidR="003F492C" w:rsidRDefault="003F492C" w:rsidP="003F492C">
            <w:pPr>
              <w:pStyle w:val="NormalArial"/>
            </w:pPr>
            <w:r>
              <w:t>Occidental Permian Ltd.</w:t>
            </w:r>
          </w:p>
        </w:tc>
      </w:tr>
      <w:tr w:rsidR="003F492C" w14:paraId="4798C9A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BA1C81" w14:textId="77777777" w:rsidR="003F492C" w:rsidRPr="00EC55B3" w:rsidRDefault="003F492C" w:rsidP="003F492C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8E440DA" w14:textId="09D677A1" w:rsidR="003F492C" w:rsidRDefault="003F492C" w:rsidP="003F492C">
            <w:pPr>
              <w:pStyle w:val="NormalArial"/>
            </w:pPr>
            <w:r>
              <w:t>713-350-4827</w:t>
            </w:r>
          </w:p>
        </w:tc>
      </w:tr>
      <w:tr w:rsidR="003F492C" w14:paraId="34FE895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B7DF3EC" w14:textId="77777777" w:rsidR="003F492C" w:rsidRPr="00EC55B3" w:rsidRDefault="003F492C" w:rsidP="003F492C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3A038B29" w14:textId="77777777" w:rsidR="003F492C" w:rsidRDefault="003F492C" w:rsidP="003F492C">
            <w:pPr>
              <w:pStyle w:val="NormalArial"/>
            </w:pPr>
          </w:p>
        </w:tc>
      </w:tr>
      <w:tr w:rsidR="003F492C" w14:paraId="22891FB4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E7F2ED" w14:textId="77777777" w:rsidR="003F492C" w:rsidRPr="00EC55B3" w:rsidDel="00075A94" w:rsidRDefault="003F492C" w:rsidP="003F492C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5F2E8A" w14:textId="32C308DB" w:rsidR="003F492C" w:rsidRDefault="003F492C" w:rsidP="003F492C">
            <w:pPr>
              <w:pStyle w:val="NormalArial"/>
            </w:pPr>
            <w:r>
              <w:t>Consumer (Industrial)</w:t>
            </w:r>
          </w:p>
        </w:tc>
      </w:tr>
    </w:tbl>
    <w:p w14:paraId="58FEEE8C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E4BA5" w14:paraId="77D6943F" w14:textId="77777777" w:rsidTr="00B9339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FE38D2" w14:textId="5AFABFA8" w:rsidR="00DE4BA5" w:rsidRDefault="00DE4BA5" w:rsidP="00B9339A">
            <w:pPr>
              <w:pStyle w:val="Header"/>
              <w:jc w:val="center"/>
            </w:pPr>
            <w:r>
              <w:t>Comments</w:t>
            </w:r>
          </w:p>
        </w:tc>
      </w:tr>
    </w:tbl>
    <w:p w14:paraId="035857F2" w14:textId="77777777" w:rsidR="00695B37" w:rsidRDefault="00695B37" w:rsidP="00FC45E6">
      <w:pPr>
        <w:pStyle w:val="NormalArial"/>
      </w:pPr>
    </w:p>
    <w:p w14:paraId="58037110" w14:textId="7A4CAC68" w:rsidR="0013447E" w:rsidRDefault="006F706E" w:rsidP="00FC45E6">
      <w:pPr>
        <w:pStyle w:val="NormalArial"/>
      </w:pPr>
      <w:r>
        <w:t xml:space="preserve">Occidental Permian Ltd. (Oxy) submits these comments </w:t>
      </w:r>
      <w:r w:rsidR="00E163EC">
        <w:t xml:space="preserve">on Nodal Protocol Revision Request (NPRR) 1310 </w:t>
      </w:r>
      <w:r>
        <w:t>to request that PR</w:t>
      </w:r>
      <w:r w:rsidR="0013447E">
        <w:t>S</w:t>
      </w:r>
      <w:r>
        <w:t xml:space="preserve"> continue to table NPRR1310 and refer </w:t>
      </w:r>
      <w:r w:rsidR="00E163EC">
        <w:t>it to</w:t>
      </w:r>
      <w:r w:rsidR="00F5433D">
        <w:t xml:space="preserve"> the Wholesale Market Subcommittee</w:t>
      </w:r>
      <w:r>
        <w:t xml:space="preserve"> </w:t>
      </w:r>
      <w:r w:rsidR="00F5433D">
        <w:t>(</w:t>
      </w:r>
      <w:r w:rsidR="00E163EC">
        <w:t>W</w:t>
      </w:r>
      <w:r>
        <w:t>MS</w:t>
      </w:r>
      <w:r w:rsidR="00F5433D">
        <w:t>)</w:t>
      </w:r>
      <w:r w:rsidR="00E163EC">
        <w:t xml:space="preserve"> </w:t>
      </w:r>
      <w:r w:rsidR="00447308">
        <w:t>for further discussion</w:t>
      </w:r>
      <w:r w:rsidR="007942C1">
        <w:t xml:space="preserve"> on the Release Factor </w:t>
      </w:r>
      <w:r w:rsidR="00F5433D">
        <w:t xml:space="preserve">(“RF”) </w:t>
      </w:r>
      <w:r w:rsidR="007942C1">
        <w:t>concept</w:t>
      </w:r>
      <w:r w:rsidR="00447308">
        <w:t>.</w:t>
      </w:r>
    </w:p>
    <w:p w14:paraId="26447EB0" w14:textId="77777777" w:rsidR="0013447E" w:rsidRDefault="0013447E" w:rsidP="00FC45E6">
      <w:pPr>
        <w:pStyle w:val="NormalArial"/>
      </w:pPr>
    </w:p>
    <w:p w14:paraId="62777414" w14:textId="6C667E34" w:rsidR="00447308" w:rsidRDefault="006F706E" w:rsidP="00FC45E6">
      <w:pPr>
        <w:pStyle w:val="NormalArial"/>
      </w:pPr>
      <w:r>
        <w:t xml:space="preserve">Oxy appreciates </w:t>
      </w:r>
      <w:r w:rsidR="00A0609A">
        <w:t xml:space="preserve">the TAC-hosted workshops and the robust discussion </w:t>
      </w:r>
      <w:r w:rsidR="00447308">
        <w:t xml:space="preserve">held </w:t>
      </w:r>
      <w:r w:rsidR="00142E7F">
        <w:t xml:space="preserve">on NPRR1310 </w:t>
      </w:r>
      <w:r w:rsidR="00A0609A">
        <w:t xml:space="preserve">to date.  </w:t>
      </w:r>
      <w:r w:rsidR="005C3637">
        <w:t>However</w:t>
      </w:r>
      <w:r w:rsidR="00A0609A">
        <w:t xml:space="preserve">, </w:t>
      </w:r>
      <w:r w:rsidR="00DE7881">
        <w:t>several stakeholders have expressed</w:t>
      </w:r>
      <w:r w:rsidR="00E40398">
        <w:t xml:space="preserve"> significant</w:t>
      </w:r>
      <w:r w:rsidR="00DE7881">
        <w:t xml:space="preserve"> concerns with </w:t>
      </w:r>
      <w:r w:rsidR="005C3637">
        <w:t>the</w:t>
      </w:r>
      <w:r w:rsidR="00A0609A">
        <w:t xml:space="preserve"> proposed</w:t>
      </w:r>
      <w:r w:rsidR="005C3637">
        <w:t xml:space="preserve"> Release Factor</w:t>
      </w:r>
      <w:r w:rsidR="0013447E">
        <w:t xml:space="preserve"> (RF)</w:t>
      </w:r>
      <w:r w:rsidR="005C3637">
        <w:t xml:space="preserve"> concept</w:t>
      </w:r>
      <w:r w:rsidR="00DE27C1">
        <w:t xml:space="preserve"> in NPRR1310</w:t>
      </w:r>
      <w:r w:rsidR="005C3637">
        <w:t xml:space="preserve"> (“</w:t>
      </w:r>
      <w:r w:rsidR="00A0609A">
        <w:t>DRRS</w:t>
      </w:r>
      <w:r w:rsidR="005C3637">
        <w:t>+”)</w:t>
      </w:r>
      <w:r w:rsidR="00FC45E6">
        <w:t xml:space="preserve"> and </w:t>
      </w:r>
      <w:r w:rsidR="00DE7881">
        <w:t xml:space="preserve">the </w:t>
      </w:r>
      <w:r w:rsidR="00FC45E6">
        <w:t xml:space="preserve">resulting out-of-market </w:t>
      </w:r>
      <w:r w:rsidR="00070E43">
        <w:t xml:space="preserve">capacity </w:t>
      </w:r>
      <w:r w:rsidR="00FC45E6">
        <w:t>payments</w:t>
      </w:r>
      <w:r w:rsidR="005E5687">
        <w:t xml:space="preserve"> that </w:t>
      </w:r>
      <w:r w:rsidR="006B32AA">
        <w:t>warrant</w:t>
      </w:r>
      <w:r w:rsidR="00DE7881">
        <w:t xml:space="preserve"> additional analysis</w:t>
      </w:r>
      <w:r w:rsidR="005E5687">
        <w:t xml:space="preserve">, which </w:t>
      </w:r>
      <w:r w:rsidR="00DE7881">
        <w:t xml:space="preserve">should </w:t>
      </w:r>
      <w:r w:rsidR="00524C04">
        <w:t xml:space="preserve">not delay consideration of the </w:t>
      </w:r>
      <w:r w:rsidR="00070E43">
        <w:t>core</w:t>
      </w:r>
      <w:r w:rsidR="00524C04">
        <w:t xml:space="preserve"> </w:t>
      </w:r>
      <w:r w:rsidR="00F5433D">
        <w:t>Dispatchable Reliability Reserve Service</w:t>
      </w:r>
      <w:r w:rsidR="00F5433D">
        <w:t xml:space="preserve"> (</w:t>
      </w:r>
      <w:r w:rsidR="00524C04">
        <w:t>DRRS</w:t>
      </w:r>
      <w:r w:rsidR="00F5433D">
        <w:t>)</w:t>
      </w:r>
      <w:r w:rsidR="00524C04">
        <w:t xml:space="preserve"> </w:t>
      </w:r>
      <w:r w:rsidR="00070E43">
        <w:t>framework proposed</w:t>
      </w:r>
      <w:r w:rsidR="00524C04">
        <w:t xml:space="preserve"> in NPRR 1309</w:t>
      </w:r>
      <w:r w:rsidR="00F5433D">
        <w:t xml:space="preserve">, </w:t>
      </w:r>
      <w:r w:rsidR="00F5433D" w:rsidRPr="00F5433D">
        <w:t>Board Priority - Dispatchable Reliability Reserve Service Ancillary Service</w:t>
      </w:r>
      <w:r w:rsidR="00524C04">
        <w:t xml:space="preserve">.  </w:t>
      </w:r>
    </w:p>
    <w:p w14:paraId="79BAE782" w14:textId="77777777" w:rsidR="00447308" w:rsidRDefault="00447308" w:rsidP="00FC45E6">
      <w:pPr>
        <w:pStyle w:val="NormalArial"/>
      </w:pPr>
    </w:p>
    <w:p w14:paraId="67B8A042" w14:textId="5B6433C2" w:rsidR="00E717AD" w:rsidRDefault="00447308" w:rsidP="00E717AD">
      <w:pPr>
        <w:pStyle w:val="NormalArial"/>
      </w:pPr>
      <w:r>
        <w:t xml:space="preserve">First, the </w:t>
      </w:r>
      <w:r w:rsidR="0013447E">
        <w:t xml:space="preserve">DRRS+ concept </w:t>
      </w:r>
      <w:r w:rsidR="005B3BE6" w:rsidRPr="005E5687">
        <w:t>disrupts the foundation</w:t>
      </w:r>
      <w:r w:rsidRPr="005E5687">
        <w:t xml:space="preserve"> of ERCOT’s energy-only market</w:t>
      </w:r>
      <w:r w:rsidR="00F465FB" w:rsidRPr="005E5687">
        <w:t xml:space="preserve"> that r</w:t>
      </w:r>
      <w:r w:rsidRPr="005E5687">
        <w:t>elies on</w:t>
      </w:r>
      <w:r w:rsidR="005B3BE6" w:rsidRPr="005E5687">
        <w:t xml:space="preserve"> competitive</w:t>
      </w:r>
      <w:r w:rsidRPr="005E5687">
        <w:t xml:space="preserve"> pricing signals to</w:t>
      </w:r>
      <w:r w:rsidR="006B32AA" w:rsidRPr="005E5687">
        <w:t xml:space="preserve"> </w:t>
      </w:r>
      <w:r w:rsidRPr="005E5687">
        <w:t>balance generation an</w:t>
      </w:r>
      <w:r>
        <w:t>d load.</w:t>
      </w:r>
      <w:r w:rsidR="00F34D79">
        <w:t xml:space="preserve"> The proposed R</w:t>
      </w:r>
      <w:r w:rsidR="0013447E">
        <w:t>F</w:t>
      </w:r>
      <w:r w:rsidR="005F6B40">
        <w:t xml:space="preserve"> would allow</w:t>
      </w:r>
      <w:r w:rsidR="005F6B40" w:rsidRPr="005F6B40">
        <w:t xml:space="preserve"> DRRS-awarded </w:t>
      </w:r>
      <w:r w:rsidR="005F6B40" w:rsidRPr="007942C1">
        <w:t>capacity</w:t>
      </w:r>
      <w:r w:rsidR="005F6B40" w:rsidRPr="005F6B40">
        <w:t xml:space="preserve"> to overlap with energy and other </w:t>
      </w:r>
      <w:r w:rsidR="005F6B40">
        <w:t>A</w:t>
      </w:r>
      <w:r w:rsidR="00F5433D">
        <w:t xml:space="preserve">ncillary </w:t>
      </w:r>
      <w:r w:rsidR="005F6B40">
        <w:t>S</w:t>
      </w:r>
      <w:r w:rsidR="00F5433D">
        <w:t>ervice</w:t>
      </w:r>
      <w:r w:rsidR="005F6B40" w:rsidRPr="005F6B40">
        <w:t xml:space="preserve"> award</w:t>
      </w:r>
      <w:r w:rsidR="005F6B40">
        <w:t>s</w:t>
      </w:r>
      <w:r w:rsidR="00F465FB">
        <w:t>, while non-overlapping DRRS capacity is secured solely for operational uncertainty.</w:t>
      </w:r>
      <w:r w:rsidR="00F465FB">
        <w:rPr>
          <w:rStyle w:val="FootnoteReference"/>
        </w:rPr>
        <w:footnoteReference w:id="1"/>
      </w:r>
      <w:r w:rsidR="00F465FB">
        <w:t xml:space="preserve"> </w:t>
      </w:r>
      <w:r w:rsidR="00DE27C1">
        <w:t>However</w:t>
      </w:r>
      <w:r w:rsidR="000C122C">
        <w:t xml:space="preserve">, </w:t>
      </w:r>
      <w:r w:rsidR="00DE27C1">
        <w:t>this</w:t>
      </w:r>
      <w:r w:rsidR="00F465FB">
        <w:t xml:space="preserve"> RF feature </w:t>
      </w:r>
      <w:r w:rsidR="000C122C">
        <w:t>would</w:t>
      </w:r>
      <w:r w:rsidR="00DE27C1">
        <w:t xml:space="preserve"> effectively</w:t>
      </w:r>
      <w:r w:rsidR="00F465FB">
        <w:t xml:space="preserve"> provide</w:t>
      </w:r>
      <w:r w:rsidR="000C122C">
        <w:t xml:space="preserve"> </w:t>
      </w:r>
      <w:r w:rsidR="00F465FB">
        <w:t>a</w:t>
      </w:r>
      <w:r w:rsidR="00532E81">
        <w:t xml:space="preserve"> payment to generators for</w:t>
      </w:r>
      <w:r w:rsidR="00DE27C1">
        <w:t xml:space="preserve"> merely </w:t>
      </w:r>
      <w:r w:rsidR="00532E81">
        <w:t xml:space="preserve">being available. </w:t>
      </w:r>
      <w:r w:rsidR="00DE27C1">
        <w:t xml:space="preserve"> </w:t>
      </w:r>
      <w:r w:rsidR="006B32AA">
        <w:t xml:space="preserve">Oxy agrees with </w:t>
      </w:r>
      <w:r w:rsidR="00070E43">
        <w:t>TXOGA</w:t>
      </w:r>
      <w:r w:rsidR="006B32AA">
        <w:t xml:space="preserve"> that creating</w:t>
      </w:r>
      <w:r w:rsidR="00070E43">
        <w:t xml:space="preserve"> a payment mechanism to certain Resources outside of operational reliability </w:t>
      </w:r>
      <w:r w:rsidR="00F57CE9">
        <w:t>needs dilute</w:t>
      </w:r>
      <w:r w:rsidR="00DE27C1">
        <w:t>s</w:t>
      </w:r>
      <w:r w:rsidR="00070E43">
        <w:t xml:space="preserve"> the incentive for resources to be available</w:t>
      </w:r>
      <w:r w:rsidR="00DE7881">
        <w:t xml:space="preserve"> during grid scarcity events.</w:t>
      </w:r>
      <w:r w:rsidR="00070E43">
        <w:rPr>
          <w:rStyle w:val="FootnoteReference"/>
        </w:rPr>
        <w:footnoteReference w:id="2"/>
      </w:r>
      <w:r w:rsidR="00B518C2">
        <w:t xml:space="preserve"> T</w:t>
      </w:r>
      <w:r w:rsidR="005B3BE6">
        <w:t xml:space="preserve">he capacity payment </w:t>
      </w:r>
      <w:r w:rsidR="00B518C2">
        <w:t>also r</w:t>
      </w:r>
      <w:r w:rsidR="00F57CE9">
        <w:t>epresent</w:t>
      </w:r>
      <w:r w:rsidR="00DE27C1">
        <w:t>s</w:t>
      </w:r>
      <w:r w:rsidR="00F57CE9">
        <w:t xml:space="preserve"> cost shifts from consumers to generat</w:t>
      </w:r>
      <w:r w:rsidR="003943C8">
        <w:t>ors unrelated to any actual reliability improvement</w:t>
      </w:r>
      <w:r w:rsidR="00F57CE9">
        <w:t xml:space="preserve">, as </w:t>
      </w:r>
      <w:r w:rsidR="00DE7881">
        <w:t xml:space="preserve">Sierra Club </w:t>
      </w:r>
      <w:r w:rsidR="003943C8">
        <w:t xml:space="preserve">and TIEC </w:t>
      </w:r>
      <w:r w:rsidR="00DE7881">
        <w:t>correctly point</w:t>
      </w:r>
      <w:r w:rsidR="003943C8">
        <w:t xml:space="preserve"> </w:t>
      </w:r>
      <w:r w:rsidR="00DE7881">
        <w:t>out</w:t>
      </w:r>
      <w:r w:rsidR="00A27DB8">
        <w:t>.</w:t>
      </w:r>
      <w:r w:rsidR="006B32AA">
        <w:rPr>
          <w:rStyle w:val="FootnoteReference"/>
        </w:rPr>
        <w:footnoteReference w:id="3"/>
      </w:r>
      <w:r w:rsidR="003943C8">
        <w:t xml:space="preserve">  </w:t>
      </w:r>
      <w:r w:rsidR="00E717AD">
        <w:t>Oxy</w:t>
      </w:r>
      <w:r w:rsidR="00DE27C1">
        <w:t xml:space="preserve"> </w:t>
      </w:r>
      <w:r w:rsidR="00731B35">
        <w:t xml:space="preserve">shares </w:t>
      </w:r>
      <w:r w:rsidR="00731B35">
        <w:lastRenderedPageBreak/>
        <w:t>these</w:t>
      </w:r>
      <w:r w:rsidR="003C4D28">
        <w:t xml:space="preserve"> </w:t>
      </w:r>
      <w:r w:rsidR="00E717AD">
        <w:t>concern</w:t>
      </w:r>
      <w:r w:rsidR="00731B35">
        <w:t>s</w:t>
      </w:r>
      <w:r w:rsidR="00E717AD">
        <w:t xml:space="preserve"> of higher energy costs as it would only further burden Texas consumers, especially when the resource adequacy needs</w:t>
      </w:r>
      <w:r w:rsidR="00731B35">
        <w:t xml:space="preserve"> have </w:t>
      </w:r>
      <w:r w:rsidR="00E717AD">
        <w:t>yet to be fully determine</w:t>
      </w:r>
      <w:r w:rsidR="00391E55">
        <w:t>d.</w:t>
      </w:r>
      <w:r w:rsidR="0013447E">
        <w:t xml:space="preserve"> </w:t>
      </w:r>
    </w:p>
    <w:p w14:paraId="3D1CD98D" w14:textId="77777777" w:rsidR="008F4E76" w:rsidRDefault="008F4E76" w:rsidP="00FC45E6">
      <w:pPr>
        <w:pStyle w:val="NormalArial"/>
      </w:pPr>
    </w:p>
    <w:p w14:paraId="45B85D6B" w14:textId="56571B94" w:rsidR="00F83D80" w:rsidRDefault="005E5687" w:rsidP="004476EB">
      <w:pPr>
        <w:pStyle w:val="NormalArial"/>
      </w:pPr>
      <w:r>
        <w:t>Second</w:t>
      </w:r>
      <w:r w:rsidR="00634B1B">
        <w:t>,</w:t>
      </w:r>
      <w:r w:rsidR="00F80CDE">
        <w:t xml:space="preserve"> </w:t>
      </w:r>
      <w:r w:rsidR="00F83D80">
        <w:t xml:space="preserve">NPRR1310 lacks </w:t>
      </w:r>
      <w:r w:rsidR="00731B35">
        <w:t>details and analysis</w:t>
      </w:r>
      <w:r w:rsidR="00F83D80">
        <w:t xml:space="preserve"> to adequately evaluate</w:t>
      </w:r>
      <w:r w:rsidR="00731B35">
        <w:t xml:space="preserve"> the proposed </w:t>
      </w:r>
      <w:r w:rsidR="00532E81">
        <w:t xml:space="preserve">$10/MW per hour </w:t>
      </w:r>
      <w:r w:rsidR="0062002F">
        <w:t xml:space="preserve">for each </w:t>
      </w:r>
      <w:r>
        <w:t xml:space="preserve">MW of </w:t>
      </w:r>
      <w:r w:rsidR="0062002F">
        <w:t>DRRS</w:t>
      </w:r>
      <w:r w:rsidR="00731B35">
        <w:t>+.</w:t>
      </w:r>
      <w:r w:rsidR="0013447E">
        <w:rPr>
          <w:rStyle w:val="FootnoteReference"/>
        </w:rPr>
        <w:footnoteReference w:id="4"/>
      </w:r>
      <w:r w:rsidR="00731B35">
        <w:t xml:space="preserve">  </w:t>
      </w:r>
      <w:r w:rsidR="002A0B45">
        <w:t>It is</w:t>
      </w:r>
      <w:r w:rsidR="00DF5C6E">
        <w:t xml:space="preserve"> understood </w:t>
      </w:r>
      <w:r w:rsidR="007942C1">
        <w:t xml:space="preserve">that the flat </w:t>
      </w:r>
      <w:r w:rsidR="000C122C">
        <w:t xml:space="preserve">$10/MW per hour amount was derived </w:t>
      </w:r>
      <w:r w:rsidR="00731B35">
        <w:t xml:space="preserve">by </w:t>
      </w:r>
      <w:r w:rsidR="000C122C">
        <w:t xml:space="preserve">extending the </w:t>
      </w:r>
      <w:r w:rsidR="00F5433D">
        <w:t>Ancillary Service Demand Curve (</w:t>
      </w:r>
      <w:r w:rsidR="000C122C">
        <w:t>ASDC</w:t>
      </w:r>
      <w:r w:rsidR="00F5433D">
        <w:t>)</w:t>
      </w:r>
      <w:r w:rsidR="000C122C">
        <w:t xml:space="preserve"> </w:t>
      </w:r>
      <w:r w:rsidR="0062002F">
        <w:t xml:space="preserve">for all hours </w:t>
      </w:r>
      <w:r w:rsidR="000C122C">
        <w:t>of the year</w:t>
      </w:r>
      <w:r w:rsidR="0004327A">
        <w:t xml:space="preserve">.  Yet </w:t>
      </w:r>
      <w:r w:rsidR="00731B35">
        <w:t>several stakeholders</w:t>
      </w:r>
      <w:r w:rsidR="0004327A">
        <w:t xml:space="preserve"> have cited the lack of modeling</w:t>
      </w:r>
      <w:r w:rsidR="00F457B8">
        <w:t xml:space="preserve"> or studies</w:t>
      </w:r>
      <w:r w:rsidR="0004327A">
        <w:t xml:space="preserve"> justifying this proposed price,</w:t>
      </w:r>
      <w:r w:rsidR="0004327A">
        <w:rPr>
          <w:rStyle w:val="FootnoteReference"/>
        </w:rPr>
        <w:footnoteReference w:id="5"/>
      </w:r>
      <w:r w:rsidR="00731B35">
        <w:t xml:space="preserve"> </w:t>
      </w:r>
      <w:r w:rsidR="0004327A">
        <w:t xml:space="preserve">and how it </w:t>
      </w:r>
      <w:r w:rsidR="004476EB">
        <w:t xml:space="preserve">may not reflect price signals that align with actual RA needs </w:t>
      </w:r>
      <w:r w:rsidR="00135487">
        <w:t>and result in inefficient</w:t>
      </w:r>
      <w:r w:rsidR="004476EB">
        <w:t xml:space="preserve"> </w:t>
      </w:r>
      <w:r w:rsidR="00135487">
        <w:t xml:space="preserve">awards </w:t>
      </w:r>
      <w:r w:rsidR="004476EB">
        <w:t>for DRRS capacity.</w:t>
      </w:r>
      <w:r w:rsidR="0062002F">
        <w:rPr>
          <w:rStyle w:val="FootnoteReference"/>
        </w:rPr>
        <w:footnoteReference w:id="6"/>
      </w:r>
      <w:r w:rsidR="000C122C">
        <w:t xml:space="preserve"> </w:t>
      </w:r>
      <w:r w:rsidR="004476EB">
        <w:t xml:space="preserve"> </w:t>
      </w:r>
      <w:r>
        <w:t>T</w:t>
      </w:r>
      <w:r w:rsidR="00135487">
        <w:t>he NPRR</w:t>
      </w:r>
      <w:r>
        <w:t xml:space="preserve"> also</w:t>
      </w:r>
      <w:r w:rsidR="00135487">
        <w:t xml:space="preserve"> implies that the</w:t>
      </w:r>
      <w:r w:rsidR="00F83D80">
        <w:t xml:space="preserve"> amount of DRRS </w:t>
      </w:r>
      <w:r w:rsidR="00135487">
        <w:t>procured</w:t>
      </w:r>
      <w:r>
        <w:t xml:space="preserve"> would be determined as part of </w:t>
      </w:r>
      <w:r w:rsidR="00135487">
        <w:t>the A</w:t>
      </w:r>
      <w:r w:rsidR="00F5433D">
        <w:t xml:space="preserve">ncillary </w:t>
      </w:r>
      <w:r w:rsidR="00135487">
        <w:t>S</w:t>
      </w:r>
      <w:r w:rsidR="00F5433D">
        <w:t>ervice</w:t>
      </w:r>
      <w:r w:rsidR="00135487">
        <w:t xml:space="preserve"> Pla</w:t>
      </w:r>
      <w:r>
        <w:t>n</w:t>
      </w:r>
      <w:r w:rsidR="00135487">
        <w:t>.</w:t>
      </w:r>
      <w:r w:rsidR="00A949B2">
        <w:t xml:space="preserve"> </w:t>
      </w:r>
      <w:r w:rsidR="00B15BED">
        <w:t xml:space="preserve"> </w:t>
      </w:r>
      <w:r w:rsidR="00F83D80">
        <w:t>LCRA points out</w:t>
      </w:r>
      <w:r w:rsidR="00EE79FD">
        <w:t xml:space="preserve"> </w:t>
      </w:r>
      <w:r>
        <w:t xml:space="preserve">however that </w:t>
      </w:r>
      <w:r w:rsidR="00135487">
        <w:t xml:space="preserve">stakeholders lack </w:t>
      </w:r>
      <w:r w:rsidR="00135487" w:rsidRPr="00135487">
        <w:t xml:space="preserve">the formal ability to </w:t>
      </w:r>
      <w:r w:rsidR="00EE79FD" w:rsidRPr="00135487">
        <w:t>suggest</w:t>
      </w:r>
      <w:r w:rsidR="00135487" w:rsidRPr="00135487">
        <w:t xml:space="preserve"> changes </w:t>
      </w:r>
      <w:r w:rsidR="00135487">
        <w:t xml:space="preserve">to the </w:t>
      </w:r>
      <w:r>
        <w:t>A</w:t>
      </w:r>
      <w:r w:rsidR="00A41E17">
        <w:t xml:space="preserve">ncillary </w:t>
      </w:r>
      <w:r>
        <w:t>S</w:t>
      </w:r>
      <w:r w:rsidR="00A41E17">
        <w:t>ervice</w:t>
      </w:r>
      <w:r>
        <w:t xml:space="preserve"> </w:t>
      </w:r>
      <w:r w:rsidR="00135487">
        <w:t>Plan</w:t>
      </w:r>
      <w:r w:rsidR="00EE79FD">
        <w:t xml:space="preserve">, resulting in a </w:t>
      </w:r>
      <w:r>
        <w:t>“</w:t>
      </w:r>
      <w:r w:rsidR="00EE79FD">
        <w:t>black box</w:t>
      </w:r>
      <w:r>
        <w:t>”</w:t>
      </w:r>
      <w:r w:rsidR="00EE79FD">
        <w:t xml:space="preserve"> approach to resource adequacy.</w:t>
      </w:r>
      <w:r w:rsidR="00135487">
        <w:rPr>
          <w:rStyle w:val="FootnoteReference"/>
        </w:rPr>
        <w:footnoteReference w:id="7"/>
      </w:r>
      <w:r w:rsidR="00135487">
        <w:t xml:space="preserve"> </w:t>
      </w:r>
      <w:r w:rsidR="006C5777">
        <w:t xml:space="preserve"> This </w:t>
      </w:r>
      <w:r w:rsidR="00183DBA">
        <w:t xml:space="preserve">sentiment is </w:t>
      </w:r>
      <w:r w:rsidR="006C5777">
        <w:t xml:space="preserve">further supported </w:t>
      </w:r>
      <w:r w:rsidR="00183DBA">
        <w:t>with</w:t>
      </w:r>
      <w:r w:rsidR="006C5777">
        <w:t xml:space="preserve"> </w:t>
      </w:r>
      <w:r w:rsidR="00EE79FD">
        <w:t>the IMM</w:t>
      </w:r>
      <w:r>
        <w:t>’s</w:t>
      </w:r>
      <w:r w:rsidR="00EE79FD">
        <w:t xml:space="preserve"> request </w:t>
      </w:r>
      <w:r w:rsidR="00183DBA">
        <w:t>that</w:t>
      </w:r>
      <w:r w:rsidR="006C5777">
        <w:t xml:space="preserve"> </w:t>
      </w:r>
      <w:r w:rsidR="00EE79FD">
        <w:t>ERCOT</w:t>
      </w:r>
      <w:r w:rsidR="006C5777">
        <w:t xml:space="preserve"> produce a quantitative analysis of how </w:t>
      </w:r>
      <w:r w:rsidR="006C5777" w:rsidRPr="006C5777">
        <w:t>DRRS+ would impact net revenue and translate into improved resource adequacy</w:t>
      </w:r>
      <w:r w:rsidR="00183DBA">
        <w:t xml:space="preserve">, </w:t>
      </w:r>
      <w:r w:rsidR="006C5777">
        <w:t xml:space="preserve">including </w:t>
      </w:r>
      <w:r w:rsidR="00EE79FD" w:rsidRPr="00EE79FD">
        <w:t>a transparent methodology for determining procurement targets.</w:t>
      </w:r>
      <w:r w:rsidR="00EE79FD">
        <w:rPr>
          <w:rStyle w:val="FootnoteReference"/>
        </w:rPr>
        <w:footnoteReference w:id="8"/>
      </w:r>
    </w:p>
    <w:p w14:paraId="7CE3E80B" w14:textId="77777777" w:rsidR="00F83D80" w:rsidRDefault="00F83D80" w:rsidP="004476EB">
      <w:pPr>
        <w:pStyle w:val="NormalArial"/>
      </w:pPr>
    </w:p>
    <w:p w14:paraId="0DFFB626" w14:textId="57BBF2CE" w:rsidR="001807E3" w:rsidRDefault="00A949B2" w:rsidP="00D44983">
      <w:pPr>
        <w:pStyle w:val="NormalArial"/>
      </w:pPr>
      <w:r>
        <w:t>As described above,</w:t>
      </w:r>
      <w:r w:rsidR="005E5687">
        <w:t xml:space="preserve"> the</w:t>
      </w:r>
      <w:r w:rsidR="006A722D">
        <w:t xml:space="preserve"> DRRS+ feature</w:t>
      </w:r>
      <w:r>
        <w:t xml:space="preserve"> NPRR1310 </w:t>
      </w:r>
      <w:r w:rsidR="006A722D">
        <w:t>is</w:t>
      </w:r>
      <w:r>
        <w:t xml:space="preserve"> a significant policy change to ERCOT’s energy-only market </w:t>
      </w:r>
      <w:r w:rsidR="00D55399">
        <w:t xml:space="preserve">and </w:t>
      </w:r>
      <w:r w:rsidR="002A0B45">
        <w:t>necessitates more</w:t>
      </w:r>
      <w:r w:rsidR="00D55399">
        <w:t xml:space="preserve"> </w:t>
      </w:r>
      <w:r w:rsidR="00E40398">
        <w:t>deliberation</w:t>
      </w:r>
      <w:r w:rsidR="00D55399">
        <w:t xml:space="preserve"> to address the numerous </w:t>
      </w:r>
      <w:r w:rsidR="00B15BED">
        <w:t>concerns</w:t>
      </w:r>
      <w:r w:rsidR="00EC4F72">
        <w:t xml:space="preserve"> </w:t>
      </w:r>
      <w:r w:rsidR="0053777E">
        <w:t xml:space="preserve">and/or </w:t>
      </w:r>
      <w:r w:rsidR="00CC2C97">
        <w:t>the lack of</w:t>
      </w:r>
      <w:r w:rsidR="00EC4F72">
        <w:t xml:space="preserve"> </w:t>
      </w:r>
      <w:r>
        <w:t>justification</w:t>
      </w:r>
      <w:r w:rsidR="00DE27C1">
        <w:t xml:space="preserve"> </w:t>
      </w:r>
      <w:r w:rsidR="006A722D">
        <w:t xml:space="preserve">presented </w:t>
      </w:r>
      <w:r w:rsidR="00CC2C97">
        <w:t>at this time</w:t>
      </w:r>
      <w:r w:rsidR="00B15BED">
        <w:t>.</w:t>
      </w:r>
      <w:r w:rsidR="00D44983">
        <w:t xml:space="preserve">  </w:t>
      </w:r>
      <w:r w:rsidR="00D55399">
        <w:t>Rather</w:t>
      </w:r>
      <w:r w:rsidR="00D72165">
        <w:t>,</w:t>
      </w:r>
      <w:r w:rsidR="00D55399">
        <w:t xml:space="preserve"> </w:t>
      </w:r>
      <w:r w:rsidR="00D44983">
        <w:t>NPRR 1309</w:t>
      </w:r>
      <w:r w:rsidR="00D55399">
        <w:t xml:space="preserve"> </w:t>
      </w:r>
      <w:r w:rsidR="002A0B45">
        <w:t xml:space="preserve">presents a </w:t>
      </w:r>
      <w:r w:rsidR="00D55399">
        <w:t>DRRS</w:t>
      </w:r>
      <w:r w:rsidR="002A0B45">
        <w:t xml:space="preserve"> </w:t>
      </w:r>
      <w:r w:rsidR="00D61E5F">
        <w:t>product</w:t>
      </w:r>
      <w:r w:rsidR="002A0B45">
        <w:t xml:space="preserve"> that ali</w:t>
      </w:r>
      <w:r w:rsidR="00D44983">
        <w:t xml:space="preserve">gns with the PURA </w:t>
      </w:r>
      <w:r w:rsidR="0013447E">
        <w:rPr>
          <w:iCs/>
        </w:rPr>
        <w:t xml:space="preserve">Sec. </w:t>
      </w:r>
      <w:r w:rsidR="00D44983">
        <w:t>39.159(d</w:t>
      </w:r>
      <w:r w:rsidR="00D55399">
        <w:t>)</w:t>
      </w:r>
      <w:r w:rsidR="002A0B45">
        <w:t xml:space="preserve">, </w:t>
      </w:r>
      <w:r w:rsidR="00D61E5F">
        <w:t xml:space="preserve">is largely unopposed by </w:t>
      </w:r>
      <w:r w:rsidR="002A0B45">
        <w:t>stakeholders</w:t>
      </w:r>
      <w:r w:rsidR="00D61E5F">
        <w:t xml:space="preserve"> </w:t>
      </w:r>
      <w:r w:rsidR="007749E9">
        <w:t>(</w:t>
      </w:r>
      <w:r w:rsidR="002D6DBA">
        <w:t xml:space="preserve">other than </w:t>
      </w:r>
      <w:r w:rsidR="002A0B45">
        <w:t>energy storage</w:t>
      </w:r>
      <w:r w:rsidR="00D61E5F">
        <w:t xml:space="preserve"> </w:t>
      </w:r>
      <w:r w:rsidR="002D6DBA">
        <w:t>eligibility</w:t>
      </w:r>
      <w:r w:rsidR="007749E9">
        <w:t>),</w:t>
      </w:r>
      <w:r w:rsidR="002A0B45">
        <w:rPr>
          <w:rStyle w:val="FootnoteReference"/>
        </w:rPr>
        <w:footnoteReference w:id="9"/>
      </w:r>
      <w:r w:rsidR="002A0B45">
        <w:t xml:space="preserve"> and upholds the </w:t>
      </w:r>
      <w:r w:rsidR="001807E3">
        <w:t>ERCOT Board</w:t>
      </w:r>
      <w:r w:rsidR="00A32AF2">
        <w:t>’s</w:t>
      </w:r>
      <w:r w:rsidR="001807E3">
        <w:t xml:space="preserve"> </w:t>
      </w:r>
      <w:r w:rsidR="00135F60">
        <w:t xml:space="preserve">urgency </w:t>
      </w:r>
      <w:r w:rsidR="00D55399">
        <w:t xml:space="preserve">to </w:t>
      </w:r>
      <w:r w:rsidR="00135F60">
        <w:t xml:space="preserve">consider a DRRS framework by June 2026.  </w:t>
      </w:r>
      <w:r w:rsidR="00CC2C97">
        <w:t xml:space="preserve">Oxy </w:t>
      </w:r>
      <w:r w:rsidR="001807E3">
        <w:t xml:space="preserve">wholly </w:t>
      </w:r>
      <w:r w:rsidR="006A722D">
        <w:t>agrees with TIEC that</w:t>
      </w:r>
      <w:r w:rsidR="00D44983">
        <w:t xml:space="preserve"> while </w:t>
      </w:r>
      <w:r w:rsidR="006A722D">
        <w:t>the Commission</w:t>
      </w:r>
      <w:r w:rsidR="00D44983">
        <w:t xml:space="preserve"> </w:t>
      </w:r>
      <w:r w:rsidR="007749E9">
        <w:t>sought</w:t>
      </w:r>
      <w:r w:rsidR="00D44983">
        <w:t xml:space="preserve"> </w:t>
      </w:r>
      <w:r w:rsidR="006A722D">
        <w:t>flexibility in adjusting DRRS in the future</w:t>
      </w:r>
      <w:r w:rsidR="00D44983">
        <w:t>, this optionality can be achieved by p</w:t>
      </w:r>
      <w:r w:rsidR="003A1507">
        <w:t>roceeding wit</w:t>
      </w:r>
      <w:r w:rsidR="00D55399">
        <w:t>h</w:t>
      </w:r>
      <w:r w:rsidR="003A1507">
        <w:t xml:space="preserve"> </w:t>
      </w:r>
      <w:r w:rsidR="006A722D">
        <w:t>NPRR130</w:t>
      </w:r>
      <w:r w:rsidR="00A32AF2">
        <w:t>9</w:t>
      </w:r>
      <w:r w:rsidR="003A1507">
        <w:t xml:space="preserve">, while </w:t>
      </w:r>
      <w:r w:rsidR="00D44983">
        <w:t xml:space="preserve">providing time for </w:t>
      </w:r>
      <w:r w:rsidR="003A1507">
        <w:t xml:space="preserve">DRRS+ or other resource adequacy </w:t>
      </w:r>
      <w:r w:rsidR="00D44983">
        <w:t>features</w:t>
      </w:r>
      <w:r w:rsidR="003A1507">
        <w:t xml:space="preserve"> </w:t>
      </w:r>
      <w:r w:rsidR="00D44983">
        <w:t>to be evaluated and potentially a</w:t>
      </w:r>
      <w:r w:rsidR="003A1507">
        <w:t>dded at a later time.</w:t>
      </w:r>
      <w:r w:rsidR="003A1507">
        <w:rPr>
          <w:rStyle w:val="FootnoteReference"/>
        </w:rPr>
        <w:footnoteReference w:id="10"/>
      </w:r>
      <w:r w:rsidR="003A1507">
        <w:t xml:space="preserve">  </w:t>
      </w:r>
    </w:p>
    <w:p w14:paraId="3F609660" w14:textId="77777777" w:rsidR="001807E3" w:rsidRDefault="001807E3" w:rsidP="00D44983">
      <w:pPr>
        <w:pStyle w:val="NormalArial"/>
      </w:pPr>
    </w:p>
    <w:p w14:paraId="6C4309AD" w14:textId="37E9A9A6" w:rsidR="0053777E" w:rsidRDefault="00D44983" w:rsidP="00D44983">
      <w:pPr>
        <w:pStyle w:val="NormalArial"/>
      </w:pPr>
      <w:r>
        <w:t xml:space="preserve">Therefore, Oxy requests that PRS continue to table NPRR1310 and refer it to WMS for further </w:t>
      </w:r>
      <w:r w:rsidR="001E120C">
        <w:t>consideration</w:t>
      </w:r>
      <w:r>
        <w:t xml:space="preserve">.  </w:t>
      </w:r>
    </w:p>
    <w:p w14:paraId="74E44BAD" w14:textId="77777777" w:rsidR="0053777E" w:rsidRDefault="0053777E" w:rsidP="004476EB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11E9E75C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6BF02E" w14:textId="77777777" w:rsidR="00BD7258" w:rsidRDefault="00BD7258" w:rsidP="00B5080A">
            <w:pPr>
              <w:pStyle w:val="Header"/>
              <w:jc w:val="center"/>
            </w:pPr>
            <w:bookmarkStart w:id="1" w:name="_Hlk221690934"/>
            <w:r>
              <w:t>Revised Cover Page Language</w:t>
            </w:r>
          </w:p>
        </w:tc>
      </w:tr>
    </w:tbl>
    <w:bookmarkEnd w:id="1"/>
    <w:p w14:paraId="089A429A" w14:textId="22A48B65" w:rsidR="00BD7258" w:rsidRDefault="00DE4BA5" w:rsidP="00DE4BA5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6A3D33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F9B50F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44C2F43" w14:textId="77777777" w:rsidR="00DE4BA5" w:rsidRDefault="00DE4BA5" w:rsidP="00DE4BA5">
      <w:pPr>
        <w:pStyle w:val="NormalArial"/>
        <w:spacing w:before="120" w:after="120"/>
      </w:pPr>
      <w:r>
        <w:t>None</w:t>
      </w:r>
    </w:p>
    <w:sectPr w:rsidR="00DE4BA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161D" w14:textId="77777777" w:rsidR="00B5080A" w:rsidRDefault="00B5080A">
      <w:r>
        <w:separator/>
      </w:r>
    </w:p>
  </w:endnote>
  <w:endnote w:type="continuationSeparator" w:id="0">
    <w:p w14:paraId="24921FE5" w14:textId="77777777" w:rsidR="00B5080A" w:rsidRDefault="00B5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5EC" w14:textId="44716D21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22409">
      <w:rPr>
        <w:rFonts w:ascii="Arial" w:hAnsi="Arial"/>
        <w:noProof/>
        <w:sz w:val="18"/>
      </w:rPr>
      <w:t>1310NPRR-18 Oxy Comments 030226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26909C54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1660" w14:textId="77777777" w:rsidR="00B5080A" w:rsidRDefault="00B5080A">
      <w:r>
        <w:separator/>
      </w:r>
    </w:p>
  </w:footnote>
  <w:footnote w:type="continuationSeparator" w:id="0">
    <w:p w14:paraId="3395A50C" w14:textId="77777777" w:rsidR="00B5080A" w:rsidRDefault="00B5080A">
      <w:r>
        <w:continuationSeparator/>
      </w:r>
    </w:p>
  </w:footnote>
  <w:footnote w:id="1">
    <w:p w14:paraId="00FB3225" w14:textId="067732F9" w:rsidR="00F465FB" w:rsidRDefault="00F465FB">
      <w:pPr>
        <w:pStyle w:val="FootnoteText"/>
      </w:pPr>
      <w:r>
        <w:rPr>
          <w:rStyle w:val="FootnoteReference"/>
        </w:rPr>
        <w:footnoteRef/>
      </w:r>
      <w:r>
        <w:t xml:space="preserve"> NPR</w:t>
      </w:r>
      <w:r w:rsidR="00297ED3">
        <w:t>R</w:t>
      </w:r>
      <w:r>
        <w:t>1310, p. 7</w:t>
      </w:r>
      <w:r w:rsidR="00DE27C1">
        <w:t>.</w:t>
      </w:r>
    </w:p>
  </w:footnote>
  <w:footnote w:id="2">
    <w:p w14:paraId="2173193E" w14:textId="7BCAAD24" w:rsidR="00070E43" w:rsidRDefault="00070E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97ED3">
        <w:t>Texas Oil &amp; Gas Association (TXOGA)</w:t>
      </w:r>
      <w:r>
        <w:t xml:space="preserve"> Comments on NPRR1310, p. 1</w:t>
      </w:r>
      <w:r w:rsidR="00DE27C1">
        <w:t>.</w:t>
      </w:r>
    </w:p>
  </w:footnote>
  <w:footnote w:id="3">
    <w:p w14:paraId="7CBCFB0D" w14:textId="53F7103D" w:rsidR="006B32AA" w:rsidRDefault="006B32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4C6A">
        <w:t xml:space="preserve">Comments on NPRR1310 from </w:t>
      </w:r>
      <w:r>
        <w:t>Sierra Club Comments p. 1</w:t>
      </w:r>
      <w:r w:rsidR="00694C6A">
        <w:t xml:space="preserve"> and </w:t>
      </w:r>
      <w:r w:rsidR="0004327A">
        <w:t>Texas Industrial Energy Consumers (</w:t>
      </w:r>
      <w:r w:rsidR="003943C8">
        <w:t>TIEC</w:t>
      </w:r>
      <w:r w:rsidR="0004327A">
        <w:t>)</w:t>
      </w:r>
      <w:r w:rsidR="003943C8">
        <w:t xml:space="preserve"> p. 5</w:t>
      </w:r>
      <w:r w:rsidR="00694C6A">
        <w:t>.</w:t>
      </w:r>
    </w:p>
  </w:footnote>
  <w:footnote w:id="4">
    <w:p w14:paraId="0EBA2268" w14:textId="72145024" w:rsidR="0013447E" w:rsidRDefault="0013447E">
      <w:pPr>
        <w:pStyle w:val="FootnoteText"/>
      </w:pPr>
      <w:r>
        <w:rPr>
          <w:rStyle w:val="FootnoteReference"/>
        </w:rPr>
        <w:footnoteRef/>
      </w:r>
      <w:r>
        <w:t xml:space="preserve"> NPRR1310, p. 45.</w:t>
      </w:r>
    </w:p>
  </w:footnote>
  <w:footnote w:id="5">
    <w:p w14:paraId="66C5C744" w14:textId="2FB49D1E" w:rsidR="0004327A" w:rsidRDefault="0004327A">
      <w:pPr>
        <w:pStyle w:val="FootnoteText"/>
      </w:pPr>
      <w:r>
        <w:rPr>
          <w:rStyle w:val="FootnoteReference"/>
        </w:rPr>
        <w:footnoteRef/>
      </w:r>
      <w:r>
        <w:t xml:space="preserve"> Comments on NPRR1310 from </w:t>
      </w:r>
      <w:r w:rsidRPr="00731B35">
        <w:t>Texas Solar + Storage Association (TSSA)</w:t>
      </w:r>
      <w:r>
        <w:t xml:space="preserve"> </w:t>
      </w:r>
      <w:r w:rsidRPr="00731B35">
        <w:t>p. 5</w:t>
      </w:r>
      <w:r>
        <w:t xml:space="preserve">, </w:t>
      </w:r>
      <w:r w:rsidRPr="00731B35">
        <w:t>Advanced Power Alliance</w:t>
      </w:r>
      <w:r>
        <w:t xml:space="preserve"> (APA) and </w:t>
      </w:r>
      <w:r w:rsidRPr="00731B35">
        <w:t xml:space="preserve"> / </w:t>
      </w:r>
      <w:r>
        <w:t>Am</w:t>
      </w:r>
      <w:r w:rsidRPr="00731B35">
        <w:t xml:space="preserve">erican Clean Power </w:t>
      </w:r>
      <w:r>
        <w:t>(</w:t>
      </w:r>
      <w:r w:rsidRPr="00731B35">
        <w:t>AC</w:t>
      </w:r>
      <w:r>
        <w:t xml:space="preserve">P) </w:t>
      </w:r>
      <w:r w:rsidRPr="00731B35">
        <w:t>p.1</w:t>
      </w:r>
      <w:r>
        <w:t>, and TIEC p. 2.</w:t>
      </w:r>
    </w:p>
  </w:footnote>
  <w:footnote w:id="6">
    <w:p w14:paraId="3C58D601" w14:textId="67F0D5A3" w:rsidR="0062002F" w:rsidRDefault="0062002F" w:rsidP="00694C6A">
      <w:pPr>
        <w:pStyle w:val="FootnoteText"/>
        <w:ind w:right="-180"/>
      </w:pPr>
      <w:r>
        <w:rPr>
          <w:rStyle w:val="FootnoteReference"/>
        </w:rPr>
        <w:footnoteRef/>
      </w:r>
      <w:r>
        <w:t xml:space="preserve"> </w:t>
      </w:r>
      <w:r w:rsidR="0004327A">
        <w:t>Comments on NPRR1310 from Hunt Energy Network</w:t>
      </w:r>
      <w:r>
        <w:t xml:space="preserve"> p. 2</w:t>
      </w:r>
      <w:r w:rsidR="00D55399">
        <w:t xml:space="preserve">, </w:t>
      </w:r>
      <w:r w:rsidR="0004327A">
        <w:t>Independent Market Monit</w:t>
      </w:r>
      <w:r w:rsidR="0013447E">
        <w:t>o</w:t>
      </w:r>
      <w:r w:rsidR="0004327A">
        <w:t>r (</w:t>
      </w:r>
      <w:r>
        <w:t>IMM</w:t>
      </w:r>
      <w:r w:rsidR="0004327A">
        <w:t>)</w:t>
      </w:r>
      <w:r>
        <w:t xml:space="preserve"> p</w:t>
      </w:r>
      <w:r w:rsidR="0004327A">
        <w:t>.</w:t>
      </w:r>
      <w:r>
        <w:t xml:space="preserve"> 2</w:t>
      </w:r>
      <w:r w:rsidR="00D55399">
        <w:t xml:space="preserve">, and TIEC </w:t>
      </w:r>
      <w:r w:rsidR="007449D8">
        <w:t>p</w:t>
      </w:r>
      <w:r w:rsidR="00D55399">
        <w:t>. 5</w:t>
      </w:r>
      <w:r w:rsidR="00694C6A">
        <w:t>.</w:t>
      </w:r>
    </w:p>
  </w:footnote>
  <w:footnote w:id="7">
    <w:p w14:paraId="0887948B" w14:textId="738A4CEF" w:rsidR="00135487" w:rsidRDefault="00135487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="005E5687">
        <w:t xml:space="preserve">ower </w:t>
      </w:r>
      <w:r>
        <w:t>C</w:t>
      </w:r>
      <w:r w:rsidR="005E5687">
        <w:t xml:space="preserve">olorado </w:t>
      </w:r>
      <w:r>
        <w:t>R</w:t>
      </w:r>
      <w:r w:rsidR="005E5687">
        <w:t>iver Authority (LCRA)</w:t>
      </w:r>
      <w:r w:rsidR="0004327A">
        <w:t xml:space="preserve"> Comments on NPRR1310</w:t>
      </w:r>
      <w:r>
        <w:t>, p. 3</w:t>
      </w:r>
    </w:p>
  </w:footnote>
  <w:footnote w:id="8">
    <w:p w14:paraId="0C1659EE" w14:textId="026604B1" w:rsidR="00EE79FD" w:rsidRDefault="00EE79FD">
      <w:pPr>
        <w:pStyle w:val="FootnoteText"/>
      </w:pPr>
      <w:r>
        <w:rPr>
          <w:rStyle w:val="FootnoteReference"/>
        </w:rPr>
        <w:footnoteRef/>
      </w:r>
      <w:r>
        <w:t xml:space="preserve"> IMM</w:t>
      </w:r>
      <w:r w:rsidR="005E5687">
        <w:t xml:space="preserve"> Comments on NPRR1310</w:t>
      </w:r>
      <w:r>
        <w:t>, p. 4</w:t>
      </w:r>
      <w:r w:rsidR="005E5687">
        <w:t>.</w:t>
      </w:r>
    </w:p>
  </w:footnote>
  <w:footnote w:id="9">
    <w:p w14:paraId="67137A3A" w14:textId="58838D9F" w:rsidR="002A0B45" w:rsidRDefault="002A0B45">
      <w:pPr>
        <w:pStyle w:val="FootnoteText"/>
      </w:pPr>
      <w:r>
        <w:rPr>
          <w:rStyle w:val="FootnoteReference"/>
        </w:rPr>
        <w:footnoteRef/>
      </w:r>
      <w:r>
        <w:t xml:space="preserve"> Comments on NPRR1309 form APA/ACP p. 3, </w:t>
      </w:r>
      <w:r w:rsidR="00D61E5F">
        <w:t>Joint ESR Commenters p. 1, TSSA p. 1, Joint Commenters p. 1, and Texas Energy Buyers Alliance p. 1.</w:t>
      </w:r>
    </w:p>
  </w:footnote>
  <w:footnote w:id="10">
    <w:p w14:paraId="59BEB4E5" w14:textId="0C03C019" w:rsidR="003A1507" w:rsidRDefault="003A1507">
      <w:pPr>
        <w:pStyle w:val="FootnoteText"/>
      </w:pPr>
      <w:r>
        <w:rPr>
          <w:rStyle w:val="FootnoteReference"/>
        </w:rPr>
        <w:footnoteRef/>
      </w:r>
      <w:r>
        <w:t xml:space="preserve"> TIEC</w:t>
      </w:r>
      <w:r w:rsidR="007449D8">
        <w:t xml:space="preserve"> Comments on NPRR1310</w:t>
      </w:r>
      <w:r>
        <w:t>, p.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3484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34738A24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7C5CFC"/>
    <w:multiLevelType w:val="hybridMultilevel"/>
    <w:tmpl w:val="1E6C68DA"/>
    <w:lvl w:ilvl="0" w:tplc="590CB910">
      <w:start w:val="7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52521750">
    <w:abstractNumId w:val="0"/>
  </w:num>
  <w:num w:numId="2" w16cid:durableId="656113297">
    <w:abstractNumId w:val="2"/>
  </w:num>
  <w:num w:numId="3" w16cid:durableId="93547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4327A"/>
    <w:rsid w:val="00070E43"/>
    <w:rsid w:val="00075A94"/>
    <w:rsid w:val="000C122C"/>
    <w:rsid w:val="000E325E"/>
    <w:rsid w:val="00132855"/>
    <w:rsid w:val="0013447E"/>
    <w:rsid w:val="00135487"/>
    <w:rsid w:val="00135F60"/>
    <w:rsid w:val="00142E7F"/>
    <w:rsid w:val="00152993"/>
    <w:rsid w:val="00170297"/>
    <w:rsid w:val="001807E3"/>
    <w:rsid w:val="00183DBA"/>
    <w:rsid w:val="001904AC"/>
    <w:rsid w:val="001A227D"/>
    <w:rsid w:val="001D62C6"/>
    <w:rsid w:val="001E120C"/>
    <w:rsid w:val="001E2032"/>
    <w:rsid w:val="001F4B29"/>
    <w:rsid w:val="00234829"/>
    <w:rsid w:val="00237DF1"/>
    <w:rsid w:val="002412A9"/>
    <w:rsid w:val="00275119"/>
    <w:rsid w:val="00297ED3"/>
    <w:rsid w:val="002A0B45"/>
    <w:rsid w:val="002B140D"/>
    <w:rsid w:val="002D6DBA"/>
    <w:rsid w:val="003010C0"/>
    <w:rsid w:val="00332A97"/>
    <w:rsid w:val="00350C00"/>
    <w:rsid w:val="003541CD"/>
    <w:rsid w:val="00366113"/>
    <w:rsid w:val="00391E55"/>
    <w:rsid w:val="003943C8"/>
    <w:rsid w:val="003A1507"/>
    <w:rsid w:val="003C270C"/>
    <w:rsid w:val="003C4D28"/>
    <w:rsid w:val="003D0994"/>
    <w:rsid w:val="003F16B3"/>
    <w:rsid w:val="003F3B2F"/>
    <w:rsid w:val="003F492C"/>
    <w:rsid w:val="00411C59"/>
    <w:rsid w:val="00423824"/>
    <w:rsid w:val="0043567D"/>
    <w:rsid w:val="00447308"/>
    <w:rsid w:val="004476EB"/>
    <w:rsid w:val="00447B30"/>
    <w:rsid w:val="004B7B90"/>
    <w:rsid w:val="004E2C19"/>
    <w:rsid w:val="004E6E3D"/>
    <w:rsid w:val="00524C04"/>
    <w:rsid w:val="00532E81"/>
    <w:rsid w:val="0053777E"/>
    <w:rsid w:val="00565B71"/>
    <w:rsid w:val="00591E40"/>
    <w:rsid w:val="005A4BFC"/>
    <w:rsid w:val="005B3BE6"/>
    <w:rsid w:val="005C3637"/>
    <w:rsid w:val="005C61CD"/>
    <w:rsid w:val="005D284C"/>
    <w:rsid w:val="005E5687"/>
    <w:rsid w:val="005F6B40"/>
    <w:rsid w:val="00604512"/>
    <w:rsid w:val="0062002F"/>
    <w:rsid w:val="00633E23"/>
    <w:rsid w:val="00634B1B"/>
    <w:rsid w:val="00673B94"/>
    <w:rsid w:val="00680AC6"/>
    <w:rsid w:val="006835D8"/>
    <w:rsid w:val="00694031"/>
    <w:rsid w:val="00694C6A"/>
    <w:rsid w:val="00695B37"/>
    <w:rsid w:val="006A722D"/>
    <w:rsid w:val="006B32AA"/>
    <w:rsid w:val="006C316E"/>
    <w:rsid w:val="006C5777"/>
    <w:rsid w:val="006D0F7C"/>
    <w:rsid w:val="006F706E"/>
    <w:rsid w:val="007269C4"/>
    <w:rsid w:val="00731B35"/>
    <w:rsid w:val="0074209E"/>
    <w:rsid w:val="00742675"/>
    <w:rsid w:val="007449D8"/>
    <w:rsid w:val="00761347"/>
    <w:rsid w:val="00763272"/>
    <w:rsid w:val="007749E9"/>
    <w:rsid w:val="007942C1"/>
    <w:rsid w:val="00796E97"/>
    <w:rsid w:val="007F2CA8"/>
    <w:rsid w:val="007F7161"/>
    <w:rsid w:val="00822409"/>
    <w:rsid w:val="0085559E"/>
    <w:rsid w:val="00896B1B"/>
    <w:rsid w:val="008A07A8"/>
    <w:rsid w:val="008E559E"/>
    <w:rsid w:val="008F4C44"/>
    <w:rsid w:val="008F4E76"/>
    <w:rsid w:val="009134D2"/>
    <w:rsid w:val="00916080"/>
    <w:rsid w:val="00921A68"/>
    <w:rsid w:val="009509C4"/>
    <w:rsid w:val="00986D71"/>
    <w:rsid w:val="00A015C4"/>
    <w:rsid w:val="00A0609A"/>
    <w:rsid w:val="00A15172"/>
    <w:rsid w:val="00A27DB8"/>
    <w:rsid w:val="00A32AF2"/>
    <w:rsid w:val="00A32C9A"/>
    <w:rsid w:val="00A41E17"/>
    <w:rsid w:val="00A949B2"/>
    <w:rsid w:val="00AB224B"/>
    <w:rsid w:val="00AE1897"/>
    <w:rsid w:val="00B1491A"/>
    <w:rsid w:val="00B15BED"/>
    <w:rsid w:val="00B254F0"/>
    <w:rsid w:val="00B5080A"/>
    <w:rsid w:val="00B518C2"/>
    <w:rsid w:val="00B56D61"/>
    <w:rsid w:val="00B943AE"/>
    <w:rsid w:val="00BA73EB"/>
    <w:rsid w:val="00BA7E61"/>
    <w:rsid w:val="00BD7258"/>
    <w:rsid w:val="00C0598D"/>
    <w:rsid w:val="00C11956"/>
    <w:rsid w:val="00C30929"/>
    <w:rsid w:val="00C43438"/>
    <w:rsid w:val="00C51A6A"/>
    <w:rsid w:val="00C602E5"/>
    <w:rsid w:val="00C748FD"/>
    <w:rsid w:val="00C76D2A"/>
    <w:rsid w:val="00C90ACC"/>
    <w:rsid w:val="00CB1E59"/>
    <w:rsid w:val="00CC2C97"/>
    <w:rsid w:val="00CF08C5"/>
    <w:rsid w:val="00D36E0D"/>
    <w:rsid w:val="00D4046E"/>
    <w:rsid w:val="00D4362F"/>
    <w:rsid w:val="00D44983"/>
    <w:rsid w:val="00D55399"/>
    <w:rsid w:val="00D61E5F"/>
    <w:rsid w:val="00D674C5"/>
    <w:rsid w:val="00D72165"/>
    <w:rsid w:val="00DD4739"/>
    <w:rsid w:val="00DE27C1"/>
    <w:rsid w:val="00DE4BA5"/>
    <w:rsid w:val="00DE5F33"/>
    <w:rsid w:val="00DE7881"/>
    <w:rsid w:val="00DF5C6E"/>
    <w:rsid w:val="00E07B54"/>
    <w:rsid w:val="00E11F78"/>
    <w:rsid w:val="00E163EC"/>
    <w:rsid w:val="00E40398"/>
    <w:rsid w:val="00E50745"/>
    <w:rsid w:val="00E621E1"/>
    <w:rsid w:val="00E717AD"/>
    <w:rsid w:val="00EC4F72"/>
    <w:rsid w:val="00EC55B3"/>
    <w:rsid w:val="00EE6681"/>
    <w:rsid w:val="00EE79FD"/>
    <w:rsid w:val="00F34D79"/>
    <w:rsid w:val="00F457B8"/>
    <w:rsid w:val="00F46574"/>
    <w:rsid w:val="00F465FB"/>
    <w:rsid w:val="00F5433D"/>
    <w:rsid w:val="00F57CE9"/>
    <w:rsid w:val="00F80CDE"/>
    <w:rsid w:val="00F83D80"/>
    <w:rsid w:val="00F96FB2"/>
    <w:rsid w:val="00FB51D8"/>
    <w:rsid w:val="00FC45E6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0F999"/>
  <w15:chartTrackingRefBased/>
  <w15:docId w15:val="{9C276441-7375-4E68-8D92-1247E48E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BA5"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FootnoteText">
    <w:name w:val="footnote text"/>
    <w:basedOn w:val="Normal"/>
    <w:link w:val="FootnoteTextChar"/>
    <w:rsid w:val="00BA7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73EB"/>
  </w:style>
  <w:style w:type="character" w:styleId="FootnoteReference">
    <w:name w:val="footnote reference"/>
    <w:rsid w:val="00BA73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73E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E4BA5"/>
    <w:rPr>
      <w:rFonts w:ascii="Arial" w:hAnsi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D6D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meel_pueblos@ox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9A65-5E56-4707-8F4A-BC7D716E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3665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TCPA</cp:lastModifiedBy>
  <cp:revision>4</cp:revision>
  <cp:lastPrinted>2001-06-20T16:28:00Z</cp:lastPrinted>
  <dcterms:created xsi:type="dcterms:W3CDTF">2026-03-02T22:30:00Z</dcterms:created>
  <dcterms:modified xsi:type="dcterms:W3CDTF">2026-03-02T22:31:00Z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2026-02-11T14:28:51Z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6b5db52d-46f1-40d3-b1e5-b75c4fd3282e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