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2CB0F138" w14:textId="77777777">
        <w:tc>
          <w:tcPr>
            <w:tcW w:w="1620" w:type="dxa"/>
            <w:tcBorders>
              <w:bottom w:val="single" w:sz="4" w:space="0" w:color="auto"/>
            </w:tcBorders>
            <w:shd w:val="clear" w:color="auto" w:fill="FFFFFF"/>
            <w:vAlign w:val="center"/>
          </w:tcPr>
          <w:p w14:paraId="318DABC5" w14:textId="77777777" w:rsidR="00152993" w:rsidRDefault="00D825C5" w:rsidP="0001014F">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2303836D" w14:textId="0891F1E5" w:rsidR="00152993" w:rsidRDefault="00901786" w:rsidP="0001014F">
            <w:pPr>
              <w:pStyle w:val="Header"/>
            </w:pPr>
            <w:hyperlink r:id="rId7" w:history="1">
              <w:r w:rsidRPr="00C85731">
                <w:rPr>
                  <w:rStyle w:val="Hyperlink"/>
                </w:rPr>
                <w:t>282</w:t>
              </w:r>
            </w:hyperlink>
          </w:p>
        </w:tc>
        <w:tc>
          <w:tcPr>
            <w:tcW w:w="1440" w:type="dxa"/>
            <w:tcBorders>
              <w:bottom w:val="single" w:sz="4" w:space="0" w:color="auto"/>
            </w:tcBorders>
            <w:shd w:val="clear" w:color="auto" w:fill="FFFFFF"/>
            <w:vAlign w:val="center"/>
          </w:tcPr>
          <w:p w14:paraId="58D5C4C9" w14:textId="77777777" w:rsidR="00152993" w:rsidRDefault="00D825C5" w:rsidP="0001014F">
            <w:pPr>
              <w:pStyle w:val="Header"/>
            </w:pPr>
            <w:r>
              <w:t>NOG</w:t>
            </w:r>
            <w:r w:rsidR="00C158EE">
              <w:t xml:space="preserve">RR </w:t>
            </w:r>
            <w:r w:rsidR="00152993">
              <w:t>Title</w:t>
            </w:r>
          </w:p>
        </w:tc>
        <w:tc>
          <w:tcPr>
            <w:tcW w:w="6120" w:type="dxa"/>
            <w:tcBorders>
              <w:bottom w:val="single" w:sz="4" w:space="0" w:color="auto"/>
            </w:tcBorders>
            <w:vAlign w:val="center"/>
          </w:tcPr>
          <w:p w14:paraId="1BEB4B35" w14:textId="475482AC" w:rsidR="00152993" w:rsidRDefault="00C85731" w:rsidP="0001014F">
            <w:pPr>
              <w:pStyle w:val="Header"/>
            </w:pPr>
            <w:r w:rsidRPr="00C85731">
              <w:t>Board Priority - Large Electronic Load Ride-Through Requirements</w:t>
            </w:r>
          </w:p>
        </w:tc>
      </w:tr>
    </w:tbl>
    <w:p w14:paraId="1B22B754" w14:textId="77777777" w:rsidR="002771E6" w:rsidRDefault="002771E6" w:rsidP="0001014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05D2849" w14:textId="77777777" w:rsidTr="7AFE8BAC">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0552AC0" w14:textId="77777777" w:rsidR="00152993" w:rsidRDefault="00152993" w:rsidP="0001014F">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4E55E5C9" w14:textId="430945A4" w:rsidR="00152993" w:rsidRDefault="002255C7" w:rsidP="0001014F">
            <w:pPr>
              <w:pStyle w:val="NormalArial"/>
            </w:pPr>
            <w:r>
              <w:t>February 18</w:t>
            </w:r>
            <w:r w:rsidR="5E477C33">
              <w:t>, 2026</w:t>
            </w:r>
          </w:p>
        </w:tc>
      </w:tr>
    </w:tbl>
    <w:p w14:paraId="20DF5150" w14:textId="77777777" w:rsidR="002771E6" w:rsidRDefault="002771E6" w:rsidP="0001014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689548E" w14:textId="77777777" w:rsidTr="7AFE8BAC">
        <w:trPr>
          <w:trHeight w:val="440"/>
        </w:trPr>
        <w:tc>
          <w:tcPr>
            <w:tcW w:w="10440" w:type="dxa"/>
            <w:gridSpan w:val="2"/>
            <w:tcBorders>
              <w:top w:val="single" w:sz="4" w:space="0" w:color="auto"/>
            </w:tcBorders>
            <w:shd w:val="clear" w:color="auto" w:fill="FFFFFF" w:themeFill="background1"/>
            <w:vAlign w:val="center"/>
          </w:tcPr>
          <w:p w14:paraId="3BC458A4" w14:textId="77777777" w:rsidR="00152993" w:rsidRDefault="00152993" w:rsidP="0001014F">
            <w:pPr>
              <w:pStyle w:val="Header"/>
              <w:jc w:val="center"/>
            </w:pPr>
            <w:r>
              <w:t>Submitter’s Information</w:t>
            </w:r>
          </w:p>
        </w:tc>
      </w:tr>
      <w:tr w:rsidR="00152993" w14:paraId="333930F0" w14:textId="77777777" w:rsidTr="7AFE8BAC">
        <w:trPr>
          <w:trHeight w:val="350"/>
        </w:trPr>
        <w:tc>
          <w:tcPr>
            <w:tcW w:w="2880" w:type="dxa"/>
            <w:shd w:val="clear" w:color="auto" w:fill="FFFFFF" w:themeFill="background1"/>
            <w:vAlign w:val="center"/>
          </w:tcPr>
          <w:p w14:paraId="0D7DC8A5" w14:textId="77777777" w:rsidR="00152993" w:rsidRPr="00EC55B3" w:rsidRDefault="00152993" w:rsidP="0001014F">
            <w:pPr>
              <w:pStyle w:val="Header"/>
            </w:pPr>
            <w:r w:rsidRPr="00EC55B3">
              <w:t>Name</w:t>
            </w:r>
          </w:p>
        </w:tc>
        <w:tc>
          <w:tcPr>
            <w:tcW w:w="7560" w:type="dxa"/>
            <w:vAlign w:val="center"/>
          </w:tcPr>
          <w:p w14:paraId="2D871B90" w14:textId="632116DC" w:rsidR="00152993" w:rsidRDefault="002255C7" w:rsidP="0001014F">
            <w:pPr>
              <w:pStyle w:val="NormalArial"/>
            </w:pPr>
            <w:r>
              <w:t>Jessi Goostree</w:t>
            </w:r>
          </w:p>
        </w:tc>
      </w:tr>
      <w:tr w:rsidR="00152993" w14:paraId="2F9FD450" w14:textId="77777777" w:rsidTr="7AFE8BAC">
        <w:trPr>
          <w:trHeight w:val="350"/>
        </w:trPr>
        <w:tc>
          <w:tcPr>
            <w:tcW w:w="2880" w:type="dxa"/>
            <w:shd w:val="clear" w:color="auto" w:fill="FFFFFF" w:themeFill="background1"/>
            <w:vAlign w:val="center"/>
          </w:tcPr>
          <w:p w14:paraId="341747EC" w14:textId="77777777" w:rsidR="00152993" w:rsidRPr="00EC55B3" w:rsidRDefault="00152993" w:rsidP="0001014F">
            <w:pPr>
              <w:pStyle w:val="Header"/>
            </w:pPr>
            <w:r w:rsidRPr="00EC55B3">
              <w:t>E-mail Address</w:t>
            </w:r>
          </w:p>
        </w:tc>
        <w:tc>
          <w:tcPr>
            <w:tcW w:w="7560" w:type="dxa"/>
            <w:vAlign w:val="center"/>
          </w:tcPr>
          <w:p w14:paraId="7C2EEF50" w14:textId="04412170" w:rsidR="00152993" w:rsidRDefault="002255C7" w:rsidP="0001014F">
            <w:pPr>
              <w:pStyle w:val="NormalArial"/>
            </w:pPr>
            <w:hyperlink r:id="rId8" w:history="1">
              <w:r w:rsidRPr="0054129E">
                <w:rPr>
                  <w:rStyle w:val="Hyperlink"/>
                </w:rPr>
                <w:t>jessi@texasblockchaincouncil.org</w:t>
              </w:r>
            </w:hyperlink>
          </w:p>
        </w:tc>
      </w:tr>
      <w:tr w:rsidR="00152993" w14:paraId="176CC1C5" w14:textId="77777777" w:rsidTr="7AFE8BAC">
        <w:trPr>
          <w:trHeight w:val="350"/>
        </w:trPr>
        <w:tc>
          <w:tcPr>
            <w:tcW w:w="2880" w:type="dxa"/>
            <w:shd w:val="clear" w:color="auto" w:fill="FFFFFF" w:themeFill="background1"/>
            <w:vAlign w:val="center"/>
          </w:tcPr>
          <w:p w14:paraId="21A0CB78" w14:textId="77777777" w:rsidR="00152993" w:rsidRPr="00EC55B3" w:rsidRDefault="00152993" w:rsidP="0001014F">
            <w:pPr>
              <w:pStyle w:val="Header"/>
            </w:pPr>
            <w:r w:rsidRPr="00EC55B3">
              <w:t>Company</w:t>
            </w:r>
          </w:p>
        </w:tc>
        <w:tc>
          <w:tcPr>
            <w:tcW w:w="7560" w:type="dxa"/>
            <w:vAlign w:val="center"/>
          </w:tcPr>
          <w:p w14:paraId="30AA7C3B" w14:textId="13CCDD6B" w:rsidR="00152993" w:rsidRDefault="002255C7" w:rsidP="0001014F">
            <w:pPr>
              <w:pStyle w:val="NormalArial"/>
            </w:pPr>
            <w:r>
              <w:t>Texas Blockchain Council</w:t>
            </w:r>
          </w:p>
        </w:tc>
      </w:tr>
      <w:tr w:rsidR="00152993" w14:paraId="4DC06A22" w14:textId="77777777" w:rsidTr="7AFE8BAC">
        <w:trPr>
          <w:trHeight w:val="350"/>
        </w:trPr>
        <w:tc>
          <w:tcPr>
            <w:tcW w:w="2880" w:type="dxa"/>
            <w:tcBorders>
              <w:bottom w:val="single" w:sz="4" w:space="0" w:color="auto"/>
            </w:tcBorders>
            <w:shd w:val="clear" w:color="auto" w:fill="FFFFFF" w:themeFill="background1"/>
            <w:vAlign w:val="center"/>
          </w:tcPr>
          <w:p w14:paraId="42527058" w14:textId="77777777" w:rsidR="00152993" w:rsidRPr="00EC55B3" w:rsidRDefault="00152993" w:rsidP="0001014F">
            <w:pPr>
              <w:pStyle w:val="Header"/>
            </w:pPr>
            <w:r w:rsidRPr="00EC55B3">
              <w:t>Phone Number</w:t>
            </w:r>
          </w:p>
        </w:tc>
        <w:tc>
          <w:tcPr>
            <w:tcW w:w="7560" w:type="dxa"/>
            <w:tcBorders>
              <w:bottom w:val="single" w:sz="4" w:space="0" w:color="auto"/>
            </w:tcBorders>
            <w:vAlign w:val="center"/>
          </w:tcPr>
          <w:p w14:paraId="6FACA846" w14:textId="35570B7E" w:rsidR="00152993" w:rsidRDefault="00152993" w:rsidP="0001014F">
            <w:pPr>
              <w:pStyle w:val="NormalArial"/>
            </w:pPr>
          </w:p>
        </w:tc>
      </w:tr>
      <w:tr w:rsidR="00152993" w14:paraId="45756D59" w14:textId="77777777" w:rsidTr="7AFE8BAC">
        <w:trPr>
          <w:trHeight w:val="350"/>
        </w:trPr>
        <w:tc>
          <w:tcPr>
            <w:tcW w:w="2880" w:type="dxa"/>
            <w:shd w:val="clear" w:color="auto" w:fill="FFFFFF" w:themeFill="background1"/>
            <w:vAlign w:val="center"/>
          </w:tcPr>
          <w:p w14:paraId="69B478FC" w14:textId="77777777" w:rsidR="00152993" w:rsidRPr="00EC55B3" w:rsidRDefault="00075A94" w:rsidP="0001014F">
            <w:pPr>
              <w:pStyle w:val="Header"/>
            </w:pPr>
            <w:r>
              <w:t>Cell</w:t>
            </w:r>
            <w:r w:rsidRPr="00EC55B3">
              <w:t xml:space="preserve"> </w:t>
            </w:r>
            <w:r w:rsidR="00152993" w:rsidRPr="00EC55B3">
              <w:t>Number</w:t>
            </w:r>
          </w:p>
        </w:tc>
        <w:tc>
          <w:tcPr>
            <w:tcW w:w="7560" w:type="dxa"/>
            <w:vAlign w:val="center"/>
          </w:tcPr>
          <w:p w14:paraId="4B924532" w14:textId="77777777" w:rsidR="00152993" w:rsidRDefault="00152993" w:rsidP="0001014F">
            <w:pPr>
              <w:pStyle w:val="NormalArial"/>
            </w:pPr>
          </w:p>
        </w:tc>
      </w:tr>
      <w:tr w:rsidR="00075A94" w14:paraId="429E3C61" w14:textId="77777777" w:rsidTr="7AFE8BAC">
        <w:trPr>
          <w:trHeight w:val="350"/>
        </w:trPr>
        <w:tc>
          <w:tcPr>
            <w:tcW w:w="2880" w:type="dxa"/>
            <w:tcBorders>
              <w:bottom w:val="single" w:sz="4" w:space="0" w:color="auto"/>
            </w:tcBorders>
            <w:shd w:val="clear" w:color="auto" w:fill="FFFFFF" w:themeFill="background1"/>
            <w:vAlign w:val="center"/>
          </w:tcPr>
          <w:p w14:paraId="44F0D589" w14:textId="77777777" w:rsidR="00075A94" w:rsidRPr="00EC55B3" w:rsidDel="00075A94" w:rsidRDefault="00075A94" w:rsidP="0001014F">
            <w:pPr>
              <w:pStyle w:val="Header"/>
            </w:pPr>
            <w:r>
              <w:t>Market Segment</w:t>
            </w:r>
          </w:p>
        </w:tc>
        <w:tc>
          <w:tcPr>
            <w:tcW w:w="7560" w:type="dxa"/>
            <w:tcBorders>
              <w:bottom w:val="single" w:sz="4" w:space="0" w:color="auto"/>
            </w:tcBorders>
            <w:vAlign w:val="center"/>
          </w:tcPr>
          <w:p w14:paraId="663CB951" w14:textId="24242C9F" w:rsidR="00075A94" w:rsidRDefault="0001014F" w:rsidP="0001014F">
            <w:pPr>
              <w:pStyle w:val="NormalArial"/>
            </w:pPr>
            <w:r>
              <w:t>Not applicable</w:t>
            </w:r>
          </w:p>
        </w:tc>
      </w:tr>
    </w:tbl>
    <w:p w14:paraId="6B040F80" w14:textId="77777777" w:rsidR="00075A94" w:rsidRDefault="00075A94" w:rsidP="0001014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1014F" w14:paraId="4E076C5C" w14:textId="77777777" w:rsidTr="00023F99">
        <w:trPr>
          <w:trHeight w:val="350"/>
        </w:trPr>
        <w:tc>
          <w:tcPr>
            <w:tcW w:w="10440" w:type="dxa"/>
            <w:tcBorders>
              <w:bottom w:val="single" w:sz="4" w:space="0" w:color="auto"/>
            </w:tcBorders>
            <w:shd w:val="clear" w:color="auto" w:fill="FFFFFF"/>
            <w:vAlign w:val="center"/>
          </w:tcPr>
          <w:p w14:paraId="122C7168" w14:textId="0D8C2306" w:rsidR="0001014F" w:rsidRDefault="0001014F" w:rsidP="00023F99">
            <w:pPr>
              <w:pStyle w:val="Header"/>
              <w:jc w:val="center"/>
            </w:pPr>
            <w:r>
              <w:t>Comments</w:t>
            </w:r>
          </w:p>
        </w:tc>
      </w:tr>
    </w:tbl>
    <w:p w14:paraId="45011BDD" w14:textId="6408CC88" w:rsidR="002255C7" w:rsidRPr="002255C7" w:rsidRDefault="002255C7" w:rsidP="002255C7">
      <w:pPr>
        <w:pStyle w:val="NormalArial"/>
        <w:spacing w:before="120" w:after="120"/>
      </w:pPr>
      <w:r w:rsidRPr="002255C7">
        <w:rPr>
          <w:i/>
          <w:iCs/>
        </w:rPr>
        <w:t xml:space="preserve">Low Voltage Ride-Through is Too Important; Punishing a Few Hurts the Market </w:t>
      </w:r>
    </w:p>
    <w:p w14:paraId="5696D74F" w14:textId="66FEA9A2" w:rsidR="002255C7" w:rsidRPr="002255C7" w:rsidRDefault="002255C7" w:rsidP="002255C7">
      <w:pPr>
        <w:pStyle w:val="NormalArial"/>
        <w:spacing w:before="120" w:after="120"/>
      </w:pPr>
      <w:r w:rsidRPr="002255C7">
        <w:t>Large Flexible Loads (</w:t>
      </w:r>
      <w:r>
        <w:t>“</w:t>
      </w:r>
      <w:r w:rsidRPr="002255C7">
        <w:t>LFLs</w:t>
      </w:r>
      <w:r>
        <w:t>”</w:t>
      </w:r>
      <w:r w:rsidRPr="002255C7">
        <w:t xml:space="preserve">) serve as a cornerstone of grid stability in Texas. As ERCOT leadership has affirmed in Legislative testimony, and even most recently during Winter Storm Fern, these loads perform a dual function essential to maintaining both economic viability and operational reliability across the system. During periods of excess supply, LFLs absorb substantial volumes of low-cost generation, preserving market conditions that keep thermal generation assets economically viable and available when demand surges. When grid stress occurs, these same loads can curtail operations rapidly, providing immediate demand relief and safeguarding service continuity for residential and critical-use customers. </w:t>
      </w:r>
    </w:p>
    <w:p w14:paraId="73CECC5C" w14:textId="71EAEBDB" w:rsidR="002255C7" w:rsidRPr="002255C7" w:rsidRDefault="002255C7" w:rsidP="002255C7">
      <w:pPr>
        <w:pStyle w:val="NormalArial"/>
        <w:spacing w:before="120" w:after="120"/>
      </w:pPr>
      <w:r w:rsidRPr="002255C7">
        <w:t xml:space="preserve">Preserving these benefits requires regulatory frameworks that enable Large Flexible Loads (LFLs) to remain operational and economically viable participants in the ERCOT market. The </w:t>
      </w:r>
      <w:r>
        <w:t>l</w:t>
      </w:r>
      <w:r w:rsidRPr="002255C7">
        <w:t xml:space="preserve">ow </w:t>
      </w:r>
      <w:r>
        <w:t>v</w:t>
      </w:r>
      <w:r w:rsidRPr="002255C7">
        <w:t xml:space="preserve">oltage </w:t>
      </w:r>
      <w:r>
        <w:t>r</w:t>
      </w:r>
      <w:r w:rsidRPr="002255C7">
        <w:t>ide</w:t>
      </w:r>
      <w:r>
        <w:t>-t</w:t>
      </w:r>
      <w:r w:rsidRPr="002255C7">
        <w:t>hrough (</w:t>
      </w:r>
      <w:r>
        <w:t>“</w:t>
      </w:r>
      <w:r w:rsidRPr="002255C7">
        <w:t>LVRT</w:t>
      </w:r>
      <w:r>
        <w:t>”</w:t>
      </w:r>
      <w:r w:rsidRPr="002255C7">
        <w:t xml:space="preserve">) requirements recently proposed by ERCOT’s Large Load Working Group (LLWG) are a constructive step toward ensuring system stability as </w:t>
      </w:r>
      <w:r w:rsidR="00DC19DD">
        <w:t>L</w:t>
      </w:r>
      <w:r w:rsidRPr="002255C7">
        <w:t xml:space="preserve">arge </w:t>
      </w:r>
      <w:r w:rsidR="00DC19DD">
        <w:t>E</w:t>
      </w:r>
      <w:r w:rsidRPr="002255C7">
        <w:t xml:space="preserve">lectronic </w:t>
      </w:r>
      <w:r w:rsidR="00DC19DD">
        <w:t>L</w:t>
      </w:r>
      <w:r w:rsidRPr="002255C7">
        <w:t xml:space="preserve">oads </w:t>
      </w:r>
      <w:r w:rsidR="00DC19DD">
        <w:t xml:space="preserve">(LELs) </w:t>
      </w:r>
      <w:r w:rsidRPr="002255C7">
        <w:t xml:space="preserve">continue to grow across Texas. We support the overall objective of improving grid reliability and recognize the importance of ensuring that LFLs behave in a predictable and supportive manner during system disturbances. </w:t>
      </w:r>
    </w:p>
    <w:p w14:paraId="135F8C3D" w14:textId="5F82DD61" w:rsidR="002255C7" w:rsidRPr="002255C7" w:rsidRDefault="002255C7" w:rsidP="002255C7">
      <w:pPr>
        <w:pStyle w:val="NormalArial"/>
        <w:spacing w:before="120" w:after="120"/>
      </w:pPr>
      <w:r w:rsidRPr="002255C7">
        <w:t xml:space="preserve">Based on current engineering data and manufacturer input, we believe that much of the proposed framework is achievable. Existing facilities and currently deployed hardware can meet the proposed frequency ride-through requirements and the voltage ride-through requirements in normal and moderate disturbance ranges (generally ≥0.8 </w:t>
      </w:r>
      <w:proofErr w:type="spellStart"/>
      <w:r w:rsidRPr="002255C7">
        <w:t>p</w:t>
      </w:r>
      <w:proofErr w:type="gramStart"/>
      <w:r w:rsidRPr="002255C7">
        <w:t>.u</w:t>
      </w:r>
      <w:proofErr w:type="spellEnd"/>
      <w:proofErr w:type="gramEnd"/>
      <w:r w:rsidRPr="002255C7">
        <w:t>.). We are committed to working with ERCOT to ensure compliance in these areas and to implementing site-level controls and operational practices that further support system reliability.</w:t>
      </w:r>
    </w:p>
    <w:p w14:paraId="1202CD29" w14:textId="7F52D2FC" w:rsidR="002255C7" w:rsidRPr="002255C7" w:rsidRDefault="002255C7" w:rsidP="002255C7">
      <w:pPr>
        <w:pStyle w:val="NormalArial"/>
        <w:spacing w:before="120" w:after="120"/>
      </w:pPr>
      <w:r w:rsidRPr="002255C7">
        <w:lastRenderedPageBreak/>
        <w:t xml:space="preserve">However, there are limited portions of the proposed standards, specifically certain deep voltage sag ride-through durations below approximately 0.8 </w:t>
      </w:r>
      <w:proofErr w:type="spellStart"/>
      <w:r w:rsidRPr="002255C7">
        <w:t>p</w:t>
      </w:r>
      <w:proofErr w:type="gramStart"/>
      <w:r w:rsidRPr="002255C7">
        <w:t>.u</w:t>
      </w:r>
      <w:proofErr w:type="spellEnd"/>
      <w:proofErr w:type="gramEnd"/>
      <w:r w:rsidRPr="002255C7">
        <w:t>., that are not fully achievable. While manufacturers are actively developing modifications to address these conditions, these solutions are still in progress and will require time for testing, validation, and deployment across existing fleets.</w:t>
      </w:r>
    </w:p>
    <w:p w14:paraId="108548D5" w14:textId="77777777" w:rsidR="002255C7" w:rsidRPr="002255C7" w:rsidRDefault="002255C7" w:rsidP="002255C7">
      <w:pPr>
        <w:pStyle w:val="NormalArial"/>
        <w:spacing w:before="120" w:after="120"/>
      </w:pPr>
      <w:r w:rsidRPr="002255C7">
        <w:rPr>
          <w:b/>
          <w:bCs/>
        </w:rPr>
        <w:t xml:space="preserve">Internal Testing </w:t>
      </w:r>
    </w:p>
    <w:p w14:paraId="6447C9ED" w14:textId="77777777" w:rsidR="002255C7" w:rsidRPr="002255C7" w:rsidRDefault="002255C7" w:rsidP="002255C7">
      <w:pPr>
        <w:pStyle w:val="NormalArial"/>
        <w:spacing w:before="120" w:after="120"/>
      </w:pPr>
      <w:r w:rsidRPr="002255C7">
        <w:t xml:space="preserve">Using a Preen AFV-P-5000 Programmable AC Power Supply, one of our member’s engineers tested four representative mining units selected from a production batch of over 50,000 units based on engineering commonality and performance, executing 50 test runs per unit: 25 runs in normal operation mode and 25 runs in the economic power reduction setting. </w:t>
      </w:r>
    </w:p>
    <w:p w14:paraId="35A3CF66" w14:textId="32C964CD" w:rsidR="002255C7" w:rsidRDefault="002255C7" w:rsidP="002255C7">
      <w:pPr>
        <w:pStyle w:val="NormalArial"/>
        <w:spacing w:before="120" w:after="240"/>
      </w:pPr>
      <w:r w:rsidRPr="002255C7">
        <w:t>Below is the result table mapped to the format provided by ERCOT, demonstrating the hardware ride-through capabilities of these device classes. These real-world test results were generally consistent with manufacturer specifications, though observed ride-through durations were shorter in practice than nominal manufacturer data:</w:t>
      </w:r>
    </w:p>
    <w:tbl>
      <w:tblPr>
        <w:tblStyle w:val="TableGrid"/>
        <w:tblW w:w="0" w:type="auto"/>
        <w:tblLook w:val="04A0" w:firstRow="1" w:lastRow="0" w:firstColumn="1" w:lastColumn="0" w:noHBand="0" w:noVBand="1"/>
      </w:tblPr>
      <w:tblGrid>
        <w:gridCol w:w="3235"/>
        <w:gridCol w:w="3420"/>
      </w:tblGrid>
      <w:tr w:rsidR="002255C7" w14:paraId="085C5859" w14:textId="77777777" w:rsidTr="001742FA">
        <w:tc>
          <w:tcPr>
            <w:tcW w:w="3235" w:type="dxa"/>
            <w:shd w:val="clear" w:color="auto" w:fill="C1E4F5" w:themeFill="accent1" w:themeFillTint="33"/>
          </w:tcPr>
          <w:p w14:paraId="7D727382" w14:textId="0E21C628" w:rsidR="002255C7" w:rsidRDefault="002255C7" w:rsidP="002255C7">
            <w:pPr>
              <w:pStyle w:val="NormalArial"/>
              <w:spacing w:before="120" w:after="120"/>
            </w:pPr>
            <w:r w:rsidRPr="002255C7">
              <w:t>Positive Sequence Voltage (</w:t>
            </w:r>
            <w:proofErr w:type="spellStart"/>
            <w:r w:rsidRPr="002255C7">
              <w:t>p.u</w:t>
            </w:r>
            <w:proofErr w:type="spellEnd"/>
            <w:r w:rsidRPr="002255C7">
              <w:t xml:space="preserve">. of nominal) </w:t>
            </w:r>
          </w:p>
        </w:tc>
        <w:tc>
          <w:tcPr>
            <w:tcW w:w="3420" w:type="dxa"/>
            <w:shd w:val="clear" w:color="auto" w:fill="C1E4F5" w:themeFill="accent1" w:themeFillTint="33"/>
          </w:tcPr>
          <w:p w14:paraId="77557126" w14:textId="77777777" w:rsidR="002255C7" w:rsidRPr="002255C7" w:rsidRDefault="002255C7" w:rsidP="002255C7">
            <w:pPr>
              <w:pStyle w:val="NormalArial"/>
              <w:spacing w:before="120" w:after="120"/>
            </w:pPr>
            <w:r w:rsidRPr="002255C7">
              <w:t xml:space="preserve">Minimum Ride-Through Time </w:t>
            </w:r>
          </w:p>
          <w:p w14:paraId="13D25D92" w14:textId="23E2AE4D" w:rsidR="002255C7" w:rsidRDefault="002255C7" w:rsidP="002255C7">
            <w:pPr>
              <w:pStyle w:val="NormalArial"/>
              <w:spacing w:before="120" w:after="120"/>
            </w:pPr>
            <w:r w:rsidRPr="002255C7">
              <w:t xml:space="preserve">(seconds) </w:t>
            </w:r>
          </w:p>
        </w:tc>
      </w:tr>
      <w:tr w:rsidR="002255C7" w14:paraId="09449131" w14:textId="77777777" w:rsidTr="001742FA">
        <w:tc>
          <w:tcPr>
            <w:tcW w:w="3235" w:type="dxa"/>
            <w:shd w:val="clear" w:color="auto" w:fill="DAE9F7" w:themeFill="text2" w:themeFillTint="1A"/>
          </w:tcPr>
          <w:p w14:paraId="59B60B8C" w14:textId="6708C1D3" w:rsidR="002255C7" w:rsidRDefault="002255C7" w:rsidP="002255C7">
            <w:pPr>
              <w:pStyle w:val="NormalArial"/>
              <w:spacing w:before="120" w:after="120"/>
            </w:pPr>
            <w:r w:rsidRPr="002255C7">
              <w:t xml:space="preserve">V &gt; 1.20 </w:t>
            </w:r>
          </w:p>
        </w:tc>
        <w:tc>
          <w:tcPr>
            <w:tcW w:w="3420" w:type="dxa"/>
            <w:shd w:val="clear" w:color="auto" w:fill="DAE9F7" w:themeFill="text2" w:themeFillTint="1A"/>
          </w:tcPr>
          <w:p w14:paraId="37E5E30F" w14:textId="7270720B" w:rsidR="002255C7" w:rsidRDefault="002255C7" w:rsidP="002255C7">
            <w:pPr>
              <w:pStyle w:val="NormalArial"/>
              <w:spacing w:before="120" w:after="120"/>
            </w:pPr>
            <w:r w:rsidRPr="002255C7">
              <w:t xml:space="preserve">May ride-through or trip </w:t>
            </w:r>
          </w:p>
        </w:tc>
      </w:tr>
      <w:tr w:rsidR="002255C7" w14:paraId="21CF9F7B" w14:textId="77777777" w:rsidTr="001742FA">
        <w:tc>
          <w:tcPr>
            <w:tcW w:w="3235" w:type="dxa"/>
            <w:shd w:val="clear" w:color="auto" w:fill="DAE9F7" w:themeFill="text2" w:themeFillTint="1A"/>
          </w:tcPr>
          <w:p w14:paraId="2682B701" w14:textId="051FED13" w:rsidR="002255C7" w:rsidRDefault="002255C7" w:rsidP="002255C7">
            <w:pPr>
              <w:pStyle w:val="NormalArial"/>
              <w:spacing w:before="120" w:after="120"/>
            </w:pPr>
            <w:r w:rsidRPr="002255C7">
              <w:t xml:space="preserve">1.10 &lt; V ≤ 1.20 </w:t>
            </w:r>
          </w:p>
        </w:tc>
        <w:tc>
          <w:tcPr>
            <w:tcW w:w="3420" w:type="dxa"/>
            <w:shd w:val="clear" w:color="auto" w:fill="DAE9F7" w:themeFill="text2" w:themeFillTint="1A"/>
          </w:tcPr>
          <w:p w14:paraId="7FB36FA9" w14:textId="2BDAD1A9" w:rsidR="002255C7" w:rsidRDefault="002255C7" w:rsidP="002255C7">
            <w:pPr>
              <w:pStyle w:val="NormalArial"/>
              <w:spacing w:before="120" w:after="120"/>
            </w:pPr>
            <w:r w:rsidRPr="002255C7">
              <w:t xml:space="preserve">Continuous </w:t>
            </w:r>
          </w:p>
        </w:tc>
      </w:tr>
      <w:tr w:rsidR="002255C7" w14:paraId="7C2C4152" w14:textId="77777777" w:rsidTr="001742FA">
        <w:tc>
          <w:tcPr>
            <w:tcW w:w="3235" w:type="dxa"/>
            <w:shd w:val="clear" w:color="auto" w:fill="DAE9F7" w:themeFill="text2" w:themeFillTint="1A"/>
          </w:tcPr>
          <w:p w14:paraId="3525F98A" w14:textId="0808D7A9" w:rsidR="002255C7" w:rsidRDefault="002255C7" w:rsidP="002255C7">
            <w:pPr>
              <w:pStyle w:val="NormalArial"/>
              <w:spacing w:before="120" w:after="120"/>
            </w:pPr>
            <w:r w:rsidRPr="002255C7">
              <w:t xml:space="preserve">0.90 ≤ V ≤ 1.10 </w:t>
            </w:r>
          </w:p>
        </w:tc>
        <w:tc>
          <w:tcPr>
            <w:tcW w:w="3420" w:type="dxa"/>
            <w:shd w:val="clear" w:color="auto" w:fill="DAE9F7" w:themeFill="text2" w:themeFillTint="1A"/>
          </w:tcPr>
          <w:p w14:paraId="0CE30465" w14:textId="5B8B59D0" w:rsidR="002255C7" w:rsidRDefault="002255C7" w:rsidP="002255C7">
            <w:pPr>
              <w:pStyle w:val="NormalArial"/>
              <w:spacing w:before="120" w:after="120"/>
            </w:pPr>
            <w:r w:rsidRPr="002255C7">
              <w:t xml:space="preserve">Continuous </w:t>
            </w:r>
          </w:p>
        </w:tc>
      </w:tr>
      <w:tr w:rsidR="002255C7" w14:paraId="433626AF" w14:textId="77777777" w:rsidTr="001742FA">
        <w:tc>
          <w:tcPr>
            <w:tcW w:w="3235" w:type="dxa"/>
            <w:shd w:val="clear" w:color="auto" w:fill="DAE9F7" w:themeFill="text2" w:themeFillTint="1A"/>
          </w:tcPr>
          <w:p w14:paraId="606BBD60" w14:textId="0C015E14" w:rsidR="002255C7" w:rsidRPr="002255C7" w:rsidRDefault="002255C7" w:rsidP="002255C7">
            <w:pPr>
              <w:pStyle w:val="NormalArial"/>
              <w:spacing w:before="120" w:after="120"/>
            </w:pPr>
            <w:r w:rsidRPr="002255C7">
              <w:t xml:space="preserve">0.80 ≤ V &lt; 0.90 </w:t>
            </w:r>
          </w:p>
        </w:tc>
        <w:tc>
          <w:tcPr>
            <w:tcW w:w="3420" w:type="dxa"/>
            <w:shd w:val="clear" w:color="auto" w:fill="DAE9F7" w:themeFill="text2" w:themeFillTint="1A"/>
          </w:tcPr>
          <w:p w14:paraId="204CF3EA" w14:textId="2B82CCC1" w:rsidR="002255C7" w:rsidRPr="002255C7" w:rsidRDefault="002255C7" w:rsidP="002255C7">
            <w:pPr>
              <w:pStyle w:val="NormalArial"/>
              <w:spacing w:before="120" w:after="120"/>
            </w:pPr>
            <w:r w:rsidRPr="002255C7">
              <w:t xml:space="preserve">Continuous </w:t>
            </w:r>
          </w:p>
        </w:tc>
      </w:tr>
      <w:tr w:rsidR="002255C7" w14:paraId="5B0C49A7" w14:textId="77777777" w:rsidTr="001742FA">
        <w:tc>
          <w:tcPr>
            <w:tcW w:w="3235" w:type="dxa"/>
            <w:shd w:val="clear" w:color="auto" w:fill="DAE9F7" w:themeFill="text2" w:themeFillTint="1A"/>
          </w:tcPr>
          <w:p w14:paraId="7E31AAF1" w14:textId="13A6DA76" w:rsidR="002255C7" w:rsidRPr="002255C7" w:rsidRDefault="002255C7" w:rsidP="002255C7">
            <w:pPr>
              <w:pStyle w:val="NormalArial"/>
              <w:spacing w:before="120" w:after="120"/>
            </w:pPr>
            <w:r w:rsidRPr="002255C7">
              <w:t xml:space="preserve">0.50 ≤ V &lt; 0.80 </w:t>
            </w:r>
          </w:p>
        </w:tc>
        <w:tc>
          <w:tcPr>
            <w:tcW w:w="3420" w:type="dxa"/>
            <w:shd w:val="clear" w:color="auto" w:fill="DAE9F7" w:themeFill="text2" w:themeFillTint="1A"/>
          </w:tcPr>
          <w:p w14:paraId="5277DAA8" w14:textId="0317A49B" w:rsidR="002255C7" w:rsidRPr="002255C7" w:rsidRDefault="002255C7" w:rsidP="002255C7">
            <w:pPr>
              <w:pStyle w:val="NormalArial"/>
              <w:spacing w:before="120" w:after="120"/>
            </w:pPr>
            <w:r w:rsidRPr="002255C7">
              <w:t xml:space="preserve">0.0273 </w:t>
            </w:r>
          </w:p>
        </w:tc>
      </w:tr>
      <w:tr w:rsidR="002255C7" w14:paraId="7D404E83" w14:textId="77777777" w:rsidTr="001742FA">
        <w:tc>
          <w:tcPr>
            <w:tcW w:w="3235" w:type="dxa"/>
            <w:shd w:val="clear" w:color="auto" w:fill="DAE9F7" w:themeFill="text2" w:themeFillTint="1A"/>
          </w:tcPr>
          <w:p w14:paraId="48D2F48E" w14:textId="0B34C03F" w:rsidR="002255C7" w:rsidRDefault="002255C7" w:rsidP="002255C7">
            <w:pPr>
              <w:pStyle w:val="NormalArial"/>
              <w:spacing w:before="120" w:after="120"/>
            </w:pPr>
            <w:r w:rsidRPr="002255C7">
              <w:t xml:space="preserve">0.20 ≤ V &lt; 0.50 </w:t>
            </w:r>
          </w:p>
        </w:tc>
        <w:tc>
          <w:tcPr>
            <w:tcW w:w="3420" w:type="dxa"/>
            <w:shd w:val="clear" w:color="auto" w:fill="DAE9F7" w:themeFill="text2" w:themeFillTint="1A"/>
          </w:tcPr>
          <w:p w14:paraId="5FFCB889" w14:textId="3C0CD9E9" w:rsidR="002255C7" w:rsidRDefault="002255C7" w:rsidP="002255C7">
            <w:pPr>
              <w:pStyle w:val="NormalArial"/>
              <w:spacing w:before="120" w:after="120"/>
            </w:pPr>
            <w:r w:rsidRPr="002255C7">
              <w:t xml:space="preserve">0.0128 </w:t>
            </w:r>
          </w:p>
        </w:tc>
      </w:tr>
      <w:tr w:rsidR="002255C7" w14:paraId="59328417" w14:textId="77777777" w:rsidTr="001742FA">
        <w:tc>
          <w:tcPr>
            <w:tcW w:w="3235" w:type="dxa"/>
            <w:shd w:val="clear" w:color="auto" w:fill="DAE9F7" w:themeFill="text2" w:themeFillTint="1A"/>
          </w:tcPr>
          <w:p w14:paraId="2710E343" w14:textId="1C7B2B9C" w:rsidR="002255C7" w:rsidRPr="002255C7" w:rsidRDefault="002255C7" w:rsidP="002255C7">
            <w:pPr>
              <w:pStyle w:val="NormalArial"/>
              <w:spacing w:before="120" w:after="120"/>
            </w:pPr>
            <w:r w:rsidRPr="002255C7">
              <w:t xml:space="preserve">V &lt; 0.20 </w:t>
            </w:r>
          </w:p>
        </w:tc>
        <w:tc>
          <w:tcPr>
            <w:tcW w:w="3420" w:type="dxa"/>
            <w:shd w:val="clear" w:color="auto" w:fill="DAE9F7" w:themeFill="text2" w:themeFillTint="1A"/>
          </w:tcPr>
          <w:p w14:paraId="4DEB5BED" w14:textId="3773529C" w:rsidR="002255C7" w:rsidRPr="002255C7" w:rsidRDefault="002255C7" w:rsidP="002255C7">
            <w:pPr>
              <w:pStyle w:val="NormalArial"/>
              <w:spacing w:before="120" w:after="120"/>
            </w:pPr>
            <w:r w:rsidRPr="002255C7">
              <w:t xml:space="preserve">0 </w:t>
            </w:r>
          </w:p>
        </w:tc>
      </w:tr>
    </w:tbl>
    <w:p w14:paraId="418030EC" w14:textId="64BA089E" w:rsidR="002255C7" w:rsidRPr="002255C7" w:rsidRDefault="002255C7" w:rsidP="002255C7">
      <w:pPr>
        <w:pStyle w:val="NormalArial"/>
        <w:spacing w:before="240" w:after="120"/>
      </w:pPr>
      <w:r w:rsidRPr="002255C7">
        <w:t xml:space="preserve">A recent Texas A&amp;M / IEEE study modeling and validating LVRT behavior of commercial ASIC mining equipment against laboratory hardware closely aligns with both manufacturer specifications and the internal testing summarized above. </w:t>
      </w:r>
      <w:r w:rsidRPr="002255C7">
        <w:rPr>
          <w:i/>
          <w:iCs/>
        </w:rPr>
        <w:t xml:space="preserve">Source: Samanta et al., “Electromagnetic Transient Model of Cryptocurrency Mining Loads for Low-Voltage Ride Through Assessment in Transmission Grids,” Texas A&amp;M University / IEEE, 2023. </w:t>
      </w:r>
    </w:p>
    <w:p w14:paraId="50301A5E" w14:textId="64338EF9" w:rsidR="002255C7" w:rsidRDefault="002255C7" w:rsidP="002255C7">
      <w:pPr>
        <w:pStyle w:val="NormalArial"/>
        <w:spacing w:before="120" w:after="240"/>
      </w:pPr>
      <w:r w:rsidRPr="002255C7">
        <w:t>In addition, specifications can align with ERCOT’s proposals with regards to frequency disturbances:</w:t>
      </w:r>
    </w:p>
    <w:tbl>
      <w:tblPr>
        <w:tblStyle w:val="TableGrid"/>
        <w:tblW w:w="0" w:type="auto"/>
        <w:tblLook w:val="04A0" w:firstRow="1" w:lastRow="0" w:firstColumn="1" w:lastColumn="0" w:noHBand="0" w:noVBand="1"/>
      </w:tblPr>
      <w:tblGrid>
        <w:gridCol w:w="3235"/>
        <w:gridCol w:w="3420"/>
      </w:tblGrid>
      <w:tr w:rsidR="002255C7" w14:paraId="53A5F2E0" w14:textId="77777777" w:rsidTr="002255C7">
        <w:tc>
          <w:tcPr>
            <w:tcW w:w="3235" w:type="dxa"/>
            <w:shd w:val="clear" w:color="auto" w:fill="C1E4F5" w:themeFill="accent1" w:themeFillTint="33"/>
          </w:tcPr>
          <w:p w14:paraId="4E40E339" w14:textId="6B1B3506" w:rsidR="002255C7" w:rsidRDefault="002255C7" w:rsidP="002255C7">
            <w:pPr>
              <w:pStyle w:val="NormalArial"/>
              <w:spacing w:before="120" w:after="120"/>
            </w:pPr>
            <w:r w:rsidRPr="002255C7">
              <w:lastRenderedPageBreak/>
              <w:t xml:space="preserve">Frequency (Hz) </w:t>
            </w:r>
          </w:p>
        </w:tc>
        <w:tc>
          <w:tcPr>
            <w:tcW w:w="3420" w:type="dxa"/>
            <w:shd w:val="clear" w:color="auto" w:fill="C1E4F5" w:themeFill="accent1" w:themeFillTint="33"/>
          </w:tcPr>
          <w:p w14:paraId="0DCE1780" w14:textId="77777777" w:rsidR="002255C7" w:rsidRPr="002255C7" w:rsidRDefault="002255C7" w:rsidP="002255C7">
            <w:pPr>
              <w:pStyle w:val="NormalArial"/>
              <w:spacing w:before="120" w:after="120"/>
            </w:pPr>
            <w:r w:rsidRPr="002255C7">
              <w:t xml:space="preserve">Minimum Ride-Through Time </w:t>
            </w:r>
          </w:p>
          <w:p w14:paraId="2A59D750" w14:textId="366847C4" w:rsidR="002255C7" w:rsidRDefault="002255C7" w:rsidP="002255C7">
            <w:pPr>
              <w:pStyle w:val="NormalArial"/>
              <w:spacing w:before="120" w:after="120"/>
            </w:pPr>
            <w:r w:rsidRPr="002255C7">
              <w:t xml:space="preserve">(seconds) </w:t>
            </w:r>
          </w:p>
        </w:tc>
      </w:tr>
      <w:tr w:rsidR="002255C7" w14:paraId="7DAC7FBF" w14:textId="77777777" w:rsidTr="002255C7">
        <w:tc>
          <w:tcPr>
            <w:tcW w:w="3235" w:type="dxa"/>
            <w:shd w:val="clear" w:color="auto" w:fill="DAE9F7" w:themeFill="text2" w:themeFillTint="1A"/>
          </w:tcPr>
          <w:p w14:paraId="20635AE9" w14:textId="599601DE" w:rsidR="002255C7" w:rsidRDefault="002255C7" w:rsidP="002255C7">
            <w:pPr>
              <w:pStyle w:val="NormalArial"/>
              <w:spacing w:before="120" w:after="120"/>
            </w:pPr>
            <w:r w:rsidRPr="002255C7">
              <w:t xml:space="preserve">f &gt; 61.8 </w:t>
            </w:r>
          </w:p>
        </w:tc>
        <w:tc>
          <w:tcPr>
            <w:tcW w:w="3420" w:type="dxa"/>
            <w:shd w:val="clear" w:color="auto" w:fill="DAE9F7" w:themeFill="text2" w:themeFillTint="1A"/>
          </w:tcPr>
          <w:p w14:paraId="1EA366D3" w14:textId="6AD28F6B" w:rsidR="002255C7" w:rsidRDefault="002255C7" w:rsidP="002255C7">
            <w:pPr>
              <w:pStyle w:val="NormalArial"/>
              <w:spacing w:before="120" w:after="120"/>
            </w:pPr>
            <w:r w:rsidRPr="002255C7">
              <w:t xml:space="preserve">May ride-through or trip </w:t>
            </w:r>
          </w:p>
        </w:tc>
      </w:tr>
      <w:tr w:rsidR="002255C7" w14:paraId="2CA419D0" w14:textId="77777777" w:rsidTr="002255C7">
        <w:tc>
          <w:tcPr>
            <w:tcW w:w="3235" w:type="dxa"/>
            <w:shd w:val="clear" w:color="auto" w:fill="DAE9F7" w:themeFill="text2" w:themeFillTint="1A"/>
          </w:tcPr>
          <w:p w14:paraId="5DADAD15" w14:textId="2AD4D9AF" w:rsidR="002255C7" w:rsidRDefault="002255C7" w:rsidP="002255C7">
            <w:pPr>
              <w:pStyle w:val="NormalArial"/>
              <w:spacing w:before="120" w:after="120"/>
            </w:pPr>
            <w:r w:rsidRPr="002255C7">
              <w:t xml:space="preserve">61.2 &lt; f ≤ 61.8 </w:t>
            </w:r>
          </w:p>
        </w:tc>
        <w:tc>
          <w:tcPr>
            <w:tcW w:w="3420" w:type="dxa"/>
            <w:shd w:val="clear" w:color="auto" w:fill="DAE9F7" w:themeFill="text2" w:themeFillTint="1A"/>
          </w:tcPr>
          <w:p w14:paraId="6AD5F1A4" w14:textId="42AFD1EF" w:rsidR="002255C7" w:rsidRDefault="002255C7" w:rsidP="002255C7">
            <w:pPr>
              <w:pStyle w:val="NormalArial"/>
              <w:spacing w:before="120" w:after="120"/>
            </w:pPr>
            <w:r w:rsidRPr="002255C7">
              <w:t xml:space="preserve">&gt; 299 </w:t>
            </w:r>
          </w:p>
        </w:tc>
      </w:tr>
      <w:tr w:rsidR="002255C7" w14:paraId="7DA9D06D" w14:textId="77777777" w:rsidTr="002255C7">
        <w:tc>
          <w:tcPr>
            <w:tcW w:w="3235" w:type="dxa"/>
            <w:shd w:val="clear" w:color="auto" w:fill="DAE9F7" w:themeFill="text2" w:themeFillTint="1A"/>
          </w:tcPr>
          <w:p w14:paraId="2E7F1682" w14:textId="6E15A2FA" w:rsidR="002255C7" w:rsidRDefault="002255C7" w:rsidP="002255C7">
            <w:pPr>
              <w:pStyle w:val="NormalArial"/>
              <w:spacing w:before="120" w:after="120"/>
            </w:pPr>
            <w:r w:rsidRPr="002255C7">
              <w:t xml:space="preserve">58.8 ≤ f ≤ 61.2 </w:t>
            </w:r>
          </w:p>
        </w:tc>
        <w:tc>
          <w:tcPr>
            <w:tcW w:w="3420" w:type="dxa"/>
            <w:shd w:val="clear" w:color="auto" w:fill="DAE9F7" w:themeFill="text2" w:themeFillTint="1A"/>
          </w:tcPr>
          <w:p w14:paraId="5C8F39D0" w14:textId="4F1A32E7" w:rsidR="002255C7" w:rsidRDefault="002255C7" w:rsidP="002255C7">
            <w:pPr>
              <w:pStyle w:val="NormalArial"/>
              <w:spacing w:before="120" w:after="120"/>
            </w:pPr>
            <w:r w:rsidRPr="002255C7">
              <w:t xml:space="preserve">Continuous </w:t>
            </w:r>
          </w:p>
        </w:tc>
      </w:tr>
      <w:tr w:rsidR="002255C7" w14:paraId="24A7734D" w14:textId="77777777" w:rsidTr="002255C7">
        <w:tc>
          <w:tcPr>
            <w:tcW w:w="3235" w:type="dxa"/>
            <w:shd w:val="clear" w:color="auto" w:fill="DAE9F7" w:themeFill="text2" w:themeFillTint="1A"/>
          </w:tcPr>
          <w:p w14:paraId="76ADED11" w14:textId="3B1F98EB" w:rsidR="002255C7" w:rsidRDefault="002255C7" w:rsidP="002255C7">
            <w:pPr>
              <w:pStyle w:val="NormalArial"/>
              <w:spacing w:before="120" w:after="120"/>
            </w:pPr>
            <w:r w:rsidRPr="002255C7">
              <w:t xml:space="preserve">57.0 ≤ f &lt; 58.8 </w:t>
            </w:r>
          </w:p>
        </w:tc>
        <w:tc>
          <w:tcPr>
            <w:tcW w:w="3420" w:type="dxa"/>
            <w:shd w:val="clear" w:color="auto" w:fill="DAE9F7" w:themeFill="text2" w:themeFillTint="1A"/>
          </w:tcPr>
          <w:p w14:paraId="096C8E9B" w14:textId="463A3069" w:rsidR="002255C7" w:rsidRDefault="002255C7" w:rsidP="002255C7">
            <w:pPr>
              <w:pStyle w:val="NormalArial"/>
              <w:spacing w:before="120" w:after="120"/>
            </w:pPr>
            <w:r w:rsidRPr="002255C7">
              <w:t xml:space="preserve">&gt; 299 </w:t>
            </w:r>
          </w:p>
        </w:tc>
      </w:tr>
      <w:tr w:rsidR="002255C7" w14:paraId="797E5608" w14:textId="77777777" w:rsidTr="002255C7">
        <w:tc>
          <w:tcPr>
            <w:tcW w:w="3235" w:type="dxa"/>
            <w:shd w:val="clear" w:color="auto" w:fill="DAE9F7" w:themeFill="text2" w:themeFillTint="1A"/>
          </w:tcPr>
          <w:p w14:paraId="233ED74A" w14:textId="0F564E71" w:rsidR="002255C7" w:rsidRPr="002255C7" w:rsidRDefault="002255C7" w:rsidP="002255C7">
            <w:pPr>
              <w:pStyle w:val="NormalArial"/>
              <w:spacing w:before="120" w:after="120"/>
            </w:pPr>
            <w:r>
              <w:t>f &lt; 57.0</w:t>
            </w:r>
          </w:p>
        </w:tc>
        <w:tc>
          <w:tcPr>
            <w:tcW w:w="3420" w:type="dxa"/>
            <w:shd w:val="clear" w:color="auto" w:fill="DAE9F7" w:themeFill="text2" w:themeFillTint="1A"/>
          </w:tcPr>
          <w:p w14:paraId="3CD604AE" w14:textId="4214189C" w:rsidR="002255C7" w:rsidRPr="002255C7" w:rsidRDefault="002255C7" w:rsidP="002255C7">
            <w:pPr>
              <w:pStyle w:val="NormalArial"/>
              <w:spacing w:before="120" w:after="120"/>
            </w:pPr>
            <w:r>
              <w:t>May ride-through or trip</w:t>
            </w:r>
          </w:p>
        </w:tc>
      </w:tr>
    </w:tbl>
    <w:p w14:paraId="23112EE0" w14:textId="7667F3C8" w:rsidR="002255C7" w:rsidRPr="002255C7" w:rsidRDefault="002255C7" w:rsidP="002255C7">
      <w:pPr>
        <w:pStyle w:val="NormalArial"/>
        <w:spacing w:before="240" w:after="120"/>
      </w:pPr>
      <w:r w:rsidRPr="002255C7">
        <w:t xml:space="preserve">Proposed mitigation approaches such as installing dedicated battery storage at each LFL are neither practical nor economical at scale. While battery solutions have been suggested, we are not aware of any that have been successfully tested or deployed at the scale required for </w:t>
      </w:r>
      <w:r w:rsidR="00DC19DD">
        <w:t>LELs</w:t>
      </w:r>
      <w:r w:rsidRPr="002255C7">
        <w:t xml:space="preserve">. Even if pursued, mandating dedicated batteries for each facility would be unlikely to fully resolve the underlying technical challenges and would impose substantial costs, currently estimated at more than $1.6 million per MW, making such an approach economically prohibitive for most operations. </w:t>
      </w:r>
    </w:p>
    <w:p w14:paraId="6540105A" w14:textId="77777777" w:rsidR="002255C7" w:rsidRPr="002255C7" w:rsidRDefault="002255C7" w:rsidP="002255C7">
      <w:pPr>
        <w:pStyle w:val="NormalArial"/>
        <w:spacing w:before="120" w:after="120"/>
      </w:pPr>
      <w:r w:rsidRPr="002255C7">
        <w:t xml:space="preserve">In the near term, as additional battery energy storage systems (BESS) come online across ERCOT, there may be meaningful opportunities for collaboration between large electronic loads (LELs) and nearby BESS operators to enhance system resilience during voltage disturbances. In certain locations where BESS facilities are geographically proximate to LELs, coordinated operational approaches or bilateral arrangements could help mitigate the system impacts of low-voltage events by providing localized support during disturbances. </w:t>
      </w:r>
    </w:p>
    <w:p w14:paraId="57B51EFD" w14:textId="65C049C0" w:rsidR="002255C7" w:rsidRPr="002255C7" w:rsidRDefault="002255C7" w:rsidP="002255C7">
      <w:pPr>
        <w:pStyle w:val="NormalArial"/>
        <w:spacing w:before="120" w:after="120"/>
      </w:pPr>
      <w:r w:rsidRPr="002255C7">
        <w:t>We are currently exploring the feasibility of identifying a West Texas location where an LEL and a nearby BESS operator could evaluate this concept through a pilot effort. We would welcome ERCOT’s participation in observing and providing technical guidance as this work develops. While the creation of a formal ancillary service tailored to this purpose may require additional time and market development, voluntary coordination between LELs and proximate BESS operators represents a practical near-term pathway to explore solutions that support grid reliability while remaining operationally and economically realistic.</w:t>
      </w:r>
    </w:p>
    <w:p w14:paraId="5A72A7CD" w14:textId="77777777" w:rsidR="002255C7" w:rsidRPr="002255C7" w:rsidRDefault="002255C7" w:rsidP="002255C7">
      <w:pPr>
        <w:pStyle w:val="NormalArial"/>
        <w:spacing w:before="120" w:after="120"/>
      </w:pPr>
      <w:r w:rsidRPr="002255C7">
        <w:rPr>
          <w:b/>
          <w:bCs/>
        </w:rPr>
        <w:t xml:space="preserve">Computational LFLs Want to be Part of the Solution </w:t>
      </w:r>
    </w:p>
    <w:p w14:paraId="002C7531" w14:textId="7B9C3FC8" w:rsidR="002255C7" w:rsidRDefault="002255C7" w:rsidP="002255C7">
      <w:pPr>
        <w:pStyle w:val="NormalArial"/>
        <w:spacing w:before="120" w:after="120"/>
      </w:pPr>
      <w:r w:rsidRPr="002255C7">
        <w:t xml:space="preserve">Across the state, LFLs provide thousands of jobs and pay millions in taxes every year. More importantly, LFLs are active participants in ERCOT’s many reliability programs that protect residential and small-business customers in large and small cities. We agree that Low Voltage Ride-Through is an important initiative and a viable solid Texas plan would both increase the security of the Grid and serve as an economic model for the rest of the country. We respectfully offer to work collaboratively with ERCOT to </w:t>
      </w:r>
      <w:r w:rsidRPr="002255C7">
        <w:lastRenderedPageBreak/>
        <w:t>conduct joint engineering and economic feasibility assessments and to establish a forward-looking implementation roadmap that achieves reliability objectives without undermining the operational viability of these resources. Finally, we also request clarification as to whether existing, currently operating LFLs will be subject to newly proposed LVRT requirements, as regulatory certainty on this point is essential for ongoing operations and future investment decisions.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7997F37A" w14:textId="77777777" w:rsidTr="004D37D7">
        <w:trPr>
          <w:trHeight w:val="350"/>
        </w:trPr>
        <w:tc>
          <w:tcPr>
            <w:tcW w:w="10440" w:type="dxa"/>
            <w:tcBorders>
              <w:bottom w:val="single" w:sz="4" w:space="0" w:color="auto"/>
            </w:tcBorders>
            <w:shd w:val="clear" w:color="auto" w:fill="FFFFFF"/>
            <w:vAlign w:val="center"/>
          </w:tcPr>
          <w:p w14:paraId="5AEAB7BF" w14:textId="77777777" w:rsidR="0055032D" w:rsidRDefault="0055032D" w:rsidP="0001014F">
            <w:pPr>
              <w:pStyle w:val="Header"/>
              <w:jc w:val="center"/>
            </w:pPr>
            <w:r>
              <w:t>Revised Cover Page Language</w:t>
            </w:r>
          </w:p>
        </w:tc>
      </w:tr>
    </w:tbl>
    <w:p w14:paraId="61FFA01E" w14:textId="5ECE0268" w:rsidR="00152993" w:rsidRDefault="0001014F" w:rsidP="0001014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2710D43" w14:textId="77777777">
        <w:trPr>
          <w:trHeight w:val="350"/>
        </w:trPr>
        <w:tc>
          <w:tcPr>
            <w:tcW w:w="10440" w:type="dxa"/>
            <w:tcBorders>
              <w:bottom w:val="single" w:sz="4" w:space="0" w:color="auto"/>
            </w:tcBorders>
            <w:shd w:val="clear" w:color="auto" w:fill="FFFFFF"/>
            <w:vAlign w:val="center"/>
          </w:tcPr>
          <w:p w14:paraId="26AE9403" w14:textId="77777777" w:rsidR="00152993" w:rsidRDefault="00152993" w:rsidP="0001014F">
            <w:pPr>
              <w:pStyle w:val="Header"/>
              <w:jc w:val="center"/>
            </w:pPr>
            <w:r>
              <w:t xml:space="preserve">Revised Proposed </w:t>
            </w:r>
            <w:r w:rsidR="00C158EE">
              <w:t xml:space="preserve">Guide </w:t>
            </w:r>
            <w:r>
              <w:t>Language</w:t>
            </w:r>
          </w:p>
        </w:tc>
      </w:tr>
    </w:tbl>
    <w:p w14:paraId="76324918" w14:textId="65BB98FD" w:rsidR="00152993" w:rsidRDefault="0001014F" w:rsidP="0001014F">
      <w:pPr>
        <w:pStyle w:val="NormalArial"/>
        <w:spacing w:before="120" w:after="120"/>
      </w:pPr>
      <w:r>
        <w:t>None</w:t>
      </w: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403C" w14:textId="77777777" w:rsidR="00F20E08" w:rsidRDefault="00F20E08">
      <w:r>
        <w:separator/>
      </w:r>
    </w:p>
  </w:endnote>
  <w:endnote w:type="continuationSeparator" w:id="0">
    <w:p w14:paraId="7CE5861D" w14:textId="77777777" w:rsidR="00F20E08" w:rsidRDefault="00F2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AD93" w14:textId="201A426C"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2255C7">
      <w:rPr>
        <w:rFonts w:ascii="Arial" w:hAnsi="Arial"/>
        <w:noProof/>
        <w:sz w:val="18"/>
      </w:rPr>
      <w:t>282NOGRR-11 Texas Blockchain Council Comments 021826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7B9DABB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AC4C" w14:textId="77777777" w:rsidR="00F20E08" w:rsidRDefault="00F20E08">
      <w:r>
        <w:separator/>
      </w:r>
    </w:p>
  </w:footnote>
  <w:footnote w:type="continuationSeparator" w:id="0">
    <w:p w14:paraId="35C8B3A8" w14:textId="77777777" w:rsidR="00F20E08" w:rsidRDefault="00F2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7BC8" w14:textId="77777777" w:rsidR="003D0994" w:rsidRDefault="00D825C5">
    <w:pPr>
      <w:pStyle w:val="Header"/>
      <w:jc w:val="center"/>
      <w:rPr>
        <w:sz w:val="32"/>
      </w:rPr>
    </w:pPr>
    <w:r>
      <w:rPr>
        <w:sz w:val="32"/>
      </w:rPr>
      <w:t>NOG</w:t>
    </w:r>
    <w:r w:rsidR="00C158EE">
      <w:rPr>
        <w:sz w:val="32"/>
      </w:rPr>
      <w:t xml:space="preserve">RR </w:t>
    </w:r>
    <w:r w:rsidR="003D0994">
      <w:rPr>
        <w:sz w:val="32"/>
      </w:rPr>
      <w:t>Comments</w:t>
    </w:r>
  </w:p>
  <w:p w14:paraId="013A5FEE"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4D49DA"/>
    <w:multiLevelType w:val="hybridMultilevel"/>
    <w:tmpl w:val="8EB07A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362D65"/>
    <w:multiLevelType w:val="hybridMultilevel"/>
    <w:tmpl w:val="5EBCDC00"/>
    <w:lvl w:ilvl="0" w:tplc="9B2C7B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B0ACB"/>
    <w:multiLevelType w:val="hybridMultilevel"/>
    <w:tmpl w:val="8594EE0E"/>
    <w:lvl w:ilvl="0" w:tplc="D93421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1684397">
    <w:abstractNumId w:val="0"/>
  </w:num>
  <w:num w:numId="2" w16cid:durableId="1780638007">
    <w:abstractNumId w:val="4"/>
  </w:num>
  <w:num w:numId="3" w16cid:durableId="1520122601">
    <w:abstractNumId w:val="2"/>
  </w:num>
  <w:num w:numId="4" w16cid:durableId="2057701478">
    <w:abstractNumId w:val="3"/>
  </w:num>
  <w:num w:numId="5" w16cid:durableId="199688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7226"/>
    <w:rsid w:val="0001014F"/>
    <w:rsid w:val="00012122"/>
    <w:rsid w:val="00024ADD"/>
    <w:rsid w:val="00037668"/>
    <w:rsid w:val="00064404"/>
    <w:rsid w:val="000755EF"/>
    <w:rsid w:val="00075A94"/>
    <w:rsid w:val="0008535A"/>
    <w:rsid w:val="000A0EF3"/>
    <w:rsid w:val="000A18AC"/>
    <w:rsid w:val="00132855"/>
    <w:rsid w:val="00152993"/>
    <w:rsid w:val="001607BA"/>
    <w:rsid w:val="00170297"/>
    <w:rsid w:val="001712D5"/>
    <w:rsid w:val="0017289E"/>
    <w:rsid w:val="001A227D"/>
    <w:rsid w:val="001E2032"/>
    <w:rsid w:val="001F538A"/>
    <w:rsid w:val="002113D2"/>
    <w:rsid w:val="00222B65"/>
    <w:rsid w:val="002255C7"/>
    <w:rsid w:val="00237F13"/>
    <w:rsid w:val="002771E6"/>
    <w:rsid w:val="002A580B"/>
    <w:rsid w:val="002B5675"/>
    <w:rsid w:val="002C4117"/>
    <w:rsid w:val="002D7F63"/>
    <w:rsid w:val="002E33D1"/>
    <w:rsid w:val="003010C0"/>
    <w:rsid w:val="00303BCA"/>
    <w:rsid w:val="003118D3"/>
    <w:rsid w:val="00332A97"/>
    <w:rsid w:val="00333159"/>
    <w:rsid w:val="0034508D"/>
    <w:rsid w:val="00350C00"/>
    <w:rsid w:val="00366113"/>
    <w:rsid w:val="00394562"/>
    <w:rsid w:val="003A1425"/>
    <w:rsid w:val="003C270C"/>
    <w:rsid w:val="003C3624"/>
    <w:rsid w:val="003C405A"/>
    <w:rsid w:val="003D0994"/>
    <w:rsid w:val="003D5976"/>
    <w:rsid w:val="003E1B0C"/>
    <w:rsid w:val="003E7D74"/>
    <w:rsid w:val="00423824"/>
    <w:rsid w:val="00424B1F"/>
    <w:rsid w:val="0042526C"/>
    <w:rsid w:val="00425AB4"/>
    <w:rsid w:val="00432024"/>
    <w:rsid w:val="0043528C"/>
    <w:rsid w:val="0043567D"/>
    <w:rsid w:val="0045330C"/>
    <w:rsid w:val="004B7B90"/>
    <w:rsid w:val="004D37D7"/>
    <w:rsid w:val="004E2C19"/>
    <w:rsid w:val="004E7A17"/>
    <w:rsid w:val="00506C33"/>
    <w:rsid w:val="0055024D"/>
    <w:rsid w:val="0055032D"/>
    <w:rsid w:val="00555A8F"/>
    <w:rsid w:val="00572805"/>
    <w:rsid w:val="00582695"/>
    <w:rsid w:val="00583CC3"/>
    <w:rsid w:val="00586769"/>
    <w:rsid w:val="005D284C"/>
    <w:rsid w:val="005F212E"/>
    <w:rsid w:val="00606DB6"/>
    <w:rsid w:val="00623BC1"/>
    <w:rsid w:val="00630875"/>
    <w:rsid w:val="00633E23"/>
    <w:rsid w:val="00661689"/>
    <w:rsid w:val="00671AC1"/>
    <w:rsid w:val="00673B94"/>
    <w:rsid w:val="00680AC6"/>
    <w:rsid w:val="006835D8"/>
    <w:rsid w:val="00696931"/>
    <w:rsid w:val="006A33E6"/>
    <w:rsid w:val="006B70A7"/>
    <w:rsid w:val="006C316E"/>
    <w:rsid w:val="006C6928"/>
    <w:rsid w:val="006D0F7C"/>
    <w:rsid w:val="007269C4"/>
    <w:rsid w:val="0073403E"/>
    <w:rsid w:val="00734EAF"/>
    <w:rsid w:val="00734F9C"/>
    <w:rsid w:val="0074209E"/>
    <w:rsid w:val="0074263A"/>
    <w:rsid w:val="00746CE5"/>
    <w:rsid w:val="00761354"/>
    <w:rsid w:val="0077071B"/>
    <w:rsid w:val="007A3559"/>
    <w:rsid w:val="007A4657"/>
    <w:rsid w:val="007A7A85"/>
    <w:rsid w:val="007B045B"/>
    <w:rsid w:val="007B723C"/>
    <w:rsid w:val="007E2356"/>
    <w:rsid w:val="007F2CA8"/>
    <w:rsid w:val="007F4D61"/>
    <w:rsid w:val="007F7161"/>
    <w:rsid w:val="00846387"/>
    <w:rsid w:val="0085559E"/>
    <w:rsid w:val="00893271"/>
    <w:rsid w:val="00896B1B"/>
    <w:rsid w:val="008A6E38"/>
    <w:rsid w:val="008C36C1"/>
    <w:rsid w:val="008D303C"/>
    <w:rsid w:val="008E559E"/>
    <w:rsid w:val="008F7112"/>
    <w:rsid w:val="00900B99"/>
    <w:rsid w:val="00901786"/>
    <w:rsid w:val="00916080"/>
    <w:rsid w:val="00921A68"/>
    <w:rsid w:val="00933D35"/>
    <w:rsid w:val="00960706"/>
    <w:rsid w:val="009848D5"/>
    <w:rsid w:val="00991D37"/>
    <w:rsid w:val="009946E3"/>
    <w:rsid w:val="009C5D3A"/>
    <w:rsid w:val="009E2278"/>
    <w:rsid w:val="00A015C4"/>
    <w:rsid w:val="00A07D79"/>
    <w:rsid w:val="00A122D8"/>
    <w:rsid w:val="00A127CB"/>
    <w:rsid w:val="00A15172"/>
    <w:rsid w:val="00A159A3"/>
    <w:rsid w:val="00A33E81"/>
    <w:rsid w:val="00AB061F"/>
    <w:rsid w:val="00AF3A5D"/>
    <w:rsid w:val="00AF538D"/>
    <w:rsid w:val="00AF5A60"/>
    <w:rsid w:val="00B22FE5"/>
    <w:rsid w:val="00B32E8B"/>
    <w:rsid w:val="00B65EEE"/>
    <w:rsid w:val="00B8649F"/>
    <w:rsid w:val="00B914F7"/>
    <w:rsid w:val="00BA5F1C"/>
    <w:rsid w:val="00BD3B30"/>
    <w:rsid w:val="00BF39AD"/>
    <w:rsid w:val="00BF64BC"/>
    <w:rsid w:val="00C0598D"/>
    <w:rsid w:val="00C103B7"/>
    <w:rsid w:val="00C11956"/>
    <w:rsid w:val="00C158EE"/>
    <w:rsid w:val="00C21754"/>
    <w:rsid w:val="00C27D5A"/>
    <w:rsid w:val="00C602E5"/>
    <w:rsid w:val="00C748FD"/>
    <w:rsid w:val="00C85731"/>
    <w:rsid w:val="00CA42E8"/>
    <w:rsid w:val="00CA4EAB"/>
    <w:rsid w:val="00CC30AF"/>
    <w:rsid w:val="00D249D2"/>
    <w:rsid w:val="00D24DCF"/>
    <w:rsid w:val="00D4046E"/>
    <w:rsid w:val="00D46D91"/>
    <w:rsid w:val="00D50F86"/>
    <w:rsid w:val="00D64B20"/>
    <w:rsid w:val="00D825C5"/>
    <w:rsid w:val="00D87905"/>
    <w:rsid w:val="00DB2429"/>
    <w:rsid w:val="00DC19DD"/>
    <w:rsid w:val="00DC2CAB"/>
    <w:rsid w:val="00DC5C2B"/>
    <w:rsid w:val="00DD1F9D"/>
    <w:rsid w:val="00DD4739"/>
    <w:rsid w:val="00DE5F33"/>
    <w:rsid w:val="00E07B54"/>
    <w:rsid w:val="00E11F78"/>
    <w:rsid w:val="00E21D20"/>
    <w:rsid w:val="00E40740"/>
    <w:rsid w:val="00E60A10"/>
    <w:rsid w:val="00E621E1"/>
    <w:rsid w:val="00E70398"/>
    <w:rsid w:val="00E80E21"/>
    <w:rsid w:val="00E84260"/>
    <w:rsid w:val="00EC55B3"/>
    <w:rsid w:val="00EF7548"/>
    <w:rsid w:val="00F20E08"/>
    <w:rsid w:val="00F227C4"/>
    <w:rsid w:val="00F229D8"/>
    <w:rsid w:val="00F40808"/>
    <w:rsid w:val="00F8578B"/>
    <w:rsid w:val="00F96FB2"/>
    <w:rsid w:val="00FB51D8"/>
    <w:rsid w:val="00FC624A"/>
    <w:rsid w:val="00FD08E8"/>
    <w:rsid w:val="00FE4526"/>
    <w:rsid w:val="00FE5B3D"/>
    <w:rsid w:val="028E08AE"/>
    <w:rsid w:val="05D528C7"/>
    <w:rsid w:val="06F07D4F"/>
    <w:rsid w:val="08247F36"/>
    <w:rsid w:val="08DB2BA0"/>
    <w:rsid w:val="0E6CDE64"/>
    <w:rsid w:val="13734001"/>
    <w:rsid w:val="17231501"/>
    <w:rsid w:val="182EFABA"/>
    <w:rsid w:val="1994B180"/>
    <w:rsid w:val="19BA461B"/>
    <w:rsid w:val="19C3F3AC"/>
    <w:rsid w:val="1D23C0C2"/>
    <w:rsid w:val="1E354220"/>
    <w:rsid w:val="1F550718"/>
    <w:rsid w:val="1F9C97A8"/>
    <w:rsid w:val="22A81AD3"/>
    <w:rsid w:val="26B03A2C"/>
    <w:rsid w:val="27BE6D12"/>
    <w:rsid w:val="295C7D55"/>
    <w:rsid w:val="2AD52350"/>
    <w:rsid w:val="2C04E300"/>
    <w:rsid w:val="2D6A5D56"/>
    <w:rsid w:val="2E2A2074"/>
    <w:rsid w:val="304F0DB5"/>
    <w:rsid w:val="3193B984"/>
    <w:rsid w:val="32175AA0"/>
    <w:rsid w:val="33635EE2"/>
    <w:rsid w:val="33BC01F0"/>
    <w:rsid w:val="35B8783A"/>
    <w:rsid w:val="398D7F11"/>
    <w:rsid w:val="3A0348A1"/>
    <w:rsid w:val="3AD27AAE"/>
    <w:rsid w:val="3FD32EB2"/>
    <w:rsid w:val="41962564"/>
    <w:rsid w:val="4273AF9B"/>
    <w:rsid w:val="44CB41A3"/>
    <w:rsid w:val="478EBAE3"/>
    <w:rsid w:val="47A8B633"/>
    <w:rsid w:val="4ABD7F9D"/>
    <w:rsid w:val="4D714290"/>
    <w:rsid w:val="50599908"/>
    <w:rsid w:val="539E519D"/>
    <w:rsid w:val="55115A61"/>
    <w:rsid w:val="5D176DEA"/>
    <w:rsid w:val="5D9035AF"/>
    <w:rsid w:val="5E477C33"/>
    <w:rsid w:val="5E83EC17"/>
    <w:rsid w:val="5E86E3A9"/>
    <w:rsid w:val="5F091C7E"/>
    <w:rsid w:val="616509ED"/>
    <w:rsid w:val="620A8266"/>
    <w:rsid w:val="634ABC11"/>
    <w:rsid w:val="66DA849A"/>
    <w:rsid w:val="688D6999"/>
    <w:rsid w:val="6C1EC2A3"/>
    <w:rsid w:val="71D72EAC"/>
    <w:rsid w:val="720A25CE"/>
    <w:rsid w:val="74431EF7"/>
    <w:rsid w:val="751C2782"/>
    <w:rsid w:val="7ABEA244"/>
    <w:rsid w:val="7AFE8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7F7AD"/>
  <w15:chartTrackingRefBased/>
  <w15:docId w15:val="{4B2035C2-F747-441E-AACB-3F918104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Strong">
    <w:name w:val="Strong"/>
    <w:uiPriority w:val="22"/>
    <w:qFormat/>
    <w:rsid w:val="00583CC3"/>
    <w:rPr>
      <w:b/>
      <w:bCs/>
    </w:rPr>
  </w:style>
  <w:style w:type="paragraph" w:styleId="FootnoteText">
    <w:name w:val="footnote text"/>
    <w:basedOn w:val="Normal"/>
    <w:link w:val="FootnoteTextChar"/>
    <w:rsid w:val="00B22FE5"/>
    <w:rPr>
      <w:sz w:val="20"/>
      <w:szCs w:val="20"/>
    </w:rPr>
  </w:style>
  <w:style w:type="character" w:customStyle="1" w:styleId="FootnoteTextChar">
    <w:name w:val="Footnote Text Char"/>
    <w:basedOn w:val="DefaultParagraphFont"/>
    <w:link w:val="FootnoteText"/>
    <w:rsid w:val="00B22FE5"/>
  </w:style>
  <w:style w:type="character" w:styleId="FootnoteReference">
    <w:name w:val="footnote reference"/>
    <w:basedOn w:val="DefaultParagraphFont"/>
    <w:rsid w:val="00B22FE5"/>
    <w:rPr>
      <w:vertAlign w:val="superscript"/>
    </w:rPr>
  </w:style>
  <w:style w:type="character" w:styleId="UnresolvedMention">
    <w:name w:val="Unresolved Mention"/>
    <w:basedOn w:val="DefaultParagraphFont"/>
    <w:uiPriority w:val="99"/>
    <w:semiHidden/>
    <w:unhideWhenUsed/>
    <w:rsid w:val="00BA5F1C"/>
    <w:rPr>
      <w:color w:val="605E5C"/>
      <w:shd w:val="clear" w:color="auto" w:fill="E1DFDD"/>
    </w:rPr>
  </w:style>
  <w:style w:type="paragraph" w:styleId="Revision">
    <w:name w:val="Revision"/>
    <w:hidden/>
    <w:uiPriority w:val="99"/>
    <w:semiHidden/>
    <w:rsid w:val="00B65EEE"/>
    <w:rPr>
      <w:sz w:val="24"/>
      <w:szCs w:val="24"/>
    </w:rPr>
  </w:style>
  <w:style w:type="paragraph" w:customStyle="1" w:styleId="Default">
    <w:name w:val="Default"/>
    <w:rsid w:val="002255C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si@texasblockchaincouncil.org" TargetMode="External"/><Relationship Id="rId3" Type="http://schemas.openxmlformats.org/officeDocument/2006/relationships/settings" Target="settings.xml"/><Relationship Id="rId7" Type="http://schemas.openxmlformats.org/officeDocument/2006/relationships/hyperlink" Target="https://www.ercot.com/mktrules/issues/NOGRR2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61971c6-1bf6-4203-a999-5711f27be5dd}" enabled="0" method="" siteId="{b61971c6-1bf6-4203-a999-5711f27be5d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4</Pages>
  <Words>1021</Words>
  <Characters>6265</Characters>
  <Application>Microsoft Office Word</Application>
  <DocSecurity>0</DocSecurity>
  <Lines>329</Lines>
  <Paragraphs>280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2001-06-20T18:28:00Z</cp:lastPrinted>
  <dcterms:created xsi:type="dcterms:W3CDTF">2026-02-18T21:12:00Z</dcterms:created>
  <dcterms:modified xsi:type="dcterms:W3CDTF">2026-02-18T21:25:00Z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2026-01-24T00:43:50Z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f4bf0b7f-adfb-40c5-95b8-c9c7cdfec9c8</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