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260"/>
        <w:gridCol w:w="6120"/>
      </w:tblGrid>
      <w:tr w:rsidR="0041787A" w14:paraId="26731349" w14:textId="77777777" w:rsidTr="00D54DC7">
        <w:trPr>
          <w:trHeight w:val="620"/>
        </w:trPr>
        <w:tc>
          <w:tcPr>
            <w:tcW w:w="1620" w:type="dxa"/>
            <w:tcBorders>
              <w:bottom w:val="single" w:sz="4" w:space="0" w:color="auto"/>
            </w:tcBorders>
            <w:shd w:val="clear" w:color="auto" w:fill="FFFFFF"/>
            <w:vAlign w:val="center"/>
          </w:tcPr>
          <w:p w14:paraId="4BD916B6" w14:textId="36F315EB" w:rsidR="0041787A" w:rsidRDefault="0041787A" w:rsidP="0041787A">
            <w:pPr>
              <w:pStyle w:val="Header"/>
            </w:pPr>
            <w:r>
              <w:t>PGRR Number</w:t>
            </w:r>
          </w:p>
        </w:tc>
        <w:tc>
          <w:tcPr>
            <w:tcW w:w="1440" w:type="dxa"/>
            <w:tcBorders>
              <w:bottom w:val="single" w:sz="4" w:space="0" w:color="auto"/>
            </w:tcBorders>
            <w:vAlign w:val="center"/>
          </w:tcPr>
          <w:p w14:paraId="624915CA" w14:textId="2D0A8836" w:rsidR="0041787A" w:rsidRPr="00595DDC" w:rsidRDefault="0041787A" w:rsidP="0041787A">
            <w:pPr>
              <w:pStyle w:val="Header"/>
              <w:tabs>
                <w:tab w:val="clear" w:pos="4320"/>
                <w:tab w:val="clear" w:pos="8640"/>
              </w:tabs>
            </w:pPr>
            <w:hyperlink r:id="rId11" w:history="1">
              <w:r w:rsidRPr="00A83877">
                <w:rPr>
                  <w:rStyle w:val="Hyperlink"/>
                </w:rPr>
                <w:t>144</w:t>
              </w:r>
            </w:hyperlink>
          </w:p>
        </w:tc>
        <w:tc>
          <w:tcPr>
            <w:tcW w:w="1260" w:type="dxa"/>
            <w:tcBorders>
              <w:bottom w:val="single" w:sz="4" w:space="0" w:color="auto"/>
            </w:tcBorders>
            <w:shd w:val="clear" w:color="auto" w:fill="FFFFFF"/>
            <w:vAlign w:val="center"/>
          </w:tcPr>
          <w:p w14:paraId="28D5BFC6" w14:textId="26836DD4" w:rsidR="0041787A" w:rsidRDefault="0041787A" w:rsidP="0041787A">
            <w:pPr>
              <w:pStyle w:val="Header"/>
            </w:pPr>
            <w:r>
              <w:t>PGRR Title</w:t>
            </w:r>
          </w:p>
        </w:tc>
        <w:tc>
          <w:tcPr>
            <w:tcW w:w="6120" w:type="dxa"/>
            <w:tcBorders>
              <w:bottom w:val="single" w:sz="4" w:space="0" w:color="auto"/>
            </w:tcBorders>
            <w:vAlign w:val="center"/>
          </w:tcPr>
          <w:p w14:paraId="2B2ADD28" w14:textId="2E5322D5" w:rsidR="0041787A" w:rsidRPr="009F3D0E" w:rsidRDefault="0041787A" w:rsidP="0041787A">
            <w:pPr>
              <w:pStyle w:val="Header"/>
              <w:tabs>
                <w:tab w:val="clear" w:pos="4320"/>
                <w:tab w:val="clear" w:pos="8640"/>
              </w:tabs>
              <w:rPr>
                <w:szCs w:val="23"/>
              </w:rPr>
            </w:pPr>
            <w:r w:rsidRPr="00CA6A43">
              <w:t xml:space="preserve">Dynamic Model Submission and Review Requirements for Large Loads </w:t>
            </w:r>
            <w:r>
              <w:t>including Large Electronic Loads</w:t>
            </w:r>
          </w:p>
        </w:tc>
      </w:tr>
      <w:tr w:rsidR="00FC0BDC" w14:paraId="11C13457" w14:textId="77777777">
        <w:trPr>
          <w:trHeight w:val="548"/>
        </w:trPr>
        <w:tc>
          <w:tcPr>
            <w:tcW w:w="3060" w:type="dxa"/>
            <w:gridSpan w:val="2"/>
            <w:tcBorders>
              <w:top w:val="single" w:sz="4" w:space="0" w:color="auto"/>
              <w:left w:val="single" w:sz="4" w:space="0" w:color="auto"/>
              <w:bottom w:val="single" w:sz="4" w:space="0" w:color="auto"/>
              <w:right w:val="single" w:sz="4" w:space="0" w:color="auto"/>
            </w:tcBorders>
            <w:vAlign w:val="center"/>
          </w:tcPr>
          <w:p w14:paraId="27B7A380" w14:textId="77777777" w:rsidR="00FC0BDC" w:rsidRDefault="00FC0BDC">
            <w:pPr>
              <w:pStyle w:val="Header"/>
            </w:pPr>
            <w:r>
              <w:t>Impact Analysis Date</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4B082005" w14:textId="58058516" w:rsidR="00FC0BDC" w:rsidRPr="009F3D0E" w:rsidRDefault="0041787A" w:rsidP="009F3D0E">
            <w:pPr>
              <w:spacing w:before="100" w:beforeAutospacing="1" w:after="100" w:afterAutospacing="1"/>
              <w:rPr>
                <w:rFonts w:ascii="Arial" w:hAnsi="Arial" w:cs="Arial"/>
                <w:szCs w:val="22"/>
              </w:rPr>
            </w:pPr>
            <w:r>
              <w:rPr>
                <w:rFonts w:ascii="Arial" w:hAnsi="Arial" w:cs="Arial"/>
                <w:szCs w:val="22"/>
              </w:rPr>
              <w:t>February 18, 2026</w:t>
            </w:r>
          </w:p>
        </w:tc>
      </w:tr>
      <w:tr w:rsidR="00F13670" w14:paraId="1F4C5D7D" w14:textId="77777777" w:rsidTr="00663934">
        <w:trPr>
          <w:trHeight w:val="602"/>
        </w:trPr>
        <w:tc>
          <w:tcPr>
            <w:tcW w:w="3060" w:type="dxa"/>
            <w:gridSpan w:val="2"/>
            <w:tcBorders>
              <w:top w:val="single" w:sz="4" w:space="0" w:color="auto"/>
              <w:bottom w:val="single" w:sz="4" w:space="0" w:color="auto"/>
            </w:tcBorders>
            <w:shd w:val="clear" w:color="auto" w:fill="FFFFFF"/>
            <w:vAlign w:val="center"/>
          </w:tcPr>
          <w:p w14:paraId="3C019CE3" w14:textId="6109FEC8" w:rsidR="00F13670" w:rsidRDefault="00BB3E15">
            <w:pPr>
              <w:pStyle w:val="Header"/>
            </w:pPr>
            <w:r>
              <w:t>Estimated Cost</w:t>
            </w:r>
            <w:r w:rsidR="00935CE9">
              <w:t xml:space="preserve">/Budgetary </w:t>
            </w:r>
            <w:r w:rsidR="00F13670">
              <w:t>Impact</w:t>
            </w:r>
          </w:p>
        </w:tc>
        <w:tc>
          <w:tcPr>
            <w:tcW w:w="7380" w:type="dxa"/>
            <w:gridSpan w:val="2"/>
            <w:tcBorders>
              <w:top w:val="single" w:sz="4" w:space="0" w:color="auto"/>
            </w:tcBorders>
            <w:vAlign w:val="center"/>
          </w:tcPr>
          <w:p w14:paraId="1B57A229" w14:textId="77777777" w:rsidR="00E9685C" w:rsidRDefault="00E9685C" w:rsidP="00E9685C">
            <w:pPr>
              <w:spacing w:before="100" w:beforeAutospacing="1" w:after="100" w:afterAutospacing="1"/>
              <w:rPr>
                <w:rFonts w:ascii="Arial" w:hAnsi="Arial" w:cs="Arial"/>
              </w:rPr>
            </w:pPr>
            <w:r>
              <w:rPr>
                <w:rFonts w:ascii="Arial" w:hAnsi="Arial" w:cs="Arial"/>
              </w:rPr>
              <w:t>None.</w:t>
            </w:r>
          </w:p>
          <w:p w14:paraId="0BF4C841" w14:textId="20F7C12C" w:rsidR="00E9685C" w:rsidRPr="002A6974" w:rsidRDefault="00E9685C" w:rsidP="00E9685C">
            <w:pPr>
              <w:spacing w:before="100" w:beforeAutospacing="1" w:after="100" w:afterAutospacing="1"/>
              <w:rPr>
                <w:rFonts w:ascii="Arial" w:hAnsi="Arial" w:cs="Arial"/>
              </w:rPr>
            </w:pPr>
            <w:r w:rsidRPr="002A6974">
              <w:rPr>
                <w:rFonts w:ascii="Arial" w:hAnsi="Arial" w:cs="Arial"/>
              </w:rPr>
              <w:t>Annual Recurring Operations and Maintenance (O&amp;M) Staffing Cost:  $</w:t>
            </w:r>
            <w:r w:rsidR="00593F95">
              <w:rPr>
                <w:rFonts w:ascii="Arial" w:hAnsi="Arial" w:cs="Arial"/>
              </w:rPr>
              <w:t>200</w:t>
            </w:r>
            <w:r w:rsidR="0041787A">
              <w:rPr>
                <w:rFonts w:ascii="Arial" w:hAnsi="Arial" w:cs="Arial"/>
              </w:rPr>
              <w:t>K</w:t>
            </w:r>
            <w:r w:rsidRPr="002A6974">
              <w:rPr>
                <w:rFonts w:ascii="Arial" w:hAnsi="Arial" w:cs="Arial"/>
              </w:rPr>
              <w:t xml:space="preserve"> – $</w:t>
            </w:r>
            <w:r w:rsidR="00593F95">
              <w:rPr>
                <w:rFonts w:ascii="Arial" w:hAnsi="Arial" w:cs="Arial"/>
              </w:rPr>
              <w:t>250</w:t>
            </w:r>
            <w:r w:rsidR="0041787A">
              <w:rPr>
                <w:rFonts w:ascii="Arial" w:hAnsi="Arial" w:cs="Arial"/>
              </w:rPr>
              <w:t>K</w:t>
            </w:r>
          </w:p>
          <w:p w14:paraId="24EC7B8C" w14:textId="48B3126C" w:rsidR="00124420" w:rsidRPr="002D68CF" w:rsidRDefault="00E9685C" w:rsidP="00E9685C">
            <w:pPr>
              <w:spacing w:before="100" w:beforeAutospacing="1" w:after="100" w:afterAutospacing="1"/>
              <w:rPr>
                <w:rFonts w:ascii="Arial" w:hAnsi="Arial" w:cs="Arial"/>
                <w:sz w:val="22"/>
                <w:szCs w:val="22"/>
              </w:rPr>
            </w:pPr>
            <w:r w:rsidRPr="002A6974">
              <w:rPr>
                <w:rFonts w:ascii="Arial" w:hAnsi="Arial" w:cs="Arial"/>
              </w:rPr>
              <w:t>See ERCOT Staffing Impacts</w:t>
            </w:r>
          </w:p>
        </w:tc>
      </w:tr>
      <w:tr w:rsidR="00F13670" w14:paraId="1810DEB0"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4FAB3DA8" w14:textId="77777777" w:rsidR="00F13670" w:rsidRPr="00663934" w:rsidRDefault="00935CE9" w:rsidP="00935CE9">
            <w:pPr>
              <w:pStyle w:val="Header"/>
            </w:pPr>
            <w:r>
              <w:t xml:space="preserve">Estimated </w:t>
            </w:r>
            <w:r w:rsidR="00F13670">
              <w:t>Time Requirements</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7769272D" w14:textId="1D6185CD" w:rsidR="00B17049" w:rsidRPr="00511748" w:rsidRDefault="00741D65" w:rsidP="0041787A">
            <w:pPr>
              <w:pStyle w:val="NormalArial"/>
              <w:spacing w:before="120" w:after="120"/>
              <w:rPr>
                <w:sz w:val="22"/>
                <w:szCs w:val="22"/>
              </w:rPr>
            </w:pPr>
            <w:r w:rsidRPr="00511748">
              <w:rPr>
                <w:rFonts w:cs="Arial"/>
              </w:rPr>
              <w:t xml:space="preserve">No project required.  </w:t>
            </w:r>
            <w:r>
              <w:rPr>
                <w:rFonts w:cs="Arial"/>
              </w:rPr>
              <w:t xml:space="preserve">This </w:t>
            </w:r>
            <w:r w:rsidR="001D5B0F">
              <w:t xml:space="preserve">Planning Guide Revision Request (PGRR) </w:t>
            </w:r>
            <w:r>
              <w:rPr>
                <w:rFonts w:cs="Arial"/>
              </w:rPr>
              <w:t>can take effect following</w:t>
            </w:r>
            <w:r w:rsidRPr="00511748">
              <w:rPr>
                <w:rFonts w:cs="Arial"/>
              </w:rPr>
              <w:t xml:space="preserve"> </w:t>
            </w:r>
            <w:r w:rsidRPr="00931063">
              <w:rPr>
                <w:rFonts w:cs="Arial"/>
              </w:rPr>
              <w:t>Public</w:t>
            </w:r>
            <w:r>
              <w:rPr>
                <w:rFonts w:cs="Arial"/>
              </w:rPr>
              <w:t xml:space="preserve"> Utility Commission of Texas </w:t>
            </w:r>
            <w:r w:rsidRPr="00931063">
              <w:rPr>
                <w:rFonts w:cs="Arial"/>
              </w:rPr>
              <w:t>(</w:t>
            </w:r>
            <w:r>
              <w:rPr>
                <w:rFonts w:cs="Arial"/>
              </w:rPr>
              <w:t>PUCT</w:t>
            </w:r>
            <w:r w:rsidRPr="00931063">
              <w:rPr>
                <w:rFonts w:cs="Arial"/>
              </w:rPr>
              <w:t>)</w:t>
            </w:r>
            <w:r>
              <w:rPr>
                <w:rFonts w:cs="Arial"/>
              </w:rPr>
              <w:t xml:space="preserve"> approval.</w:t>
            </w:r>
          </w:p>
        </w:tc>
      </w:tr>
      <w:tr w:rsidR="00F13670" w14:paraId="1E8259BD" w14:textId="77777777">
        <w:trPr>
          <w:trHeight w:val="962"/>
        </w:trPr>
        <w:tc>
          <w:tcPr>
            <w:tcW w:w="3060" w:type="dxa"/>
            <w:gridSpan w:val="2"/>
            <w:tcBorders>
              <w:top w:val="single" w:sz="4" w:space="0" w:color="auto"/>
              <w:bottom w:val="single" w:sz="4" w:space="0" w:color="auto"/>
            </w:tcBorders>
            <w:shd w:val="clear" w:color="auto" w:fill="FFFFFF"/>
            <w:vAlign w:val="center"/>
          </w:tcPr>
          <w:p w14:paraId="5A3BCACC" w14:textId="77777777" w:rsidR="00F13670" w:rsidRDefault="00F13670">
            <w:pPr>
              <w:pStyle w:val="Header"/>
            </w:pPr>
            <w:r>
              <w:t>ERCOT Staffing Impacts (across all areas)</w:t>
            </w:r>
          </w:p>
        </w:tc>
        <w:tc>
          <w:tcPr>
            <w:tcW w:w="7380" w:type="dxa"/>
            <w:gridSpan w:val="2"/>
            <w:tcBorders>
              <w:top w:val="single" w:sz="4" w:space="0" w:color="auto"/>
            </w:tcBorders>
            <w:vAlign w:val="center"/>
          </w:tcPr>
          <w:p w14:paraId="551F162F" w14:textId="446DE637" w:rsidR="001D5B0F" w:rsidRDefault="001D5B0F" w:rsidP="001D5B0F">
            <w:pPr>
              <w:pStyle w:val="NormalArial"/>
              <w:spacing w:before="120"/>
            </w:pPr>
            <w:r>
              <w:t xml:space="preserve">There will be ongoing operational impacts to the following ERCOT departments totaling </w:t>
            </w:r>
            <w:r w:rsidR="00FD759F">
              <w:t>1</w:t>
            </w:r>
            <w:r>
              <w:t>.</w:t>
            </w:r>
            <w:r w:rsidR="00FD759F">
              <w:t>0</w:t>
            </w:r>
            <w:r>
              <w:t xml:space="preserve"> Full-Time Employees (FTEs) to support this PGRR:</w:t>
            </w:r>
          </w:p>
          <w:p w14:paraId="1AD35B0F" w14:textId="26A6CD4B" w:rsidR="001D5B0F" w:rsidRDefault="001D5B0F" w:rsidP="001D5B0F">
            <w:pPr>
              <w:pStyle w:val="NormalArial"/>
            </w:pPr>
          </w:p>
          <w:p w14:paraId="3959042C" w14:textId="76BE56D8" w:rsidR="001D5B0F" w:rsidRDefault="001D5B0F" w:rsidP="001D5B0F">
            <w:pPr>
              <w:pStyle w:val="NormalArial"/>
            </w:pPr>
            <w:r>
              <w:t>•  Dynamic Studies (0.</w:t>
            </w:r>
            <w:r w:rsidR="00E9685C">
              <w:t>7</w:t>
            </w:r>
            <w:r>
              <w:t xml:space="preserve"> FTE Effort)</w:t>
            </w:r>
          </w:p>
          <w:p w14:paraId="275A75B9" w14:textId="1F06DDA5" w:rsidR="00FD759F" w:rsidRDefault="00FD759F" w:rsidP="001D5B0F">
            <w:pPr>
              <w:pStyle w:val="NormalArial"/>
            </w:pPr>
            <w:r>
              <w:t xml:space="preserve">•  </w:t>
            </w:r>
            <w:r w:rsidRPr="00FD759F">
              <w:t>Operations Stability Analysis</w:t>
            </w:r>
            <w:r>
              <w:t xml:space="preserve"> (0.3 FTE Effort)</w:t>
            </w:r>
          </w:p>
          <w:p w14:paraId="2701EEE4" w14:textId="77777777" w:rsidR="001D5B0F" w:rsidRDefault="001D5B0F" w:rsidP="001D5B0F">
            <w:pPr>
              <w:pStyle w:val="NormalArial"/>
            </w:pPr>
          </w:p>
          <w:p w14:paraId="103671AE" w14:textId="394D8854" w:rsidR="001D5B0F" w:rsidRDefault="001D5B0F" w:rsidP="001D5B0F">
            <w:pPr>
              <w:pStyle w:val="NormalArial"/>
            </w:pPr>
            <w:r>
              <w:t>ERCOT has assessed its ability to absorb the ongoing efforts of this PGRR with current staff and concluded the need for FTE</w:t>
            </w:r>
            <w:r w:rsidR="00593F95">
              <w:t>s</w:t>
            </w:r>
            <w:r>
              <w:t xml:space="preserve"> in the following departments:</w:t>
            </w:r>
          </w:p>
          <w:p w14:paraId="13B3D351" w14:textId="77777777" w:rsidR="001D5B0F" w:rsidRDefault="001D5B0F" w:rsidP="001D5B0F">
            <w:pPr>
              <w:pStyle w:val="NormalArial"/>
            </w:pPr>
          </w:p>
          <w:p w14:paraId="4A3EA09C" w14:textId="77777777" w:rsidR="001D5B0F" w:rsidRDefault="001D5B0F" w:rsidP="001D5B0F">
            <w:pPr>
              <w:pStyle w:val="NormalArial"/>
            </w:pPr>
            <w:r>
              <w:t>•  Dynamic Studies (1.0 FTE)</w:t>
            </w:r>
          </w:p>
          <w:p w14:paraId="5FA44D06" w14:textId="77777777" w:rsidR="001D5B0F" w:rsidRDefault="001D5B0F" w:rsidP="001D5B0F">
            <w:pPr>
              <w:pStyle w:val="NormalArial"/>
            </w:pPr>
          </w:p>
          <w:p w14:paraId="3D2BBC8A" w14:textId="19728975" w:rsidR="001D5B0F" w:rsidRDefault="001D5B0F" w:rsidP="001D5B0F">
            <w:pPr>
              <w:pStyle w:val="NormalArial"/>
            </w:pPr>
            <w:r>
              <w:t xml:space="preserve">• </w:t>
            </w:r>
            <w:r w:rsidR="00E9685C">
              <w:t xml:space="preserve">Dynamic Studies </w:t>
            </w:r>
            <w:r>
              <w:t xml:space="preserve">- department requires </w:t>
            </w:r>
            <w:r w:rsidR="00E9685C">
              <w:t>one</w:t>
            </w:r>
            <w:r>
              <w:t xml:space="preserve"> additional FTE to support the following work:</w:t>
            </w:r>
          </w:p>
          <w:p w14:paraId="33F719B0" w14:textId="77777777" w:rsidR="001D5B0F" w:rsidRDefault="001D5B0F" w:rsidP="001D5B0F">
            <w:pPr>
              <w:pStyle w:val="NormalArial"/>
            </w:pPr>
          </w:p>
          <w:p w14:paraId="0B993AED" w14:textId="2BCFECFD" w:rsidR="001D5B0F" w:rsidRDefault="001D5B0F" w:rsidP="001D5B0F">
            <w:pPr>
              <w:pStyle w:val="NormalArial"/>
            </w:pPr>
            <w:r>
              <w:t xml:space="preserve">   *</w:t>
            </w:r>
            <w:r w:rsidRPr="001D5B0F">
              <w:t>1,355 hrs. to support the review and testing of model data, supporting documentation, and provide any necessary technical assistance throughout the interconnection process or during ongoing operation. This includes handling internal and external communications and maintaining the database for</w:t>
            </w:r>
            <w:r w:rsidR="00593F95">
              <w:t xml:space="preserve"> </w:t>
            </w:r>
            <w:r w:rsidRPr="001D5B0F">
              <w:t>DWG cases.</w:t>
            </w:r>
          </w:p>
          <w:p w14:paraId="28F9A0C4" w14:textId="77777777" w:rsidR="001D5B0F" w:rsidRDefault="001D5B0F" w:rsidP="001D5B0F">
            <w:pPr>
              <w:pStyle w:val="NormalArial"/>
            </w:pPr>
          </w:p>
          <w:p w14:paraId="42DFCB2D" w14:textId="020BD25A" w:rsidR="00D53917" w:rsidRPr="001D5B0F" w:rsidRDefault="001D5B0F" w:rsidP="002D6CAB">
            <w:pPr>
              <w:pStyle w:val="NormalArial"/>
            </w:pPr>
            <w:r w:rsidRPr="00616785">
              <w:rPr>
                <w:rFonts w:cs="Arial"/>
              </w:rPr>
              <w:t>The 2026-2027 ERCOT budget does not account for the FTE</w:t>
            </w:r>
            <w:r w:rsidR="00E9685C">
              <w:rPr>
                <w:rFonts w:cs="Arial"/>
              </w:rPr>
              <w:t>s</w:t>
            </w:r>
            <w:r w:rsidRPr="00616785">
              <w:rPr>
                <w:rFonts w:cs="Arial"/>
              </w:rPr>
              <w:t xml:space="preserve"> needed to support this </w:t>
            </w:r>
            <w:r>
              <w:rPr>
                <w:rFonts w:cs="Arial"/>
              </w:rPr>
              <w:t>PG</w:t>
            </w:r>
            <w:r w:rsidRPr="00616785">
              <w:rPr>
                <w:rFonts w:cs="Arial"/>
              </w:rPr>
              <w:t>RR.</w:t>
            </w:r>
          </w:p>
        </w:tc>
      </w:tr>
      <w:tr w:rsidR="00F13670" w14:paraId="4F89166E" w14:textId="77777777">
        <w:trPr>
          <w:trHeight w:val="845"/>
        </w:trPr>
        <w:tc>
          <w:tcPr>
            <w:tcW w:w="3060" w:type="dxa"/>
            <w:gridSpan w:val="2"/>
            <w:tcBorders>
              <w:top w:val="single" w:sz="4" w:space="0" w:color="auto"/>
              <w:bottom w:val="single" w:sz="4" w:space="0" w:color="auto"/>
            </w:tcBorders>
            <w:shd w:val="clear" w:color="auto" w:fill="FFFFFF"/>
            <w:vAlign w:val="center"/>
          </w:tcPr>
          <w:p w14:paraId="09B959B7" w14:textId="77777777" w:rsidR="00F13670" w:rsidRDefault="00CB3C8E">
            <w:pPr>
              <w:pStyle w:val="Header"/>
            </w:pPr>
            <w:r>
              <w:t>ERCOT Computer System Impacts</w:t>
            </w:r>
          </w:p>
        </w:tc>
        <w:tc>
          <w:tcPr>
            <w:tcW w:w="7380" w:type="dxa"/>
            <w:gridSpan w:val="2"/>
            <w:tcBorders>
              <w:top w:val="single" w:sz="4" w:space="0" w:color="auto"/>
            </w:tcBorders>
            <w:vAlign w:val="center"/>
          </w:tcPr>
          <w:p w14:paraId="26B381D9" w14:textId="77777777" w:rsidR="00AC5086" w:rsidRPr="00FE71C0" w:rsidRDefault="00A36BDB" w:rsidP="002D6CAB">
            <w:pPr>
              <w:pStyle w:val="NormalArial"/>
              <w:rPr>
                <w:sz w:val="22"/>
                <w:szCs w:val="22"/>
              </w:rPr>
            </w:pPr>
            <w:r w:rsidRPr="00FE71C0">
              <w:rPr>
                <w:rFonts w:cs="Arial"/>
              </w:rPr>
              <w:t xml:space="preserve">No </w:t>
            </w:r>
            <w:r w:rsidR="002D6CAB">
              <w:rPr>
                <w:rFonts w:cs="Arial"/>
              </w:rPr>
              <w:t xml:space="preserve">impacts to ERCOT computer systems. </w:t>
            </w:r>
          </w:p>
        </w:tc>
      </w:tr>
      <w:tr w:rsidR="00F13670" w14:paraId="7216112F" w14:textId="77777777">
        <w:trPr>
          <w:trHeight w:val="782"/>
        </w:trPr>
        <w:tc>
          <w:tcPr>
            <w:tcW w:w="3060" w:type="dxa"/>
            <w:gridSpan w:val="2"/>
            <w:tcBorders>
              <w:top w:val="single" w:sz="4" w:space="0" w:color="auto"/>
              <w:bottom w:val="single" w:sz="4" w:space="0" w:color="auto"/>
            </w:tcBorders>
            <w:shd w:val="clear" w:color="auto" w:fill="FFFFFF"/>
            <w:vAlign w:val="center"/>
          </w:tcPr>
          <w:p w14:paraId="592E676E" w14:textId="77777777" w:rsidR="00F13670" w:rsidRDefault="00F13670">
            <w:pPr>
              <w:pStyle w:val="Header"/>
            </w:pPr>
            <w:r>
              <w:t>ERCOT Business Function Impacts</w:t>
            </w:r>
          </w:p>
        </w:tc>
        <w:tc>
          <w:tcPr>
            <w:tcW w:w="7380" w:type="dxa"/>
            <w:gridSpan w:val="2"/>
            <w:tcBorders>
              <w:top w:val="single" w:sz="4" w:space="0" w:color="auto"/>
            </w:tcBorders>
            <w:vAlign w:val="center"/>
          </w:tcPr>
          <w:p w14:paraId="6442CF42" w14:textId="40442C3F" w:rsidR="004D252E" w:rsidRPr="009266AD" w:rsidRDefault="00E9685C" w:rsidP="00D54DC7">
            <w:pPr>
              <w:pStyle w:val="NormalArial"/>
              <w:rPr>
                <w:sz w:val="22"/>
                <w:szCs w:val="22"/>
              </w:rPr>
            </w:pPr>
            <w:r w:rsidRPr="006A60F0">
              <w:rPr>
                <w:rFonts w:cs="Arial"/>
              </w:rPr>
              <w:t>ERCOT will update its business processes to implement this</w:t>
            </w:r>
            <w:r>
              <w:rPr>
                <w:rFonts w:cs="Arial"/>
              </w:rPr>
              <w:t xml:space="preserve"> P</w:t>
            </w:r>
            <w:r w:rsidRPr="006A60F0">
              <w:rPr>
                <w:rFonts w:cs="Arial"/>
              </w:rPr>
              <w:t>GRR.</w:t>
            </w:r>
          </w:p>
        </w:tc>
      </w:tr>
      <w:tr w:rsidR="00F13670" w14:paraId="0DCE4F06" w14:textId="77777777">
        <w:trPr>
          <w:trHeight w:val="818"/>
        </w:trPr>
        <w:tc>
          <w:tcPr>
            <w:tcW w:w="3060" w:type="dxa"/>
            <w:gridSpan w:val="2"/>
            <w:tcBorders>
              <w:bottom w:val="single" w:sz="4" w:space="0" w:color="auto"/>
            </w:tcBorders>
            <w:shd w:val="clear" w:color="auto" w:fill="FFFFFF"/>
            <w:vAlign w:val="center"/>
          </w:tcPr>
          <w:p w14:paraId="539E1BBA" w14:textId="77777777" w:rsidR="00F13670" w:rsidRDefault="00FB22A3">
            <w:pPr>
              <w:pStyle w:val="Header"/>
            </w:pPr>
            <w:r>
              <w:lastRenderedPageBreak/>
              <w:t>Grid Operations &amp; Practices Impacts</w:t>
            </w:r>
          </w:p>
        </w:tc>
        <w:tc>
          <w:tcPr>
            <w:tcW w:w="7380" w:type="dxa"/>
            <w:gridSpan w:val="2"/>
            <w:tcBorders>
              <w:bottom w:val="single" w:sz="4" w:space="0" w:color="auto"/>
            </w:tcBorders>
            <w:vAlign w:val="center"/>
          </w:tcPr>
          <w:p w14:paraId="739A9EE3" w14:textId="77777777" w:rsidR="004E7041" w:rsidRPr="00D54DC7" w:rsidRDefault="001E4FDC" w:rsidP="00D54DC7">
            <w:pPr>
              <w:pStyle w:val="Header"/>
              <w:rPr>
                <w:b w:val="0"/>
                <w:sz w:val="22"/>
                <w:szCs w:val="22"/>
              </w:rPr>
            </w:pPr>
            <w:r w:rsidRPr="00D54DC7">
              <w:rPr>
                <w:b w:val="0"/>
              </w:rPr>
              <w:t>No impact</w:t>
            </w:r>
            <w:r w:rsidR="00B43584" w:rsidRPr="00D54DC7">
              <w:rPr>
                <w:b w:val="0"/>
              </w:rPr>
              <w:t>s to ERCOT g</w:t>
            </w:r>
            <w:r w:rsidRPr="00D54DC7">
              <w:rPr>
                <w:b w:val="0"/>
              </w:rPr>
              <w:t>rid operations and practices.</w:t>
            </w:r>
          </w:p>
        </w:tc>
      </w:tr>
    </w:tbl>
    <w:p w14:paraId="3EBA43AA" w14:textId="77777777" w:rsidR="00C97625" w:rsidRDefault="00C9762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690921E6" w14:textId="77777777">
        <w:trPr>
          <w:trHeight w:val="629"/>
        </w:trPr>
        <w:tc>
          <w:tcPr>
            <w:tcW w:w="10440" w:type="dxa"/>
            <w:shd w:val="clear" w:color="auto" w:fill="FFFFFF"/>
            <w:vAlign w:val="center"/>
          </w:tcPr>
          <w:p w14:paraId="0AC2AA3A" w14:textId="77777777" w:rsidR="00C97625" w:rsidRDefault="00E71324">
            <w:pPr>
              <w:pStyle w:val="Header"/>
              <w:jc w:val="center"/>
            </w:pPr>
            <w:r w:rsidRPr="00E71324">
              <w:t>Evaluation of Interim Solutions or Alternatives for a More Efficient Implementation</w:t>
            </w:r>
          </w:p>
        </w:tc>
      </w:tr>
      <w:tr w:rsidR="00C97625" w14:paraId="58DF8793" w14:textId="77777777">
        <w:trPr>
          <w:trHeight w:val="413"/>
        </w:trPr>
        <w:tc>
          <w:tcPr>
            <w:tcW w:w="10440" w:type="dxa"/>
            <w:tcBorders>
              <w:bottom w:val="single" w:sz="4" w:space="0" w:color="auto"/>
            </w:tcBorders>
            <w:shd w:val="clear" w:color="auto" w:fill="FFFFFF"/>
            <w:vAlign w:val="center"/>
          </w:tcPr>
          <w:p w14:paraId="1E66628D" w14:textId="77777777" w:rsidR="00C97625" w:rsidRPr="00F555E9" w:rsidRDefault="00E702AF">
            <w:pPr>
              <w:pStyle w:val="NormalArial"/>
            </w:pPr>
            <w:r>
              <w:t>None offered.</w:t>
            </w:r>
          </w:p>
        </w:tc>
      </w:tr>
    </w:tbl>
    <w:p w14:paraId="1260EFC4" w14:textId="77777777" w:rsidR="00BB456F" w:rsidRDefault="00BB456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0987406B" w14:textId="77777777">
        <w:trPr>
          <w:trHeight w:val="422"/>
        </w:trPr>
        <w:tc>
          <w:tcPr>
            <w:tcW w:w="10440" w:type="dxa"/>
            <w:shd w:val="clear" w:color="auto" w:fill="FFFFFF"/>
            <w:vAlign w:val="center"/>
          </w:tcPr>
          <w:p w14:paraId="2BDAF21E" w14:textId="77777777" w:rsidR="00C97625" w:rsidRDefault="00C97625">
            <w:pPr>
              <w:pStyle w:val="Header"/>
              <w:jc w:val="center"/>
              <w:rPr>
                <w:rFonts w:ascii="Verdana" w:hAnsi="Verdana"/>
                <w:b w:val="0"/>
                <w:sz w:val="22"/>
              </w:rPr>
            </w:pPr>
            <w:r>
              <w:t>Comments</w:t>
            </w:r>
          </w:p>
        </w:tc>
      </w:tr>
      <w:tr w:rsidR="00C97625" w14:paraId="4EC9A9A8" w14:textId="77777777" w:rsidTr="00877DBE">
        <w:trPr>
          <w:trHeight w:val="593"/>
        </w:trPr>
        <w:tc>
          <w:tcPr>
            <w:tcW w:w="10440" w:type="dxa"/>
            <w:tcBorders>
              <w:bottom w:val="single" w:sz="4" w:space="0" w:color="auto"/>
            </w:tcBorders>
            <w:shd w:val="clear" w:color="auto" w:fill="FFFFFF"/>
            <w:vAlign w:val="center"/>
          </w:tcPr>
          <w:p w14:paraId="24BF0258" w14:textId="739CB747" w:rsidR="000A2646" w:rsidRPr="00A36BDB" w:rsidRDefault="00877DBE" w:rsidP="0088379F">
            <w:pPr>
              <w:pStyle w:val="NormalArial"/>
            </w:pPr>
            <w:r>
              <w:t>None.</w:t>
            </w:r>
          </w:p>
        </w:tc>
      </w:tr>
    </w:tbl>
    <w:p w14:paraId="297E7B02" w14:textId="77777777" w:rsidR="00BE76F0" w:rsidRDefault="00BE76F0" w:rsidP="00BE76F0"/>
    <w:sectPr w:rsidR="00BE76F0" w:rsidSect="00C26EFC">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CB73" w14:textId="77777777" w:rsidR="009255E3" w:rsidRDefault="009255E3">
      <w:r>
        <w:separator/>
      </w:r>
    </w:p>
  </w:endnote>
  <w:endnote w:type="continuationSeparator" w:id="0">
    <w:p w14:paraId="2C1B0168" w14:textId="77777777" w:rsidR="009255E3" w:rsidRDefault="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DA72" w14:textId="7B1BF22B" w:rsidR="006B0C5E" w:rsidRDefault="00892AB0" w:rsidP="009D0F80">
    <w:pPr>
      <w:pStyle w:val="Footer"/>
      <w:pBdr>
        <w:top w:val="single" w:sz="4" w:space="1" w:color="auto"/>
      </w:pBd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41787A">
      <w:rPr>
        <w:rFonts w:ascii="Arial" w:hAnsi="Arial"/>
        <w:noProof/>
        <w:sz w:val="18"/>
      </w:rPr>
      <w:t>144PGRR-02 Impact Analysis 021826</w:t>
    </w:r>
    <w:r>
      <w:rPr>
        <w:rFonts w:ascii="Arial" w:hAnsi="Arial"/>
        <w:sz w:val="18"/>
      </w:rPr>
      <w:fldChar w:fldCharType="end"/>
    </w:r>
    <w:r w:rsidR="006B0C5E">
      <w:rPr>
        <w:rFonts w:ascii="Arial" w:hAnsi="Arial"/>
        <w:sz w:val="18"/>
      </w:rPr>
      <w:tab/>
      <w:t xml:space="preserve">Page </w:t>
    </w:r>
    <w:r w:rsidR="006B0C5E">
      <w:rPr>
        <w:rFonts w:ascii="Arial" w:hAnsi="Arial"/>
        <w:sz w:val="18"/>
      </w:rPr>
      <w:fldChar w:fldCharType="begin"/>
    </w:r>
    <w:r w:rsidR="006B0C5E">
      <w:rPr>
        <w:rFonts w:ascii="Arial" w:hAnsi="Arial"/>
        <w:sz w:val="18"/>
      </w:rPr>
      <w:instrText xml:space="preserve"> PAGE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r w:rsidR="006B0C5E">
      <w:rPr>
        <w:rFonts w:ascii="Arial" w:hAnsi="Arial"/>
        <w:sz w:val="18"/>
      </w:rPr>
      <w:t xml:space="preserve"> of </w:t>
    </w:r>
    <w:r w:rsidR="006B0C5E">
      <w:rPr>
        <w:rFonts w:ascii="Arial" w:hAnsi="Arial"/>
        <w:sz w:val="18"/>
      </w:rPr>
      <w:fldChar w:fldCharType="begin"/>
    </w:r>
    <w:r w:rsidR="006B0C5E">
      <w:rPr>
        <w:rFonts w:ascii="Arial" w:hAnsi="Arial"/>
        <w:sz w:val="18"/>
      </w:rPr>
      <w:instrText xml:space="preserve"> NUMPAGES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p>
  <w:p w14:paraId="1B2E411A" w14:textId="77777777" w:rsidR="006B0C5E" w:rsidRDefault="006B0C5E" w:rsidP="00B3605A">
    <w:pPr>
      <w:pStyle w:val="Footer"/>
      <w:pBdr>
        <w:top w:val="single" w:sz="4" w:space="1" w:color="auto"/>
      </w:pBd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C18F" w14:textId="77777777" w:rsidR="009255E3" w:rsidRDefault="009255E3">
      <w:r>
        <w:separator/>
      </w:r>
    </w:p>
  </w:footnote>
  <w:footnote w:type="continuationSeparator" w:id="0">
    <w:p w14:paraId="60EFD7FD" w14:textId="77777777" w:rsidR="009255E3" w:rsidRDefault="0092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0F3" w14:textId="77777777" w:rsidR="006B0C5E" w:rsidRDefault="006B0C5E">
    <w:pPr>
      <w:pStyle w:val="Header"/>
      <w:jc w:val="center"/>
      <w:rPr>
        <w:sz w:val="30"/>
      </w:rPr>
    </w:pPr>
    <w:r>
      <w:rPr>
        <w:sz w:val="30"/>
      </w:rPr>
      <w:t>ERCOT Impact Analysis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014D31E"/>
    <w:lvl w:ilvl="0">
      <w:start w:val="1"/>
      <w:numFmt w:val="decimal"/>
      <w:pStyle w:val="Bullet"/>
      <w:lvlText w:val="(%1)"/>
      <w:lvlJc w:val="left"/>
      <w:pPr>
        <w:tabs>
          <w:tab w:val="num" w:pos="1080"/>
        </w:tabs>
        <w:ind w:left="1080" w:hanging="360"/>
      </w:pPr>
      <w:rPr>
        <w:rFonts w:hint="default"/>
      </w:rPr>
    </w:lvl>
  </w:abstractNum>
  <w:abstractNum w:abstractNumId="1" w15:restartNumberingAfterBreak="0">
    <w:nsid w:val="0C042EC2"/>
    <w:multiLevelType w:val="hybridMultilevel"/>
    <w:tmpl w:val="04AC9852"/>
    <w:lvl w:ilvl="0" w:tplc="BA42EA3A">
      <w:start w:val="1"/>
      <w:numFmt w:val="bullet"/>
      <w:lvlText w:val=""/>
      <w:lvlJc w:val="left"/>
      <w:pPr>
        <w:tabs>
          <w:tab w:val="num" w:pos="720"/>
        </w:tabs>
        <w:ind w:left="720" w:hanging="360"/>
      </w:pPr>
      <w:rPr>
        <w:rFonts w:ascii="Wingdings" w:hAnsi="Wingdings" w:hint="default"/>
      </w:rPr>
    </w:lvl>
    <w:lvl w:ilvl="1" w:tplc="444C6C06" w:tentative="1">
      <w:start w:val="1"/>
      <w:numFmt w:val="bullet"/>
      <w:lvlText w:val="o"/>
      <w:lvlJc w:val="left"/>
      <w:pPr>
        <w:tabs>
          <w:tab w:val="num" w:pos="1440"/>
        </w:tabs>
        <w:ind w:left="1440" w:hanging="360"/>
      </w:pPr>
      <w:rPr>
        <w:rFonts w:ascii="Courier New" w:hAnsi="Courier New" w:cs="Courier New" w:hint="default"/>
      </w:rPr>
    </w:lvl>
    <w:lvl w:ilvl="2" w:tplc="B22CE988" w:tentative="1">
      <w:start w:val="1"/>
      <w:numFmt w:val="bullet"/>
      <w:lvlText w:val=""/>
      <w:lvlJc w:val="left"/>
      <w:pPr>
        <w:tabs>
          <w:tab w:val="num" w:pos="2160"/>
        </w:tabs>
        <w:ind w:left="2160" w:hanging="360"/>
      </w:pPr>
      <w:rPr>
        <w:rFonts w:ascii="Wingdings" w:hAnsi="Wingdings" w:hint="default"/>
      </w:rPr>
    </w:lvl>
    <w:lvl w:ilvl="3" w:tplc="937A307C" w:tentative="1">
      <w:start w:val="1"/>
      <w:numFmt w:val="bullet"/>
      <w:lvlText w:val=""/>
      <w:lvlJc w:val="left"/>
      <w:pPr>
        <w:tabs>
          <w:tab w:val="num" w:pos="2880"/>
        </w:tabs>
        <w:ind w:left="2880" w:hanging="360"/>
      </w:pPr>
      <w:rPr>
        <w:rFonts w:ascii="Symbol" w:hAnsi="Symbol" w:hint="default"/>
      </w:rPr>
    </w:lvl>
    <w:lvl w:ilvl="4" w:tplc="4FDC1D2A" w:tentative="1">
      <w:start w:val="1"/>
      <w:numFmt w:val="bullet"/>
      <w:lvlText w:val="o"/>
      <w:lvlJc w:val="left"/>
      <w:pPr>
        <w:tabs>
          <w:tab w:val="num" w:pos="3600"/>
        </w:tabs>
        <w:ind w:left="3600" w:hanging="360"/>
      </w:pPr>
      <w:rPr>
        <w:rFonts w:ascii="Courier New" w:hAnsi="Courier New" w:cs="Courier New" w:hint="default"/>
      </w:rPr>
    </w:lvl>
    <w:lvl w:ilvl="5" w:tplc="1F2E6BD0" w:tentative="1">
      <w:start w:val="1"/>
      <w:numFmt w:val="bullet"/>
      <w:lvlText w:val=""/>
      <w:lvlJc w:val="left"/>
      <w:pPr>
        <w:tabs>
          <w:tab w:val="num" w:pos="4320"/>
        </w:tabs>
        <w:ind w:left="4320" w:hanging="360"/>
      </w:pPr>
      <w:rPr>
        <w:rFonts w:ascii="Wingdings" w:hAnsi="Wingdings" w:hint="default"/>
      </w:rPr>
    </w:lvl>
    <w:lvl w:ilvl="6" w:tplc="855A309A" w:tentative="1">
      <w:start w:val="1"/>
      <w:numFmt w:val="bullet"/>
      <w:lvlText w:val=""/>
      <w:lvlJc w:val="left"/>
      <w:pPr>
        <w:tabs>
          <w:tab w:val="num" w:pos="5040"/>
        </w:tabs>
        <w:ind w:left="5040" w:hanging="360"/>
      </w:pPr>
      <w:rPr>
        <w:rFonts w:ascii="Symbol" w:hAnsi="Symbol" w:hint="default"/>
      </w:rPr>
    </w:lvl>
    <w:lvl w:ilvl="7" w:tplc="F5CEAA68" w:tentative="1">
      <w:start w:val="1"/>
      <w:numFmt w:val="bullet"/>
      <w:lvlText w:val="o"/>
      <w:lvlJc w:val="left"/>
      <w:pPr>
        <w:tabs>
          <w:tab w:val="num" w:pos="5760"/>
        </w:tabs>
        <w:ind w:left="5760" w:hanging="360"/>
      </w:pPr>
      <w:rPr>
        <w:rFonts w:ascii="Courier New" w:hAnsi="Courier New" w:cs="Courier New" w:hint="default"/>
      </w:rPr>
    </w:lvl>
    <w:lvl w:ilvl="8" w:tplc="DB5846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05C9E"/>
    <w:multiLevelType w:val="multilevel"/>
    <w:tmpl w:val="15E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C2713"/>
    <w:multiLevelType w:val="multilevel"/>
    <w:tmpl w:val="87D8F644"/>
    <w:lvl w:ilvl="0">
      <w:start w:val="1"/>
      <w:numFmt w:val="decimal"/>
      <w:pStyle w:val="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211854"/>
    <w:multiLevelType w:val="hybridMultilevel"/>
    <w:tmpl w:val="D3B42F86"/>
    <w:lvl w:ilvl="0" w:tplc="32928884">
      <w:start w:val="1"/>
      <w:numFmt w:val="decimal"/>
      <w:lvlText w:val="(%1)"/>
      <w:lvlJc w:val="left"/>
      <w:pPr>
        <w:tabs>
          <w:tab w:val="num" w:pos="720"/>
        </w:tabs>
        <w:ind w:left="720" w:hanging="360"/>
      </w:pPr>
      <w:rPr>
        <w:rFonts w:hint="default"/>
      </w:rPr>
    </w:lvl>
    <w:lvl w:ilvl="1" w:tplc="96AA76D2" w:tentative="1">
      <w:start w:val="1"/>
      <w:numFmt w:val="lowerLetter"/>
      <w:lvlText w:val="%2."/>
      <w:lvlJc w:val="left"/>
      <w:pPr>
        <w:tabs>
          <w:tab w:val="num" w:pos="1440"/>
        </w:tabs>
        <w:ind w:left="1440" w:hanging="360"/>
      </w:pPr>
    </w:lvl>
    <w:lvl w:ilvl="2" w:tplc="DF22C8D6" w:tentative="1">
      <w:start w:val="1"/>
      <w:numFmt w:val="lowerRoman"/>
      <w:lvlText w:val="%3."/>
      <w:lvlJc w:val="right"/>
      <w:pPr>
        <w:tabs>
          <w:tab w:val="num" w:pos="2160"/>
        </w:tabs>
        <w:ind w:left="2160" w:hanging="180"/>
      </w:pPr>
    </w:lvl>
    <w:lvl w:ilvl="3" w:tplc="35B8421C" w:tentative="1">
      <w:start w:val="1"/>
      <w:numFmt w:val="decimal"/>
      <w:lvlText w:val="%4."/>
      <w:lvlJc w:val="left"/>
      <w:pPr>
        <w:tabs>
          <w:tab w:val="num" w:pos="2880"/>
        </w:tabs>
        <w:ind w:left="2880" w:hanging="360"/>
      </w:pPr>
    </w:lvl>
    <w:lvl w:ilvl="4" w:tplc="8C42251C" w:tentative="1">
      <w:start w:val="1"/>
      <w:numFmt w:val="lowerLetter"/>
      <w:lvlText w:val="%5."/>
      <w:lvlJc w:val="left"/>
      <w:pPr>
        <w:tabs>
          <w:tab w:val="num" w:pos="3600"/>
        </w:tabs>
        <w:ind w:left="3600" w:hanging="360"/>
      </w:pPr>
    </w:lvl>
    <w:lvl w:ilvl="5" w:tplc="F0BE4FBE" w:tentative="1">
      <w:start w:val="1"/>
      <w:numFmt w:val="lowerRoman"/>
      <w:lvlText w:val="%6."/>
      <w:lvlJc w:val="right"/>
      <w:pPr>
        <w:tabs>
          <w:tab w:val="num" w:pos="4320"/>
        </w:tabs>
        <w:ind w:left="4320" w:hanging="180"/>
      </w:pPr>
    </w:lvl>
    <w:lvl w:ilvl="6" w:tplc="BD608BDE" w:tentative="1">
      <w:start w:val="1"/>
      <w:numFmt w:val="decimal"/>
      <w:lvlText w:val="%7."/>
      <w:lvlJc w:val="left"/>
      <w:pPr>
        <w:tabs>
          <w:tab w:val="num" w:pos="5040"/>
        </w:tabs>
        <w:ind w:left="5040" w:hanging="360"/>
      </w:pPr>
    </w:lvl>
    <w:lvl w:ilvl="7" w:tplc="3910921C" w:tentative="1">
      <w:start w:val="1"/>
      <w:numFmt w:val="lowerLetter"/>
      <w:lvlText w:val="%8."/>
      <w:lvlJc w:val="left"/>
      <w:pPr>
        <w:tabs>
          <w:tab w:val="num" w:pos="5760"/>
        </w:tabs>
        <w:ind w:left="5760" w:hanging="360"/>
      </w:pPr>
    </w:lvl>
    <w:lvl w:ilvl="8" w:tplc="B9A0D498" w:tentative="1">
      <w:start w:val="1"/>
      <w:numFmt w:val="lowerRoman"/>
      <w:lvlText w:val="%9."/>
      <w:lvlJc w:val="right"/>
      <w:pPr>
        <w:tabs>
          <w:tab w:val="num" w:pos="6480"/>
        </w:tabs>
        <w:ind w:left="6480" w:hanging="180"/>
      </w:pPr>
    </w:lvl>
  </w:abstractNum>
  <w:num w:numId="1" w16cid:durableId="1763866722">
    <w:abstractNumId w:val="0"/>
  </w:num>
  <w:num w:numId="2" w16cid:durableId="7952874">
    <w:abstractNumId w:val="4"/>
  </w:num>
  <w:num w:numId="3" w16cid:durableId="168062367">
    <w:abstractNumId w:val="2"/>
  </w:num>
  <w:num w:numId="4" w16cid:durableId="407459279">
    <w:abstractNumId w:val="1"/>
  </w:num>
  <w:num w:numId="5" w16cid:durableId="178422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2"/>
    <w:rsid w:val="0000334F"/>
    <w:rsid w:val="00014323"/>
    <w:rsid w:val="0001445B"/>
    <w:rsid w:val="000148CE"/>
    <w:rsid w:val="00015864"/>
    <w:rsid w:val="00017EA4"/>
    <w:rsid w:val="00042304"/>
    <w:rsid w:val="00045279"/>
    <w:rsid w:val="000466AC"/>
    <w:rsid w:val="00051132"/>
    <w:rsid w:val="0005194C"/>
    <w:rsid w:val="00056F0B"/>
    <w:rsid w:val="000571E9"/>
    <w:rsid w:val="00061806"/>
    <w:rsid w:val="00063524"/>
    <w:rsid w:val="0006423F"/>
    <w:rsid w:val="00083944"/>
    <w:rsid w:val="00093663"/>
    <w:rsid w:val="00094676"/>
    <w:rsid w:val="000A2646"/>
    <w:rsid w:val="000A3DB5"/>
    <w:rsid w:val="000B0B1C"/>
    <w:rsid w:val="000B3B55"/>
    <w:rsid w:val="000D5B5A"/>
    <w:rsid w:val="000E092F"/>
    <w:rsid w:val="000E735D"/>
    <w:rsid w:val="000F657B"/>
    <w:rsid w:val="0010572B"/>
    <w:rsid w:val="0011160D"/>
    <w:rsid w:val="001128F3"/>
    <w:rsid w:val="00116E03"/>
    <w:rsid w:val="001237B1"/>
    <w:rsid w:val="00124420"/>
    <w:rsid w:val="0013505A"/>
    <w:rsid w:val="0014050A"/>
    <w:rsid w:val="001454E5"/>
    <w:rsid w:val="00147406"/>
    <w:rsid w:val="001503FA"/>
    <w:rsid w:val="001542F8"/>
    <w:rsid w:val="00155C21"/>
    <w:rsid w:val="001633D8"/>
    <w:rsid w:val="0017002D"/>
    <w:rsid w:val="0017075F"/>
    <w:rsid w:val="00172E89"/>
    <w:rsid w:val="00175435"/>
    <w:rsid w:val="00184A60"/>
    <w:rsid w:val="00187E58"/>
    <w:rsid w:val="00192200"/>
    <w:rsid w:val="001938B5"/>
    <w:rsid w:val="001A0EE7"/>
    <w:rsid w:val="001A1BE0"/>
    <w:rsid w:val="001A2CE6"/>
    <w:rsid w:val="001A32A3"/>
    <w:rsid w:val="001B2694"/>
    <w:rsid w:val="001C0827"/>
    <w:rsid w:val="001D2511"/>
    <w:rsid w:val="001D5B0F"/>
    <w:rsid w:val="001E1E0B"/>
    <w:rsid w:val="001E4FDC"/>
    <w:rsid w:val="001E6796"/>
    <w:rsid w:val="001E7AE7"/>
    <w:rsid w:val="001F4A33"/>
    <w:rsid w:val="0020134E"/>
    <w:rsid w:val="0020272B"/>
    <w:rsid w:val="00206B28"/>
    <w:rsid w:val="002140E5"/>
    <w:rsid w:val="00226DFE"/>
    <w:rsid w:val="00227723"/>
    <w:rsid w:val="00227B32"/>
    <w:rsid w:val="0024317E"/>
    <w:rsid w:val="00243501"/>
    <w:rsid w:val="00243BB9"/>
    <w:rsid w:val="00256388"/>
    <w:rsid w:val="00261F9F"/>
    <w:rsid w:val="00264C33"/>
    <w:rsid w:val="00270E4F"/>
    <w:rsid w:val="00277037"/>
    <w:rsid w:val="002842DB"/>
    <w:rsid w:val="00284ABD"/>
    <w:rsid w:val="00284AFE"/>
    <w:rsid w:val="00285724"/>
    <w:rsid w:val="00287D44"/>
    <w:rsid w:val="002B11CA"/>
    <w:rsid w:val="002B1CD1"/>
    <w:rsid w:val="002B6BBB"/>
    <w:rsid w:val="002C0479"/>
    <w:rsid w:val="002C1D61"/>
    <w:rsid w:val="002C351B"/>
    <w:rsid w:val="002C38FE"/>
    <w:rsid w:val="002D1356"/>
    <w:rsid w:val="002D449E"/>
    <w:rsid w:val="002D47BC"/>
    <w:rsid w:val="002D68CF"/>
    <w:rsid w:val="002D6AEA"/>
    <w:rsid w:val="002D6CAB"/>
    <w:rsid w:val="002E77D5"/>
    <w:rsid w:val="00305163"/>
    <w:rsid w:val="00306F40"/>
    <w:rsid w:val="0031543B"/>
    <w:rsid w:val="00324744"/>
    <w:rsid w:val="00343A04"/>
    <w:rsid w:val="003442FA"/>
    <w:rsid w:val="00345847"/>
    <w:rsid w:val="003532C4"/>
    <w:rsid w:val="00361A4D"/>
    <w:rsid w:val="0037167C"/>
    <w:rsid w:val="003806C4"/>
    <w:rsid w:val="003821C4"/>
    <w:rsid w:val="00396CDA"/>
    <w:rsid w:val="003971D4"/>
    <w:rsid w:val="003A3246"/>
    <w:rsid w:val="003A6591"/>
    <w:rsid w:val="003B3863"/>
    <w:rsid w:val="003C51CF"/>
    <w:rsid w:val="003C7219"/>
    <w:rsid w:val="003D29A2"/>
    <w:rsid w:val="003E7403"/>
    <w:rsid w:val="003E74C8"/>
    <w:rsid w:val="003F39B9"/>
    <w:rsid w:val="004062C0"/>
    <w:rsid w:val="00414B41"/>
    <w:rsid w:val="0041787A"/>
    <w:rsid w:val="0042091F"/>
    <w:rsid w:val="00424401"/>
    <w:rsid w:val="004249AB"/>
    <w:rsid w:val="00433605"/>
    <w:rsid w:val="00451032"/>
    <w:rsid w:val="0045119E"/>
    <w:rsid w:val="00460D3A"/>
    <w:rsid w:val="00471A6A"/>
    <w:rsid w:val="00472F10"/>
    <w:rsid w:val="0047741B"/>
    <w:rsid w:val="00483998"/>
    <w:rsid w:val="004938B8"/>
    <w:rsid w:val="004B2AA2"/>
    <w:rsid w:val="004B3901"/>
    <w:rsid w:val="004C389D"/>
    <w:rsid w:val="004C47CB"/>
    <w:rsid w:val="004D252E"/>
    <w:rsid w:val="004E7041"/>
    <w:rsid w:val="004F2560"/>
    <w:rsid w:val="005059AD"/>
    <w:rsid w:val="00510D3C"/>
    <w:rsid w:val="00511748"/>
    <w:rsid w:val="00512FC8"/>
    <w:rsid w:val="00517A49"/>
    <w:rsid w:val="005204C1"/>
    <w:rsid w:val="0052229A"/>
    <w:rsid w:val="00531816"/>
    <w:rsid w:val="00534DA9"/>
    <w:rsid w:val="00543589"/>
    <w:rsid w:val="005502FA"/>
    <w:rsid w:val="005522EB"/>
    <w:rsid w:val="00561EBA"/>
    <w:rsid w:val="005672AF"/>
    <w:rsid w:val="00577B36"/>
    <w:rsid w:val="00585304"/>
    <w:rsid w:val="00590565"/>
    <w:rsid w:val="00592DDF"/>
    <w:rsid w:val="00593F95"/>
    <w:rsid w:val="00595DDC"/>
    <w:rsid w:val="005973DA"/>
    <w:rsid w:val="005A2F63"/>
    <w:rsid w:val="005A6B20"/>
    <w:rsid w:val="005B02F0"/>
    <w:rsid w:val="005B47A6"/>
    <w:rsid w:val="005B47C7"/>
    <w:rsid w:val="005B56D9"/>
    <w:rsid w:val="005C17CC"/>
    <w:rsid w:val="005C5D46"/>
    <w:rsid w:val="005C6C67"/>
    <w:rsid w:val="005D0B38"/>
    <w:rsid w:val="005D1346"/>
    <w:rsid w:val="005D2B34"/>
    <w:rsid w:val="005E78E9"/>
    <w:rsid w:val="005F0431"/>
    <w:rsid w:val="005F2F90"/>
    <w:rsid w:val="005F45A3"/>
    <w:rsid w:val="005F6371"/>
    <w:rsid w:val="006046E0"/>
    <w:rsid w:val="00613D07"/>
    <w:rsid w:val="0061422A"/>
    <w:rsid w:val="0061583D"/>
    <w:rsid w:val="00623EB4"/>
    <w:rsid w:val="00625F0A"/>
    <w:rsid w:val="006302C9"/>
    <w:rsid w:val="00644499"/>
    <w:rsid w:val="00651DB6"/>
    <w:rsid w:val="00655AA3"/>
    <w:rsid w:val="00661266"/>
    <w:rsid w:val="00663934"/>
    <w:rsid w:val="0066416B"/>
    <w:rsid w:val="00664CC1"/>
    <w:rsid w:val="00666549"/>
    <w:rsid w:val="00666808"/>
    <w:rsid w:val="00676DC7"/>
    <w:rsid w:val="00677B73"/>
    <w:rsid w:val="00680DA7"/>
    <w:rsid w:val="00683B65"/>
    <w:rsid w:val="00683FB5"/>
    <w:rsid w:val="00687020"/>
    <w:rsid w:val="00690122"/>
    <w:rsid w:val="006B0C5E"/>
    <w:rsid w:val="006C3039"/>
    <w:rsid w:val="006E4E93"/>
    <w:rsid w:val="006E67E1"/>
    <w:rsid w:val="006F0D6E"/>
    <w:rsid w:val="007002AE"/>
    <w:rsid w:val="00712E26"/>
    <w:rsid w:val="007233B6"/>
    <w:rsid w:val="00733A0B"/>
    <w:rsid w:val="00740C8C"/>
    <w:rsid w:val="00741D65"/>
    <w:rsid w:val="00742975"/>
    <w:rsid w:val="007453CF"/>
    <w:rsid w:val="00746D94"/>
    <w:rsid w:val="0075487E"/>
    <w:rsid w:val="00755CFC"/>
    <w:rsid w:val="00771453"/>
    <w:rsid w:val="00771D27"/>
    <w:rsid w:val="0077547B"/>
    <w:rsid w:val="00780AB9"/>
    <w:rsid w:val="00782043"/>
    <w:rsid w:val="00791CD8"/>
    <w:rsid w:val="007A427B"/>
    <w:rsid w:val="007B1349"/>
    <w:rsid w:val="007B2C06"/>
    <w:rsid w:val="007C5E7B"/>
    <w:rsid w:val="007D3E51"/>
    <w:rsid w:val="007E5F62"/>
    <w:rsid w:val="007E77E9"/>
    <w:rsid w:val="007F094A"/>
    <w:rsid w:val="007F3E6D"/>
    <w:rsid w:val="007F68BE"/>
    <w:rsid w:val="008013FA"/>
    <w:rsid w:val="0080426E"/>
    <w:rsid w:val="008120F0"/>
    <w:rsid w:val="00817247"/>
    <w:rsid w:val="00820B63"/>
    <w:rsid w:val="00824182"/>
    <w:rsid w:val="00831001"/>
    <w:rsid w:val="0083171D"/>
    <w:rsid w:val="008339AA"/>
    <w:rsid w:val="00843C34"/>
    <w:rsid w:val="0085096E"/>
    <w:rsid w:val="00851A89"/>
    <w:rsid w:val="008614E7"/>
    <w:rsid w:val="00867431"/>
    <w:rsid w:val="0087450B"/>
    <w:rsid w:val="008765E2"/>
    <w:rsid w:val="00877DBE"/>
    <w:rsid w:val="00881FBC"/>
    <w:rsid w:val="0088379F"/>
    <w:rsid w:val="0088425F"/>
    <w:rsid w:val="00884E89"/>
    <w:rsid w:val="0089119D"/>
    <w:rsid w:val="00891DB4"/>
    <w:rsid w:val="00892AB0"/>
    <w:rsid w:val="00896F17"/>
    <w:rsid w:val="008A23B8"/>
    <w:rsid w:val="008A64A0"/>
    <w:rsid w:val="008B4E36"/>
    <w:rsid w:val="008B7F92"/>
    <w:rsid w:val="008D147D"/>
    <w:rsid w:val="008D73FD"/>
    <w:rsid w:val="008E6078"/>
    <w:rsid w:val="008F31DF"/>
    <w:rsid w:val="009015D0"/>
    <w:rsid w:val="0090511F"/>
    <w:rsid w:val="0090566C"/>
    <w:rsid w:val="0090723B"/>
    <w:rsid w:val="00910908"/>
    <w:rsid w:val="00915341"/>
    <w:rsid w:val="009216C2"/>
    <w:rsid w:val="00922EDA"/>
    <w:rsid w:val="00923062"/>
    <w:rsid w:val="009255E3"/>
    <w:rsid w:val="009266AD"/>
    <w:rsid w:val="00933826"/>
    <w:rsid w:val="00935CE9"/>
    <w:rsid w:val="00937A92"/>
    <w:rsid w:val="00943761"/>
    <w:rsid w:val="0095070B"/>
    <w:rsid w:val="00956CD9"/>
    <w:rsid w:val="00964736"/>
    <w:rsid w:val="00971284"/>
    <w:rsid w:val="00971506"/>
    <w:rsid w:val="00985523"/>
    <w:rsid w:val="0099341A"/>
    <w:rsid w:val="009A3203"/>
    <w:rsid w:val="009B0326"/>
    <w:rsid w:val="009B2CF9"/>
    <w:rsid w:val="009D0F80"/>
    <w:rsid w:val="009D39FB"/>
    <w:rsid w:val="009D4F91"/>
    <w:rsid w:val="009E0E28"/>
    <w:rsid w:val="009F0EB6"/>
    <w:rsid w:val="009F3D0E"/>
    <w:rsid w:val="009F5415"/>
    <w:rsid w:val="00A06E42"/>
    <w:rsid w:val="00A24797"/>
    <w:rsid w:val="00A36BDB"/>
    <w:rsid w:val="00A36F8D"/>
    <w:rsid w:val="00A46EAE"/>
    <w:rsid w:val="00A5034C"/>
    <w:rsid w:val="00A50D47"/>
    <w:rsid w:val="00A521B7"/>
    <w:rsid w:val="00A6446D"/>
    <w:rsid w:val="00A72F4C"/>
    <w:rsid w:val="00A74BB6"/>
    <w:rsid w:val="00A76EE3"/>
    <w:rsid w:val="00A813DF"/>
    <w:rsid w:val="00A84D2E"/>
    <w:rsid w:val="00A953DF"/>
    <w:rsid w:val="00A96F5A"/>
    <w:rsid w:val="00AA5DE9"/>
    <w:rsid w:val="00AB092F"/>
    <w:rsid w:val="00AC0240"/>
    <w:rsid w:val="00AC5086"/>
    <w:rsid w:val="00AC5C28"/>
    <w:rsid w:val="00AC6DEC"/>
    <w:rsid w:val="00AD1EC0"/>
    <w:rsid w:val="00AD6AFA"/>
    <w:rsid w:val="00AE2790"/>
    <w:rsid w:val="00AE451D"/>
    <w:rsid w:val="00B01053"/>
    <w:rsid w:val="00B0156D"/>
    <w:rsid w:val="00B039E2"/>
    <w:rsid w:val="00B13D08"/>
    <w:rsid w:val="00B17049"/>
    <w:rsid w:val="00B202EE"/>
    <w:rsid w:val="00B242E5"/>
    <w:rsid w:val="00B3262B"/>
    <w:rsid w:val="00B3605A"/>
    <w:rsid w:val="00B43584"/>
    <w:rsid w:val="00B44FF3"/>
    <w:rsid w:val="00B50D29"/>
    <w:rsid w:val="00B61793"/>
    <w:rsid w:val="00B70B20"/>
    <w:rsid w:val="00B85D42"/>
    <w:rsid w:val="00B96544"/>
    <w:rsid w:val="00BA23FC"/>
    <w:rsid w:val="00BB1036"/>
    <w:rsid w:val="00BB3E15"/>
    <w:rsid w:val="00BB456F"/>
    <w:rsid w:val="00BB7ED2"/>
    <w:rsid w:val="00BC12DE"/>
    <w:rsid w:val="00BC322C"/>
    <w:rsid w:val="00BC7F7A"/>
    <w:rsid w:val="00BE04AB"/>
    <w:rsid w:val="00BE76F0"/>
    <w:rsid w:val="00BF0BCD"/>
    <w:rsid w:val="00BF4C29"/>
    <w:rsid w:val="00C00C38"/>
    <w:rsid w:val="00C11A57"/>
    <w:rsid w:val="00C2321E"/>
    <w:rsid w:val="00C261D9"/>
    <w:rsid w:val="00C26EFC"/>
    <w:rsid w:val="00C362B5"/>
    <w:rsid w:val="00C452DC"/>
    <w:rsid w:val="00C56D5E"/>
    <w:rsid w:val="00C63B97"/>
    <w:rsid w:val="00C768E2"/>
    <w:rsid w:val="00C957F9"/>
    <w:rsid w:val="00C97625"/>
    <w:rsid w:val="00CA17FC"/>
    <w:rsid w:val="00CB3C8E"/>
    <w:rsid w:val="00CB7783"/>
    <w:rsid w:val="00CC046E"/>
    <w:rsid w:val="00CC3457"/>
    <w:rsid w:val="00CC4A8A"/>
    <w:rsid w:val="00CC76D7"/>
    <w:rsid w:val="00CD515E"/>
    <w:rsid w:val="00CE3D9D"/>
    <w:rsid w:val="00CF1A2F"/>
    <w:rsid w:val="00D027E7"/>
    <w:rsid w:val="00D074DE"/>
    <w:rsid w:val="00D16E69"/>
    <w:rsid w:val="00D23121"/>
    <w:rsid w:val="00D236B4"/>
    <w:rsid w:val="00D25076"/>
    <w:rsid w:val="00D25350"/>
    <w:rsid w:val="00D267CC"/>
    <w:rsid w:val="00D27D64"/>
    <w:rsid w:val="00D30D81"/>
    <w:rsid w:val="00D32728"/>
    <w:rsid w:val="00D35258"/>
    <w:rsid w:val="00D368D1"/>
    <w:rsid w:val="00D404A3"/>
    <w:rsid w:val="00D53917"/>
    <w:rsid w:val="00D54DC7"/>
    <w:rsid w:val="00D56EF5"/>
    <w:rsid w:val="00D6004C"/>
    <w:rsid w:val="00D60738"/>
    <w:rsid w:val="00D9401A"/>
    <w:rsid w:val="00D96398"/>
    <w:rsid w:val="00D97AF9"/>
    <w:rsid w:val="00DA0842"/>
    <w:rsid w:val="00DB4DEF"/>
    <w:rsid w:val="00DB51C2"/>
    <w:rsid w:val="00DB56A5"/>
    <w:rsid w:val="00DB5B82"/>
    <w:rsid w:val="00DB701A"/>
    <w:rsid w:val="00DC58FA"/>
    <w:rsid w:val="00DC7B53"/>
    <w:rsid w:val="00DC7E17"/>
    <w:rsid w:val="00DD1282"/>
    <w:rsid w:val="00DD5390"/>
    <w:rsid w:val="00DE239D"/>
    <w:rsid w:val="00DE35A9"/>
    <w:rsid w:val="00E014F4"/>
    <w:rsid w:val="00E13CDD"/>
    <w:rsid w:val="00E17AEE"/>
    <w:rsid w:val="00E205DF"/>
    <w:rsid w:val="00E25C08"/>
    <w:rsid w:val="00E2676D"/>
    <w:rsid w:val="00E30B30"/>
    <w:rsid w:val="00E449BD"/>
    <w:rsid w:val="00E4537A"/>
    <w:rsid w:val="00E45763"/>
    <w:rsid w:val="00E50DE3"/>
    <w:rsid w:val="00E5316F"/>
    <w:rsid w:val="00E5697D"/>
    <w:rsid w:val="00E62786"/>
    <w:rsid w:val="00E6530B"/>
    <w:rsid w:val="00E6568A"/>
    <w:rsid w:val="00E67A10"/>
    <w:rsid w:val="00E702AF"/>
    <w:rsid w:val="00E71324"/>
    <w:rsid w:val="00E72D75"/>
    <w:rsid w:val="00E776F8"/>
    <w:rsid w:val="00E83B6A"/>
    <w:rsid w:val="00E851D6"/>
    <w:rsid w:val="00E8702F"/>
    <w:rsid w:val="00E9685C"/>
    <w:rsid w:val="00EA367F"/>
    <w:rsid w:val="00EB322E"/>
    <w:rsid w:val="00EB5291"/>
    <w:rsid w:val="00ED0FCB"/>
    <w:rsid w:val="00ED3F5C"/>
    <w:rsid w:val="00EE2D23"/>
    <w:rsid w:val="00EE65E9"/>
    <w:rsid w:val="00EF25A3"/>
    <w:rsid w:val="00F01F3F"/>
    <w:rsid w:val="00F05C3D"/>
    <w:rsid w:val="00F06004"/>
    <w:rsid w:val="00F067E1"/>
    <w:rsid w:val="00F12163"/>
    <w:rsid w:val="00F13670"/>
    <w:rsid w:val="00F17032"/>
    <w:rsid w:val="00F33E4A"/>
    <w:rsid w:val="00F3574A"/>
    <w:rsid w:val="00F4061A"/>
    <w:rsid w:val="00F43890"/>
    <w:rsid w:val="00F456DE"/>
    <w:rsid w:val="00F50D13"/>
    <w:rsid w:val="00F53B07"/>
    <w:rsid w:val="00F5445D"/>
    <w:rsid w:val="00F555E9"/>
    <w:rsid w:val="00F64E6D"/>
    <w:rsid w:val="00F7084F"/>
    <w:rsid w:val="00F72884"/>
    <w:rsid w:val="00F76FE9"/>
    <w:rsid w:val="00F776C4"/>
    <w:rsid w:val="00F77D07"/>
    <w:rsid w:val="00F8400C"/>
    <w:rsid w:val="00F86B94"/>
    <w:rsid w:val="00F92B33"/>
    <w:rsid w:val="00FA621B"/>
    <w:rsid w:val="00FB22A3"/>
    <w:rsid w:val="00FB437C"/>
    <w:rsid w:val="00FC0BDC"/>
    <w:rsid w:val="00FC1C43"/>
    <w:rsid w:val="00FC72B5"/>
    <w:rsid w:val="00FD1E7D"/>
    <w:rsid w:val="00FD71FB"/>
    <w:rsid w:val="00FD73EE"/>
    <w:rsid w:val="00FD759F"/>
    <w:rsid w:val="00FE71C0"/>
    <w:rsid w:val="00F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2042796"/>
  <w15:chartTrackingRefBased/>
  <w15:docId w15:val="{7E80C761-6622-47BD-83D9-626D1BC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outlineLvl w:val="0"/>
    </w:pPr>
    <w:rPr>
      <w:u w:val="single"/>
    </w:rPr>
  </w:style>
  <w:style w:type="paragraph" w:styleId="Heading2">
    <w:name w:val="heading 2"/>
    <w:aliases w:val="h2"/>
    <w:basedOn w:val="Normal"/>
    <w:next w:val="Normal"/>
    <w:qFormat/>
    <w:pPr>
      <w:keepNext/>
      <w:spacing w:before="240" w:after="240"/>
      <w:outlineLvl w:val="1"/>
    </w:pPr>
    <w:rPr>
      <w:b/>
      <w:szCs w:val="20"/>
    </w:rPr>
  </w:style>
  <w:style w:type="paragraph" w:styleId="Heading3">
    <w:name w:val="heading 3"/>
    <w:aliases w:val="h3"/>
    <w:basedOn w:val="Normal"/>
    <w:next w:val="Normal"/>
    <w:qFormat/>
    <w:pPr>
      <w:keepNext/>
      <w:spacing w:before="120" w:after="120"/>
      <w:outlineLvl w:val="2"/>
    </w:pPr>
    <w:rPr>
      <w:i/>
      <w:szCs w:val="20"/>
    </w:rPr>
  </w:style>
  <w:style w:type="paragraph" w:styleId="Heading4">
    <w:name w:val="heading 4"/>
    <w:aliases w:val="h4"/>
    <w:basedOn w:val="Normal"/>
    <w:next w:val="Normal"/>
    <w:qFormat/>
    <w:pPr>
      <w:keepNext/>
      <w:widowControl w:val="0"/>
      <w:spacing w:before="360" w:after="240"/>
      <w:outlineLvl w:val="3"/>
    </w:pPr>
    <w:rPr>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character" w:styleId="FollowedHyperlink">
    <w:name w:val="FollowedHyperlink"/>
    <w:rPr>
      <w:color w:val="800080"/>
      <w:u w:val="single"/>
    </w:rPr>
  </w:style>
  <w:style w:type="paragraph" w:customStyle="1" w:styleId="Bullet">
    <w:name w:val="Bullet"/>
    <w:basedOn w:val="Normal"/>
    <w:pPr>
      <w:numPr>
        <w:numId w:val="1"/>
      </w:numPr>
      <w:spacing w:before="60" w:after="120"/>
    </w:pPr>
    <w:rPr>
      <w:szCs w:val="20"/>
    </w:rPr>
  </w:style>
  <w:style w:type="paragraph" w:styleId="BodyText2">
    <w:name w:val="Body Text 2"/>
    <w:basedOn w:val="Normal"/>
    <w:rPr>
      <w:color w:val="0000FF"/>
    </w:rPr>
  </w:style>
  <w:style w:type="paragraph" w:customStyle="1" w:styleId="BulletIndent">
    <w:name w:val="Bullet Indent"/>
    <w:basedOn w:val="Normal"/>
    <w:pPr>
      <w:numPr>
        <w:numId w:val="5"/>
      </w:numPr>
      <w:tabs>
        <w:tab w:val="num" w:pos="1980"/>
      </w:tabs>
      <w:spacing w:before="60" w:after="60"/>
      <w:ind w:left="1980" w:hanging="540"/>
    </w:pPr>
    <w:rPr>
      <w:szCs w:val="20"/>
    </w:rPr>
  </w:style>
  <w:style w:type="paragraph" w:customStyle="1" w:styleId="NormalArial">
    <w:name w:val="Normal+Arial"/>
    <w:basedOn w:val="Normal"/>
    <w:rPr>
      <w:rFonts w:ascii="Arial" w:hAnsi="Arial"/>
    </w:rPr>
  </w:style>
  <w:style w:type="paragraph" w:customStyle="1" w:styleId="H4">
    <w:name w:val="H4"/>
    <w:basedOn w:val="Heading4"/>
    <w:next w:val="BodyText"/>
    <w:rsid w:val="00093663"/>
    <w:pPr>
      <w:tabs>
        <w:tab w:val="left" w:pos="1260"/>
      </w:tabs>
      <w:spacing w:before="240"/>
      <w:ind w:left="1260" w:hanging="1260"/>
    </w:pPr>
    <w:rPr>
      <w:b/>
      <w:bCs/>
    </w:rPr>
  </w:style>
  <w:style w:type="paragraph" w:styleId="BalloonText">
    <w:name w:val="Balloon Text"/>
    <w:basedOn w:val="Normal"/>
    <w:semiHidden/>
    <w:rsid w:val="00093663"/>
    <w:rPr>
      <w:rFonts w:ascii="Tahoma" w:hAnsi="Tahoma" w:cs="Tahoma"/>
      <w:sz w:val="16"/>
      <w:szCs w:val="16"/>
    </w:rPr>
  </w:style>
  <w:style w:type="paragraph" w:customStyle="1" w:styleId="Formula">
    <w:name w:val="Formula"/>
    <w:basedOn w:val="Normal"/>
    <w:autoRedefine/>
    <w:rsid w:val="00093663"/>
    <w:pPr>
      <w:tabs>
        <w:tab w:val="left" w:pos="2340"/>
        <w:tab w:val="left" w:pos="2880"/>
        <w:tab w:val="left" w:pos="3420"/>
      </w:tabs>
      <w:spacing w:after="240"/>
      <w:ind w:left="3420" w:hanging="2700"/>
    </w:pPr>
    <w:rPr>
      <w:bCs/>
    </w:rPr>
  </w:style>
  <w:style w:type="paragraph" w:customStyle="1" w:styleId="VariableDefinition">
    <w:name w:val="Variable Definition"/>
    <w:basedOn w:val="BodyTextIndent"/>
    <w:rsid w:val="00093663"/>
    <w:pPr>
      <w:tabs>
        <w:tab w:val="left" w:pos="2160"/>
      </w:tabs>
      <w:spacing w:before="0" w:after="240"/>
      <w:ind w:left="2160" w:hanging="1440"/>
      <w:contextualSpacing/>
    </w:pPr>
    <w:rPr>
      <w:iCs/>
      <w:szCs w:val="20"/>
    </w:rPr>
  </w:style>
  <w:style w:type="paragraph" w:styleId="CommentText">
    <w:name w:val="annotation text"/>
    <w:basedOn w:val="Normal"/>
    <w:link w:val="CommentTextChar"/>
    <w:semiHidden/>
    <w:rsid w:val="00AC5086"/>
    <w:rPr>
      <w:sz w:val="20"/>
      <w:szCs w:val="20"/>
    </w:rPr>
  </w:style>
  <w:style w:type="paragraph" w:customStyle="1" w:styleId="Char3">
    <w:name w:val="Char3"/>
    <w:basedOn w:val="Normal"/>
    <w:rsid w:val="00287D44"/>
    <w:pPr>
      <w:spacing w:after="160" w:line="240" w:lineRule="exact"/>
    </w:pPr>
    <w:rPr>
      <w:rFonts w:ascii="Verdana" w:hAnsi="Verdana"/>
      <w:sz w:val="16"/>
      <w:szCs w:val="20"/>
    </w:rPr>
  </w:style>
  <w:style w:type="paragraph" w:styleId="FootnoteText">
    <w:name w:val="footnote text"/>
    <w:basedOn w:val="Normal"/>
    <w:semiHidden/>
    <w:rsid w:val="0088379F"/>
    <w:rPr>
      <w:sz w:val="18"/>
      <w:szCs w:val="20"/>
    </w:rPr>
  </w:style>
  <w:style w:type="character" w:styleId="CommentReference">
    <w:name w:val="annotation reference"/>
    <w:rsid w:val="008120F0"/>
    <w:rPr>
      <w:sz w:val="16"/>
      <w:szCs w:val="16"/>
    </w:rPr>
  </w:style>
  <w:style w:type="paragraph" w:styleId="CommentSubject">
    <w:name w:val="annotation subject"/>
    <w:basedOn w:val="CommentText"/>
    <w:next w:val="CommentText"/>
    <w:link w:val="CommentSubjectChar"/>
    <w:rsid w:val="008120F0"/>
    <w:rPr>
      <w:b/>
      <w:bCs/>
    </w:rPr>
  </w:style>
  <w:style w:type="character" w:customStyle="1" w:styleId="CommentTextChar">
    <w:name w:val="Comment Text Char"/>
    <w:basedOn w:val="DefaultParagraphFont"/>
    <w:link w:val="CommentText"/>
    <w:semiHidden/>
    <w:rsid w:val="008120F0"/>
  </w:style>
  <w:style w:type="character" w:customStyle="1" w:styleId="CommentSubjectChar">
    <w:name w:val="Comment Subject Char"/>
    <w:basedOn w:val="CommentTextChar"/>
    <w:link w:val="CommentSubject"/>
    <w:rsid w:val="008120F0"/>
  </w:style>
  <w:style w:type="paragraph" w:styleId="Revision">
    <w:name w:val="Revision"/>
    <w:hidden/>
    <w:uiPriority w:val="99"/>
    <w:semiHidden/>
    <w:rsid w:val="00E713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1294">
      <w:bodyDiv w:val="1"/>
      <w:marLeft w:val="0"/>
      <w:marRight w:val="0"/>
      <w:marTop w:val="0"/>
      <w:marBottom w:val="0"/>
      <w:divBdr>
        <w:top w:val="none" w:sz="0" w:space="0" w:color="auto"/>
        <w:left w:val="none" w:sz="0" w:space="0" w:color="auto"/>
        <w:bottom w:val="none" w:sz="0" w:space="0" w:color="auto"/>
        <w:right w:val="none" w:sz="0" w:space="0" w:color="auto"/>
      </w:divBdr>
      <w:divsChild>
        <w:div w:id="233710886">
          <w:marLeft w:val="0"/>
          <w:marRight w:val="0"/>
          <w:marTop w:val="0"/>
          <w:marBottom w:val="0"/>
          <w:divBdr>
            <w:top w:val="none" w:sz="0" w:space="0" w:color="auto"/>
            <w:left w:val="none" w:sz="0" w:space="0" w:color="auto"/>
            <w:bottom w:val="none" w:sz="0" w:space="0" w:color="auto"/>
            <w:right w:val="none" w:sz="0" w:space="0" w:color="auto"/>
          </w:divBdr>
          <w:divsChild>
            <w:div w:id="857550788">
              <w:marLeft w:val="0"/>
              <w:marRight w:val="0"/>
              <w:marTop w:val="0"/>
              <w:marBottom w:val="0"/>
              <w:divBdr>
                <w:top w:val="none" w:sz="0" w:space="0" w:color="auto"/>
                <w:left w:val="none" w:sz="0" w:space="0" w:color="auto"/>
                <w:bottom w:val="none" w:sz="0" w:space="0" w:color="auto"/>
                <w:right w:val="none" w:sz="0" w:space="0" w:color="auto"/>
              </w:divBdr>
            </w:div>
            <w:div w:id="1307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42444B60F5A41A03ED77101FD333C" ma:contentTypeVersion="0" ma:contentTypeDescription="Create a new document." ma:contentTypeScope="" ma:versionID="12bfb179ab6d543465335fcad85c865b">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CB562-058D-49BE-BB83-A3302A4F901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34af464-7aa1-4edd-9be4-83dffc1cb92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79C072-92CC-4B8B-BAEB-60C20F5B3B45}">
  <ds:schemaRefs>
    <ds:schemaRef ds:uri="http://schemas.openxmlformats.org/officeDocument/2006/bibliography"/>
  </ds:schemaRefs>
</ds:datastoreItem>
</file>

<file path=customXml/itemProps3.xml><?xml version="1.0" encoding="utf-8"?>
<ds:datastoreItem xmlns:ds="http://schemas.openxmlformats.org/officeDocument/2006/customXml" ds:itemID="{38BC6030-FFC4-456C-8F5A-2D2CC133E3DD}">
  <ds:schemaRefs>
    <ds:schemaRef ds:uri="http://schemas.microsoft.com/sharepoint/v3/contenttype/forms"/>
  </ds:schemaRefs>
</ds:datastoreItem>
</file>

<file path=customXml/itemProps4.xml><?xml version="1.0" encoding="utf-8"?>
<ds:datastoreItem xmlns:ds="http://schemas.openxmlformats.org/officeDocument/2006/customXml" ds:itemID="{D8EE7B84-D0F0-434B-8410-79D6E29F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1516</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2007-01-12T13:31:00Z</cp:lastPrinted>
  <dcterms:created xsi:type="dcterms:W3CDTF">2026-02-19T02:01:00Z</dcterms:created>
  <dcterms:modified xsi:type="dcterms:W3CDTF">2026-02-19T02:05:00Z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2024-07-16T19:00:58Z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1bbbbab9-c35b-4c52-9303-0edf06990b9b</vt:lpwstr>
  </property>
  <property fmtid="{D5CDD505-2E9C-101B-9397-08002B2CF9AE}" pid="9" name="MSIP_Label_7084cbda-52b8-46fb-a7b7-cb5bd465ed85_ContentBits">
    <vt:lpwstr>0</vt:lpwstr>
  </property>
</Properties>
</file>