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440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165"/>
        <w:gridCol w:w="1170"/>
        <w:gridCol w:w="6485"/>
      </w:tblGrid>
      <w:tr w:rsidR="00A11FB8" w14:paraId="6AA008CA" w14:textId="77777777" w:rsidTr="00FB5AD1">
        <w:tc>
          <w:tcPr>
            <w:tcW w:w="162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D7AEE2" w14:textId="522120D1" w:rsidR="00A11FB8" w:rsidRDefault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NOGRR</w:t>
            </w:r>
            <w:r w:rsidR="00F92FB3">
              <w:rPr>
                <w:rFonts w:ascii="Arial" w:eastAsia="Arial" w:hAnsi="Arial" w:cs="Arial"/>
                <w:b/>
                <w:bCs/>
                <w:color w:val="000000"/>
              </w:rPr>
              <w:t xml:space="preserve"> Number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  <w:vAlign w:val="center"/>
          </w:tcPr>
          <w:p w14:paraId="3D5CCA46" w14:textId="5C3561B2" w:rsidR="00A11FB8" w:rsidRPr="00FB5AD1" w:rsidRDefault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hyperlink r:id="rId9" w:history="1">
              <w:r w:rsidRPr="00FB5AD1">
                <w:rPr>
                  <w:rStyle w:val="Hyperlink"/>
                  <w:rFonts w:ascii="Arial" w:hAnsi="Arial" w:cs="Arial"/>
                  <w:b/>
                  <w:bCs/>
                </w:rPr>
                <w:t>282</w:t>
              </w:r>
            </w:hyperlink>
          </w:p>
        </w:tc>
        <w:tc>
          <w:tcPr>
            <w:tcW w:w="117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C8C5C9" w14:textId="65A2AF25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</w:t>
            </w:r>
            <w:r w:rsidR="00FB5AD1">
              <w:rPr>
                <w:rFonts w:ascii="Arial" w:eastAsia="Arial" w:hAnsi="Arial" w:cs="Arial"/>
                <w:b/>
                <w:bCs/>
                <w:color w:val="000000"/>
              </w:rPr>
              <w:t>OGRR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Title</w:t>
            </w:r>
          </w:p>
        </w:tc>
        <w:tc>
          <w:tcPr>
            <w:tcW w:w="6485" w:type="dxa"/>
            <w:tcBorders>
              <w:bottom w:val="single" w:sz="4" w:space="0" w:color="000000"/>
            </w:tcBorders>
            <w:vAlign w:val="center"/>
          </w:tcPr>
          <w:p w14:paraId="50586824" w14:textId="13C091FB" w:rsidR="00A11FB8" w:rsidRPr="00FB5AD1" w:rsidRDefault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FB5AD1">
              <w:rPr>
                <w:rFonts w:ascii="Arial" w:hAnsi="Arial" w:cs="Arial"/>
                <w:b/>
                <w:bCs/>
              </w:rPr>
              <w:t>Board Priority - Large Electronic Load Ride-Through Requirements</w:t>
            </w:r>
          </w:p>
        </w:tc>
      </w:tr>
      <w:tr w:rsidR="00A11FB8" w14:paraId="7AD9CB42" w14:textId="77777777" w:rsidTr="00FB5AD1">
        <w:trPr>
          <w:trHeight w:val="413"/>
        </w:trPr>
        <w:tc>
          <w:tcPr>
            <w:tcW w:w="278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7E13D0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7CAD1A7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11FB8" w14:paraId="7C30690E" w14:textId="77777777" w:rsidTr="00FB5AD1">
        <w:trPr>
          <w:trHeight w:val="440"/>
        </w:trPr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789C8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Date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D793A" w14:textId="65D58019" w:rsidR="00A11FB8" w:rsidRDefault="005756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February 16, 2026</w:t>
            </w:r>
          </w:p>
        </w:tc>
      </w:tr>
      <w:tr w:rsidR="00A11FB8" w14:paraId="1230152E" w14:textId="77777777" w:rsidTr="00FB5AD1">
        <w:trPr>
          <w:trHeight w:val="467"/>
        </w:trPr>
        <w:tc>
          <w:tcPr>
            <w:tcW w:w="278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B26C2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AD73D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11FB8" w14:paraId="4F061573" w14:textId="77777777">
        <w:trPr>
          <w:trHeight w:val="440"/>
        </w:trPr>
        <w:tc>
          <w:tcPr>
            <w:tcW w:w="10440" w:type="dxa"/>
            <w:gridSpan w:val="4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9A94D44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Submitter’s Information</w:t>
            </w:r>
          </w:p>
        </w:tc>
      </w:tr>
      <w:tr w:rsidR="00A11FB8" w14:paraId="17DFC5C7" w14:textId="77777777" w:rsidTr="00FB5AD1">
        <w:trPr>
          <w:trHeight w:val="350"/>
        </w:trPr>
        <w:tc>
          <w:tcPr>
            <w:tcW w:w="2785" w:type="dxa"/>
            <w:gridSpan w:val="2"/>
            <w:shd w:val="clear" w:color="auto" w:fill="FFFFFF"/>
            <w:vAlign w:val="center"/>
          </w:tcPr>
          <w:p w14:paraId="3771BE43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Name</w:t>
            </w:r>
          </w:p>
        </w:tc>
        <w:tc>
          <w:tcPr>
            <w:tcW w:w="7655" w:type="dxa"/>
            <w:gridSpan w:val="2"/>
            <w:vAlign w:val="center"/>
          </w:tcPr>
          <w:p w14:paraId="219CCFE2" w14:textId="4692FC11" w:rsidR="00A11FB8" w:rsidRPr="00FB5AD1" w:rsidRDefault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FB5AD1">
              <w:rPr>
                <w:rFonts w:ascii="Arial" w:hAnsi="Arial" w:cs="Arial"/>
              </w:rPr>
              <w:t>Patrick Gravois</w:t>
            </w:r>
          </w:p>
        </w:tc>
      </w:tr>
      <w:tr w:rsidR="00FB5AD1" w14:paraId="49E0B5CF" w14:textId="77777777" w:rsidTr="00FB5AD1">
        <w:trPr>
          <w:trHeight w:val="350"/>
        </w:trPr>
        <w:tc>
          <w:tcPr>
            <w:tcW w:w="2785" w:type="dxa"/>
            <w:gridSpan w:val="2"/>
            <w:shd w:val="clear" w:color="auto" w:fill="FFFFFF"/>
            <w:vAlign w:val="center"/>
          </w:tcPr>
          <w:p w14:paraId="7EB3315D" w14:textId="77777777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E-mail Address</w:t>
            </w:r>
          </w:p>
        </w:tc>
        <w:tc>
          <w:tcPr>
            <w:tcW w:w="7655" w:type="dxa"/>
            <w:gridSpan w:val="2"/>
            <w:vAlign w:val="center"/>
          </w:tcPr>
          <w:p w14:paraId="3B79C754" w14:textId="0A9149E2" w:rsidR="00FB5AD1" w:rsidRP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10" w:history="1">
              <w:r w:rsidRPr="00FB5AD1">
                <w:rPr>
                  <w:rStyle w:val="Hyperlink"/>
                  <w:rFonts w:ascii="Arial" w:hAnsi="Arial" w:cs="Arial"/>
                </w:rPr>
                <w:t>Patrick.Gravois@ercot.com</w:t>
              </w:r>
            </w:hyperlink>
          </w:p>
        </w:tc>
      </w:tr>
      <w:tr w:rsidR="00FB5AD1" w14:paraId="15E1CD60" w14:textId="77777777" w:rsidTr="00FB5AD1">
        <w:trPr>
          <w:trHeight w:val="350"/>
        </w:trPr>
        <w:tc>
          <w:tcPr>
            <w:tcW w:w="2785" w:type="dxa"/>
            <w:gridSpan w:val="2"/>
            <w:shd w:val="clear" w:color="auto" w:fill="FFFFFF"/>
            <w:vAlign w:val="center"/>
          </w:tcPr>
          <w:p w14:paraId="4CABAD4D" w14:textId="77777777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Company</w:t>
            </w:r>
          </w:p>
        </w:tc>
        <w:tc>
          <w:tcPr>
            <w:tcW w:w="7655" w:type="dxa"/>
            <w:gridSpan w:val="2"/>
            <w:vAlign w:val="center"/>
          </w:tcPr>
          <w:p w14:paraId="71243A69" w14:textId="76CED2E3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ERCOT</w:t>
            </w:r>
          </w:p>
        </w:tc>
      </w:tr>
      <w:tr w:rsidR="00FB5AD1" w14:paraId="1DD38C7C" w14:textId="77777777" w:rsidTr="00FB5AD1">
        <w:trPr>
          <w:trHeight w:val="350"/>
        </w:trPr>
        <w:tc>
          <w:tcPr>
            <w:tcW w:w="2785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2909FD7" w14:textId="77777777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Phone Number</w:t>
            </w:r>
          </w:p>
        </w:tc>
        <w:tc>
          <w:tcPr>
            <w:tcW w:w="7655" w:type="dxa"/>
            <w:gridSpan w:val="2"/>
            <w:tcBorders>
              <w:bottom w:val="single" w:sz="4" w:space="0" w:color="000000"/>
            </w:tcBorders>
            <w:vAlign w:val="center"/>
          </w:tcPr>
          <w:p w14:paraId="5150A4EA" w14:textId="77777777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FB5AD1" w14:paraId="378442BE" w14:textId="77777777" w:rsidTr="00FB5AD1">
        <w:trPr>
          <w:trHeight w:val="350"/>
        </w:trPr>
        <w:tc>
          <w:tcPr>
            <w:tcW w:w="2785" w:type="dxa"/>
            <w:gridSpan w:val="2"/>
            <w:shd w:val="clear" w:color="auto" w:fill="FFFFFF"/>
            <w:vAlign w:val="center"/>
          </w:tcPr>
          <w:p w14:paraId="57C144F7" w14:textId="77777777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Cell Number</w:t>
            </w:r>
          </w:p>
        </w:tc>
        <w:tc>
          <w:tcPr>
            <w:tcW w:w="7655" w:type="dxa"/>
            <w:gridSpan w:val="2"/>
            <w:tcBorders>
              <w:bottom w:val="single" w:sz="4" w:space="0" w:color="000000"/>
            </w:tcBorders>
            <w:vAlign w:val="center"/>
          </w:tcPr>
          <w:p w14:paraId="2C7FA25B" w14:textId="179EBDF9" w:rsidR="00FB5AD1" w:rsidRDefault="00FB5AD1" w:rsidP="00FB5A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512-</w:t>
            </w:r>
            <w:r w:rsidR="003A3560">
              <w:rPr>
                <w:rFonts w:ascii="Arial" w:eastAsia="Arial" w:hAnsi="Arial" w:cs="Arial"/>
              </w:rPr>
              <w:t>413-7489</w:t>
            </w:r>
          </w:p>
        </w:tc>
      </w:tr>
      <w:tr w:rsidR="00FB5AD1" w14:paraId="4008578C" w14:textId="77777777" w:rsidTr="00FB5AD1">
        <w:trPr>
          <w:trHeight w:val="350"/>
        </w:trPr>
        <w:tc>
          <w:tcPr>
            <w:tcW w:w="2785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014A03" w14:textId="77777777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Market Segment</w:t>
            </w:r>
          </w:p>
        </w:tc>
        <w:tc>
          <w:tcPr>
            <w:tcW w:w="7655" w:type="dxa"/>
            <w:gridSpan w:val="2"/>
            <w:tcBorders>
              <w:bottom w:val="single" w:sz="4" w:space="0" w:color="000000"/>
            </w:tcBorders>
            <w:vAlign w:val="center"/>
          </w:tcPr>
          <w:p w14:paraId="148150E0" w14:textId="36B2B1A2" w:rsidR="00FB5AD1" w:rsidRDefault="00FB5AD1" w:rsidP="00FB5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Not applicable</w:t>
            </w:r>
          </w:p>
        </w:tc>
      </w:tr>
    </w:tbl>
    <w:p w14:paraId="5591021A" w14:textId="77777777" w:rsidR="00A11FB8" w:rsidRDefault="00A11FB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4"/>
        <w:tblW w:w="104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A11FB8" w14:paraId="282393F6" w14:textId="77777777">
        <w:trPr>
          <w:trHeight w:val="422"/>
          <w:jc w:val="center"/>
        </w:trPr>
        <w:tc>
          <w:tcPr>
            <w:tcW w:w="10440" w:type="dxa"/>
            <w:vAlign w:val="center"/>
          </w:tcPr>
          <w:p w14:paraId="370A7B29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Comments</w:t>
            </w:r>
          </w:p>
        </w:tc>
      </w:tr>
    </w:tbl>
    <w:p w14:paraId="786E815E" w14:textId="5125B0E3" w:rsidR="009438AB" w:rsidRDefault="00006485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lang w:val="en-US"/>
        </w:rPr>
      </w:pPr>
      <w:r w:rsidRPr="7571BD22">
        <w:rPr>
          <w:rFonts w:ascii="Arial" w:eastAsia="Arial" w:hAnsi="Arial" w:cs="Arial"/>
          <w:lang w:val="en-US"/>
        </w:rPr>
        <w:t>ERCOT</w:t>
      </w:r>
      <w:r w:rsidR="00F92FB3" w:rsidRPr="7571BD22">
        <w:rPr>
          <w:rFonts w:ascii="Arial" w:eastAsia="Arial" w:hAnsi="Arial" w:cs="Arial"/>
          <w:lang w:val="en-US"/>
        </w:rPr>
        <w:t xml:space="preserve"> submits these comments </w:t>
      </w:r>
      <w:r w:rsidR="00766E68" w:rsidRPr="7571BD22">
        <w:rPr>
          <w:rFonts w:ascii="Arial" w:eastAsia="Arial" w:hAnsi="Arial" w:cs="Arial"/>
          <w:lang w:val="en-US"/>
        </w:rPr>
        <w:t xml:space="preserve">regarding </w:t>
      </w:r>
      <w:r w:rsidR="00737A84" w:rsidRPr="7571BD22">
        <w:rPr>
          <w:rFonts w:ascii="Arial" w:eastAsia="Arial" w:hAnsi="Arial" w:cs="Arial"/>
          <w:lang w:val="en-US"/>
        </w:rPr>
        <w:t xml:space="preserve">Nodal </w:t>
      </w:r>
      <w:r w:rsidR="003A3560" w:rsidRPr="7571BD22">
        <w:rPr>
          <w:rFonts w:ascii="Arial" w:eastAsia="Arial" w:hAnsi="Arial" w:cs="Arial"/>
          <w:lang w:val="en-US"/>
        </w:rPr>
        <w:t>Operating Guide</w:t>
      </w:r>
      <w:r w:rsidR="00737A84" w:rsidRPr="7571BD22">
        <w:rPr>
          <w:rFonts w:ascii="Arial" w:eastAsia="Arial" w:hAnsi="Arial" w:cs="Arial"/>
          <w:lang w:val="en-US"/>
        </w:rPr>
        <w:t xml:space="preserve"> Revision Request (</w:t>
      </w:r>
      <w:r w:rsidR="00F92FB3" w:rsidRPr="7571BD22">
        <w:rPr>
          <w:rFonts w:ascii="Arial" w:eastAsia="Arial" w:hAnsi="Arial" w:cs="Arial"/>
          <w:lang w:val="en-US"/>
        </w:rPr>
        <w:t>N</w:t>
      </w:r>
      <w:r w:rsidR="003A3560" w:rsidRPr="7571BD22">
        <w:rPr>
          <w:rFonts w:ascii="Arial" w:eastAsia="Arial" w:hAnsi="Arial" w:cs="Arial"/>
          <w:lang w:val="en-US"/>
        </w:rPr>
        <w:t>OGRR</w:t>
      </w:r>
      <w:r w:rsidR="00737A84" w:rsidRPr="7571BD22">
        <w:rPr>
          <w:rFonts w:ascii="Arial" w:eastAsia="Arial" w:hAnsi="Arial" w:cs="Arial"/>
          <w:lang w:val="en-US"/>
        </w:rPr>
        <w:t>)</w:t>
      </w:r>
      <w:r w:rsidR="00F92FB3" w:rsidRPr="7571BD22">
        <w:rPr>
          <w:rFonts w:ascii="Arial" w:eastAsia="Arial" w:hAnsi="Arial" w:cs="Arial"/>
          <w:lang w:val="en-US"/>
        </w:rPr>
        <w:t xml:space="preserve"> </w:t>
      </w:r>
      <w:r w:rsidR="003A3560" w:rsidRPr="7571BD22">
        <w:rPr>
          <w:rFonts w:ascii="Arial" w:eastAsia="Arial" w:hAnsi="Arial" w:cs="Arial"/>
          <w:lang w:val="en-US"/>
        </w:rPr>
        <w:t>282</w:t>
      </w:r>
      <w:r w:rsidR="00F92FB3" w:rsidRPr="7571BD22">
        <w:rPr>
          <w:rFonts w:ascii="Arial" w:eastAsia="Arial" w:hAnsi="Arial" w:cs="Arial"/>
          <w:lang w:val="en-US"/>
        </w:rPr>
        <w:t xml:space="preserve"> </w:t>
      </w:r>
      <w:r w:rsidRPr="7571BD22">
        <w:rPr>
          <w:rFonts w:ascii="Arial" w:eastAsia="Arial" w:hAnsi="Arial" w:cs="Arial"/>
          <w:lang w:val="en-US"/>
        </w:rPr>
        <w:t xml:space="preserve">in response to </w:t>
      </w:r>
      <w:r w:rsidR="003A3560" w:rsidRPr="7571BD22">
        <w:rPr>
          <w:rFonts w:ascii="Arial" w:eastAsia="Arial" w:hAnsi="Arial" w:cs="Arial"/>
          <w:lang w:val="en-US"/>
        </w:rPr>
        <w:t>Onward Energy</w:t>
      </w:r>
      <w:r w:rsidRPr="7571BD22">
        <w:rPr>
          <w:rFonts w:ascii="Arial" w:eastAsia="Arial" w:hAnsi="Arial" w:cs="Arial"/>
          <w:lang w:val="en-US"/>
        </w:rPr>
        <w:t xml:space="preserve"> </w:t>
      </w:r>
      <w:r w:rsidR="003A3560" w:rsidRPr="7571BD22">
        <w:rPr>
          <w:rFonts w:ascii="Arial" w:eastAsia="Arial" w:hAnsi="Arial" w:cs="Arial"/>
          <w:lang w:val="en-US"/>
        </w:rPr>
        <w:t>January 23</w:t>
      </w:r>
      <w:r w:rsidRPr="7571BD22">
        <w:rPr>
          <w:rFonts w:ascii="Arial" w:eastAsia="Arial" w:hAnsi="Arial" w:cs="Arial"/>
          <w:lang w:val="en-US"/>
        </w:rPr>
        <w:t xml:space="preserve">, </w:t>
      </w:r>
      <w:r w:rsidR="00EB1865" w:rsidRPr="7571BD22">
        <w:rPr>
          <w:rFonts w:ascii="Arial" w:eastAsia="Arial" w:hAnsi="Arial" w:cs="Arial"/>
          <w:lang w:val="en-US"/>
        </w:rPr>
        <w:t>2026,</w:t>
      </w:r>
      <w:r w:rsidRPr="7571BD22">
        <w:rPr>
          <w:rFonts w:ascii="Arial" w:eastAsia="Arial" w:hAnsi="Arial" w:cs="Arial"/>
          <w:lang w:val="en-US"/>
        </w:rPr>
        <w:t xml:space="preserve"> comments</w:t>
      </w:r>
      <w:r w:rsidR="008856B8" w:rsidRPr="7571BD22">
        <w:rPr>
          <w:rFonts w:ascii="Arial" w:eastAsia="Arial" w:hAnsi="Arial" w:cs="Arial"/>
          <w:lang w:val="en-US"/>
        </w:rPr>
        <w:t>.</w:t>
      </w:r>
      <w:r w:rsidR="00766E68" w:rsidRPr="7571BD22">
        <w:rPr>
          <w:rFonts w:ascii="Arial" w:eastAsia="Arial" w:hAnsi="Arial" w:cs="Arial"/>
          <w:lang w:val="en-US"/>
        </w:rPr>
        <w:t xml:space="preserve">  </w:t>
      </w:r>
    </w:p>
    <w:p w14:paraId="4598B501" w14:textId="2D07B422" w:rsidR="006D2662" w:rsidRDefault="003A3560" w:rsidP="004F1003">
      <w:pPr>
        <w:pStyle w:val="NormalArial"/>
        <w:spacing w:before="120" w:after="120"/>
        <w:ind w:left="0" w:hanging="2"/>
      </w:pPr>
      <w:r>
        <w:rPr>
          <w:rFonts w:eastAsia="Arial" w:cs="Arial"/>
        </w:rPr>
        <w:t xml:space="preserve">Onward Energy’s comments expressed concern that NOGRR282 does not clarify </w:t>
      </w:r>
      <w:r w:rsidRPr="003A3560">
        <w:rPr>
          <w:rFonts w:eastAsia="Arial" w:cs="Arial"/>
        </w:rPr>
        <w:t>how ride-through failures will be evaluated at facilities where a</w:t>
      </w:r>
      <w:r w:rsidR="00A7794F">
        <w:rPr>
          <w:rFonts w:eastAsia="Arial" w:cs="Arial"/>
        </w:rPr>
        <w:t xml:space="preserve"> Large Electronic Load</w:t>
      </w:r>
      <w:r w:rsidRPr="003A3560">
        <w:rPr>
          <w:rFonts w:eastAsia="Arial" w:cs="Arial"/>
        </w:rPr>
        <w:t xml:space="preserve"> </w:t>
      </w:r>
      <w:r w:rsidR="00A7794F">
        <w:rPr>
          <w:rFonts w:eastAsia="Arial" w:cs="Arial"/>
        </w:rPr>
        <w:t>(</w:t>
      </w:r>
      <w:r w:rsidRPr="003A3560">
        <w:rPr>
          <w:rFonts w:eastAsia="Arial" w:cs="Arial"/>
        </w:rPr>
        <w:t>LEL</w:t>
      </w:r>
      <w:r w:rsidR="00A7794F">
        <w:rPr>
          <w:rFonts w:eastAsia="Arial" w:cs="Arial"/>
        </w:rPr>
        <w:t>)</w:t>
      </w:r>
      <w:r w:rsidRPr="003A3560">
        <w:rPr>
          <w:rFonts w:eastAsia="Arial" w:cs="Arial"/>
        </w:rPr>
        <w:t xml:space="preserve"> is </w:t>
      </w:r>
      <w:r w:rsidR="00FD1DB7">
        <w:rPr>
          <w:rFonts w:eastAsia="Arial" w:cs="Arial"/>
        </w:rPr>
        <w:t xml:space="preserve">connected behind the </w:t>
      </w:r>
      <w:r w:rsidR="00A7794F">
        <w:rPr>
          <w:rFonts w:eastAsia="Arial" w:cs="Arial"/>
        </w:rPr>
        <w:t>Point of Interconnection (</w:t>
      </w:r>
      <w:r w:rsidR="00FD1DB7">
        <w:rPr>
          <w:rFonts w:eastAsia="Arial" w:cs="Arial"/>
        </w:rPr>
        <w:t>POI</w:t>
      </w:r>
      <w:r w:rsidR="00A7794F">
        <w:rPr>
          <w:rFonts w:eastAsia="Arial" w:cs="Arial"/>
        </w:rPr>
        <w:t>)</w:t>
      </w:r>
      <w:r w:rsidR="00FD1DB7">
        <w:rPr>
          <w:rFonts w:eastAsia="Arial" w:cs="Arial"/>
        </w:rPr>
        <w:t xml:space="preserve"> </w:t>
      </w:r>
      <w:r w:rsidR="00350B26">
        <w:rPr>
          <w:rFonts w:eastAsia="Arial" w:cs="Arial"/>
        </w:rPr>
        <w:t>of</w:t>
      </w:r>
      <w:r w:rsidRPr="003A3560">
        <w:rPr>
          <w:rFonts w:eastAsia="Arial" w:cs="Arial"/>
        </w:rPr>
        <w:t xml:space="preserve"> a Generation Resource.</w:t>
      </w:r>
      <w:r w:rsidR="006D2662">
        <w:rPr>
          <w:rFonts w:eastAsia="Arial" w:cs="Arial"/>
        </w:rPr>
        <w:t xml:space="preserve"> In addition, the comments expressed concern that NOGRR282 </w:t>
      </w:r>
      <w:r w:rsidR="006D2662" w:rsidRPr="006D2662">
        <w:rPr>
          <w:rFonts w:eastAsia="Arial" w:cs="Arial"/>
        </w:rPr>
        <w:t>does not specify how ERCOT intends to determine responsibility when a ride-through failure occurs at a co-located facility where the generator and LEL are connected in parallel to the grid at the POI</w:t>
      </w:r>
      <w:r w:rsidR="006D2662">
        <w:rPr>
          <w:rFonts w:eastAsia="Arial" w:cs="Arial"/>
        </w:rPr>
        <w:t xml:space="preserve">, and </w:t>
      </w:r>
      <w:r w:rsidR="006D2662">
        <w:t xml:space="preserve">whether compliance would be evaluated under the generation ride-through requirements of NOGRR245, </w:t>
      </w:r>
      <w:r w:rsidR="00A7794F" w:rsidRPr="00A7794F">
        <w:t>Inverter-Based Resource (IBR) Ride-Through Requirements</w:t>
      </w:r>
      <w:r w:rsidR="00A7794F">
        <w:t xml:space="preserve">, </w:t>
      </w:r>
      <w:r w:rsidR="006D2662">
        <w:t xml:space="preserve">the LEL ride-through requirements proposed under NOGRR282, or a combination of both. </w:t>
      </w:r>
    </w:p>
    <w:p w14:paraId="05406118" w14:textId="6D2E38BE" w:rsidR="006D2662" w:rsidRDefault="006D2662" w:rsidP="004F1003">
      <w:pPr>
        <w:pStyle w:val="NormalArial"/>
        <w:spacing w:before="120" w:after="120"/>
        <w:ind w:left="0" w:hanging="2"/>
      </w:pPr>
      <w:r>
        <w:t xml:space="preserve">ERCOT’s position is that explicit language clarifying how ERCOT would determine responsibility and which ride-through requirements are applicable to LELs </w:t>
      </w:r>
      <w:r w:rsidR="00B53812">
        <w:t xml:space="preserve">connected </w:t>
      </w:r>
      <w:r w:rsidR="00C47F15">
        <w:t>behind t</w:t>
      </w:r>
      <w:r w:rsidR="00A040F2">
        <w:t>he</w:t>
      </w:r>
      <w:r w:rsidR="00C47F15">
        <w:t xml:space="preserve"> POI of </w:t>
      </w:r>
      <w:r>
        <w:t xml:space="preserve">a Generation Resource </w:t>
      </w:r>
      <w:r w:rsidR="00AA1D26">
        <w:t xml:space="preserve">or Energy Storage </w:t>
      </w:r>
      <w:r w:rsidR="002F3331">
        <w:t>R</w:t>
      </w:r>
      <w:r w:rsidR="00AA1D26">
        <w:t>esource</w:t>
      </w:r>
      <w:r w:rsidR="002F3331">
        <w:t xml:space="preserve"> (ESR) </w:t>
      </w:r>
      <w:r>
        <w:t>is not needed, since the responsible entity is defined in the appropriate ride-through sections in the Nodal Operating Guide</w:t>
      </w:r>
      <w:r w:rsidR="00A7794F">
        <w:t>s</w:t>
      </w:r>
      <w:r>
        <w:t xml:space="preserve">. However, ERCOT agreed to provide additional clarity </w:t>
      </w:r>
      <w:r w:rsidR="00EB1865">
        <w:t xml:space="preserve">on </w:t>
      </w:r>
      <w:r>
        <w:t>which ride-through requirements are applicable to LELs and Generation Resources</w:t>
      </w:r>
      <w:r w:rsidR="00A820F4">
        <w:t>/ESRs connected behind the same POI</w:t>
      </w:r>
      <w:r>
        <w:t xml:space="preserve"> in these </w:t>
      </w:r>
      <w:r w:rsidR="00E14DF3">
        <w:t>comments and</w:t>
      </w:r>
      <w:r>
        <w:t xml:space="preserve"> describe the process in which ERCOT would make this determination.</w:t>
      </w:r>
    </w:p>
    <w:p w14:paraId="24CF5901" w14:textId="7DD7EC80" w:rsidR="00F47F65" w:rsidRDefault="00F47F65" w:rsidP="004F1003">
      <w:pPr>
        <w:pStyle w:val="NormalArial"/>
        <w:spacing w:before="120" w:after="120"/>
        <w:ind w:left="0" w:hanging="2"/>
      </w:pPr>
      <w:proofErr w:type="gramStart"/>
      <w:r>
        <w:t>In the event that</w:t>
      </w:r>
      <w:proofErr w:type="gramEnd"/>
      <w:r>
        <w:t xml:space="preserve"> an LEL or Generation Resource</w:t>
      </w:r>
      <w:r w:rsidR="00946C2E">
        <w:t>/ES</w:t>
      </w:r>
      <w:r w:rsidR="00295888">
        <w:t>R connected behind the same POI</w:t>
      </w:r>
      <w:r>
        <w:t xml:space="preserve"> trips or suddenly reduces consumption or output during a system disturbance, ERCOT has the means to determine if the LEL or the Generation Resource</w:t>
      </w:r>
      <w:r w:rsidR="00B16798">
        <w:t>/ESR</w:t>
      </w:r>
      <w:r>
        <w:t xml:space="preserve"> tripped, or both, since ERCOT receives telemetry from both the LEL and the Generation Resource</w:t>
      </w:r>
      <w:r w:rsidR="00B16798">
        <w:t>/ESR</w:t>
      </w:r>
      <w:r>
        <w:t xml:space="preserve">. In </w:t>
      </w:r>
      <w:r w:rsidR="00E14DF3">
        <w:t>a</w:t>
      </w:r>
      <w:r>
        <w:t xml:space="preserve"> case where</w:t>
      </w:r>
      <w:r w:rsidR="004E0F09">
        <w:t xml:space="preserve"> the</w:t>
      </w:r>
      <w:r>
        <w:t xml:space="preserve"> </w:t>
      </w:r>
      <w:r w:rsidR="00180207">
        <w:t xml:space="preserve">required </w:t>
      </w:r>
      <w:r>
        <w:t>telemetry is not available</w:t>
      </w:r>
      <w:r w:rsidR="00307704">
        <w:t xml:space="preserve"> for any reason</w:t>
      </w:r>
      <w:r>
        <w:t>, ERCOT would also have the telemetry from the</w:t>
      </w:r>
      <w:r w:rsidR="00A7794F">
        <w:t xml:space="preserve"> Point of Interconnection Bus</w:t>
      </w:r>
      <w:r>
        <w:t xml:space="preserve"> </w:t>
      </w:r>
      <w:r w:rsidR="00A7794F">
        <w:t>(</w:t>
      </w:r>
      <w:r>
        <w:t>POIB</w:t>
      </w:r>
      <w:r w:rsidR="00A7794F">
        <w:t>)</w:t>
      </w:r>
      <w:r>
        <w:t xml:space="preserve"> </w:t>
      </w:r>
      <w:r>
        <w:lastRenderedPageBreak/>
        <w:t xml:space="preserve">monitoring the facilities. In addition, ERCOT may request disturbance monitoring equipment data from the interconnecting TDSP </w:t>
      </w:r>
      <w:r w:rsidR="00802BB1">
        <w:t>and/</w:t>
      </w:r>
      <w:r>
        <w:t>or the Generation Resource</w:t>
      </w:r>
      <w:r w:rsidR="005F18CC">
        <w:t>/ESR</w:t>
      </w:r>
      <w:r>
        <w:t xml:space="preserve"> via Request for Information (RFI). Once the initial investigation is complete, ERCOT would determine the responsible </w:t>
      </w:r>
      <w:r w:rsidR="00EB1865">
        <w:t>entity, or entities,</w:t>
      </w:r>
      <w:r>
        <w:t xml:space="preserve"> depending on if the LEL tripped or suddenly reduced consumption, the Generation Resource</w:t>
      </w:r>
      <w:r w:rsidR="00BA7922">
        <w:t>/ESR</w:t>
      </w:r>
      <w:r>
        <w:t xml:space="preserve"> tripped or suddenly reduced MW output, or both. </w:t>
      </w:r>
      <w:r w:rsidR="00EB1865">
        <w:t>If the LEL tripped</w:t>
      </w:r>
      <w:r w:rsidR="00403442">
        <w:t xml:space="preserve"> or suddenly reduced consumption during a disturbance</w:t>
      </w:r>
      <w:r w:rsidR="00EB1865">
        <w:t xml:space="preserve">, </w:t>
      </w:r>
      <w:r w:rsidR="000F3D98">
        <w:t xml:space="preserve">ERCOT would verify if the LEL complied </w:t>
      </w:r>
      <w:r w:rsidR="00220569">
        <w:t>with</w:t>
      </w:r>
      <w:r w:rsidR="00EB1865">
        <w:t xml:space="preserve"> the Nodal Operating Guide requirements in </w:t>
      </w:r>
      <w:r w:rsidR="00A7794F">
        <w:t>S</w:t>
      </w:r>
      <w:r w:rsidR="00EB1865">
        <w:t>ection 2.6.4</w:t>
      </w:r>
      <w:r w:rsidR="00A7794F">
        <w:t>,</w:t>
      </w:r>
      <w:r w:rsidR="00A7794F" w:rsidRPr="00A7794F">
        <w:t xml:space="preserve"> </w:t>
      </w:r>
      <w:r w:rsidR="00A7794F">
        <w:t>Frequency Ride-Through Requirements for Large Electronic Loads</w:t>
      </w:r>
      <w:r w:rsidR="00A7794F">
        <w:t>,</w:t>
      </w:r>
      <w:r w:rsidR="00EB1865">
        <w:t xml:space="preserve"> or </w:t>
      </w:r>
      <w:r w:rsidR="00A7794F">
        <w:t xml:space="preserve">Section </w:t>
      </w:r>
      <w:r w:rsidR="00EB1865">
        <w:t>2.15</w:t>
      </w:r>
      <w:r w:rsidR="00A7794F">
        <w:t xml:space="preserve">, </w:t>
      </w:r>
      <w:r w:rsidR="00A7794F" w:rsidRPr="00B74BFC">
        <w:t xml:space="preserve">Voltage Ride-Through Requirements for Large </w:t>
      </w:r>
      <w:r w:rsidR="00A7794F">
        <w:t xml:space="preserve">Electronic </w:t>
      </w:r>
      <w:r w:rsidR="00A7794F" w:rsidRPr="00B74BFC">
        <w:t>Loads</w:t>
      </w:r>
      <w:r w:rsidR="00EB1865">
        <w:t>. If the Generation Resource</w:t>
      </w:r>
      <w:r w:rsidR="00C06D3E">
        <w:t>/ESR</w:t>
      </w:r>
      <w:r w:rsidR="00EB1865">
        <w:t xml:space="preserve"> tripped</w:t>
      </w:r>
      <w:r w:rsidR="004773C7">
        <w:t xml:space="preserve"> or suddenly </w:t>
      </w:r>
      <w:r w:rsidR="00E14DF3">
        <w:t>reduced</w:t>
      </w:r>
      <w:r w:rsidR="004773C7">
        <w:t xml:space="preserve"> MW output during a disturbance</w:t>
      </w:r>
      <w:r w:rsidR="00EB1865">
        <w:t xml:space="preserve">, </w:t>
      </w:r>
      <w:r w:rsidR="00E06F1A">
        <w:t xml:space="preserve">ERCOT would verify </w:t>
      </w:r>
      <w:r w:rsidR="00EB5443">
        <w:t xml:space="preserve">if the Generation </w:t>
      </w:r>
      <w:r w:rsidR="0083290B">
        <w:t>Resource</w:t>
      </w:r>
      <w:r w:rsidR="00916934">
        <w:t>/ESR</w:t>
      </w:r>
      <w:r w:rsidR="00EB5443">
        <w:t xml:space="preserve"> </w:t>
      </w:r>
      <w:r w:rsidR="0083290B">
        <w:t xml:space="preserve">complied with </w:t>
      </w:r>
      <w:r w:rsidR="00EB1865">
        <w:t xml:space="preserve">the Nodal Operating Guide requirements in </w:t>
      </w:r>
      <w:r w:rsidR="00A7794F">
        <w:t>S</w:t>
      </w:r>
      <w:r w:rsidR="00EB1865">
        <w:t>ection 2.6.2</w:t>
      </w:r>
      <w:r w:rsidR="00A7794F">
        <w:t xml:space="preserve">, </w:t>
      </w:r>
      <w:r w:rsidR="00A7794F" w:rsidRPr="00A7794F">
        <w:rPr>
          <w:lang w:val="en"/>
        </w:rPr>
        <w:t>Frequency Ride-Through Requirements for Generation Resources and Energy Storage Resources</w:t>
      </w:r>
      <w:r w:rsidR="00A7794F">
        <w:rPr>
          <w:lang w:val="en"/>
        </w:rPr>
        <w:t>,</w:t>
      </w:r>
      <w:r w:rsidR="00EB1865">
        <w:t xml:space="preserve"> and </w:t>
      </w:r>
      <w:r w:rsidR="00A7794F">
        <w:t xml:space="preserve">Section </w:t>
      </w:r>
      <w:r w:rsidR="00EB1865">
        <w:t xml:space="preserve">2.9, </w:t>
      </w:r>
      <w:r w:rsidR="00A7794F" w:rsidRPr="00A7794F">
        <w:rPr>
          <w:lang w:val="en"/>
        </w:rPr>
        <w:t>Voltage Ride-Through Requirements for Generation Resources and Energy Storage Resources</w:t>
      </w:r>
      <w:r w:rsidR="00A7794F">
        <w:rPr>
          <w:lang w:val="en"/>
        </w:rPr>
        <w:t>,</w:t>
      </w:r>
      <w:r w:rsidR="00A7794F" w:rsidRPr="00A7794F">
        <w:rPr>
          <w:lang w:val="en"/>
        </w:rPr>
        <w:t xml:space="preserve"> </w:t>
      </w:r>
      <w:r w:rsidR="00EB1865">
        <w:t>depending on the type of Generation Resource</w:t>
      </w:r>
      <w:r w:rsidR="00BD0625">
        <w:t>/ESR</w:t>
      </w:r>
      <w:r w:rsidR="00EB1865">
        <w:t xml:space="preserve"> and the cause of the trip or reduction.</w:t>
      </w:r>
    </w:p>
    <w:p w14:paraId="6B809C27" w14:textId="019377DD" w:rsidR="007C1338" w:rsidRDefault="006B46F7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ERCOT also </w:t>
      </w:r>
      <w:r w:rsidR="003C55F5">
        <w:rPr>
          <w:rFonts w:ascii="Arial" w:eastAsia="Arial" w:hAnsi="Arial" w:cs="Arial"/>
        </w:rPr>
        <w:t xml:space="preserve">provides this </w:t>
      </w:r>
      <w:r>
        <w:rPr>
          <w:rFonts w:ascii="Arial" w:eastAsia="Arial" w:hAnsi="Arial" w:cs="Arial"/>
        </w:rPr>
        <w:t>respon</w:t>
      </w:r>
      <w:r w:rsidR="003C55F5">
        <w:rPr>
          <w:rFonts w:ascii="Arial" w:eastAsia="Arial" w:hAnsi="Arial" w:cs="Arial"/>
        </w:rPr>
        <w:t>se</w:t>
      </w:r>
      <w:r>
        <w:rPr>
          <w:rFonts w:ascii="Arial" w:eastAsia="Arial" w:hAnsi="Arial" w:cs="Arial"/>
        </w:rPr>
        <w:t xml:space="preserve"> to each of </w:t>
      </w:r>
      <w:r w:rsidR="00EB1865">
        <w:rPr>
          <w:rFonts w:ascii="Arial" w:eastAsia="Arial" w:hAnsi="Arial" w:cs="Arial"/>
        </w:rPr>
        <w:t>Onward Energy’s request</w:t>
      </w:r>
      <w:r w:rsidR="004773C7">
        <w:rPr>
          <w:rFonts w:ascii="Arial" w:eastAsia="Arial" w:hAnsi="Arial" w:cs="Arial"/>
        </w:rPr>
        <w:t>s</w:t>
      </w:r>
      <w:r w:rsidR="00EB1865">
        <w:rPr>
          <w:rFonts w:ascii="Arial" w:eastAsia="Arial" w:hAnsi="Arial" w:cs="Arial"/>
        </w:rPr>
        <w:t xml:space="preserve"> for clarifying language in NOGRR282:</w:t>
      </w:r>
    </w:p>
    <w:p w14:paraId="79CE5D6A" w14:textId="77777777" w:rsidR="007C1338" w:rsidRDefault="007C1338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</w:rPr>
      </w:pPr>
    </w:p>
    <w:p w14:paraId="0BCA8AB2" w14:textId="4B0A6A17" w:rsidR="007C1338" w:rsidRDefault="007C1338" w:rsidP="004F1003">
      <w:pPr>
        <w:pStyle w:val="NormalArial"/>
        <w:suppressAutoHyphens w:val="0"/>
        <w:spacing w:before="120" w:after="120" w:line="259" w:lineRule="auto"/>
        <w:ind w:leftChars="0" w:left="0" w:firstLineChars="0" w:firstLine="0"/>
        <w:textDirection w:val="lrTb"/>
        <w:textAlignment w:val="auto"/>
        <w:outlineLvl w:val="9"/>
        <w:rPr>
          <w:rFonts w:eastAsia="Arial" w:cs="Arial"/>
        </w:rPr>
      </w:pPr>
      <w:r w:rsidRPr="007C1338">
        <w:rPr>
          <w:rFonts w:eastAsia="Arial" w:cs="Arial"/>
          <w:b/>
          <w:bCs/>
        </w:rPr>
        <w:t>R</w:t>
      </w:r>
      <w:r w:rsidR="00EB1865">
        <w:rPr>
          <w:rFonts w:eastAsia="Arial" w:cs="Arial"/>
          <w:b/>
          <w:bCs/>
        </w:rPr>
        <w:t>equest</w:t>
      </w:r>
      <w:r w:rsidRPr="007C1338">
        <w:rPr>
          <w:rFonts w:eastAsia="Arial" w:cs="Arial"/>
          <w:b/>
          <w:bCs/>
        </w:rPr>
        <w:t xml:space="preserve"> 1</w:t>
      </w:r>
      <w:r>
        <w:rPr>
          <w:rFonts w:eastAsia="Arial" w:cs="Arial"/>
        </w:rPr>
        <w:t xml:space="preserve">: </w:t>
      </w:r>
      <w:r w:rsidR="00EB1865">
        <w:rPr>
          <w:rFonts w:eastAsia="Arial" w:cs="Arial"/>
        </w:rPr>
        <w:t>NOGRR282 should clarify w</w:t>
      </w:r>
      <w:r w:rsidR="00EB1865">
        <w:t xml:space="preserve">hich ride-through standards </w:t>
      </w:r>
      <w:r w:rsidR="00E14DF3">
        <w:t>the Resource Entity and the LEL will</w:t>
      </w:r>
      <w:r w:rsidR="00EB1865">
        <w:t xml:space="preserve"> be expected to comply with </w:t>
      </w:r>
      <w:r w:rsidR="000973DF">
        <w:t xml:space="preserve">when connected </w:t>
      </w:r>
      <w:r w:rsidR="000B5C46">
        <w:t>behind a common</w:t>
      </w:r>
      <w:r w:rsidR="00EB1865">
        <w:t xml:space="preserve"> POI</w:t>
      </w:r>
      <w:r w:rsidR="00CA0275">
        <w:t>,</w:t>
      </w:r>
      <w:r w:rsidR="00EB1865">
        <w:t xml:space="preserve"> if existing telemetry is unable to identify cause. </w:t>
      </w:r>
    </w:p>
    <w:p w14:paraId="26602E15" w14:textId="77777777" w:rsidR="006B46F7" w:rsidRDefault="006B46F7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</w:rPr>
      </w:pPr>
    </w:p>
    <w:p w14:paraId="5073D0E7" w14:textId="0A953F7B" w:rsidR="00C62A4A" w:rsidRDefault="007C1338" w:rsidP="004F1003">
      <w:pPr>
        <w:pStyle w:val="NormalArial"/>
        <w:spacing w:before="120" w:after="120"/>
        <w:ind w:left="0" w:hanging="2"/>
      </w:pPr>
      <w:r w:rsidRPr="007C1338">
        <w:rPr>
          <w:rFonts w:eastAsia="Arial" w:cs="Arial"/>
          <w:b/>
          <w:bCs/>
        </w:rPr>
        <w:t>ERCOT response</w:t>
      </w:r>
      <w:r>
        <w:rPr>
          <w:rFonts w:eastAsia="Arial" w:cs="Arial"/>
        </w:rPr>
        <w:t xml:space="preserve">: </w:t>
      </w:r>
      <w:r w:rsidR="00C62A4A">
        <w:rPr>
          <w:rFonts w:eastAsia="Arial" w:cs="Arial"/>
        </w:rPr>
        <w:t>ERCOT has the capability to determine if an LEL or a Generation Resource</w:t>
      </w:r>
      <w:r w:rsidR="0062482A">
        <w:rPr>
          <w:rFonts w:eastAsia="Arial" w:cs="Arial"/>
        </w:rPr>
        <w:t>/</w:t>
      </w:r>
      <w:r w:rsidR="003606EC">
        <w:rPr>
          <w:rFonts w:eastAsia="Arial" w:cs="Arial"/>
        </w:rPr>
        <w:t>ESR</w:t>
      </w:r>
      <w:r w:rsidR="00C62A4A">
        <w:rPr>
          <w:rFonts w:eastAsia="Arial" w:cs="Arial"/>
        </w:rPr>
        <w:t xml:space="preserve"> tripped, or both, </w:t>
      </w:r>
      <w:r w:rsidR="00BF60F5">
        <w:rPr>
          <w:rFonts w:eastAsia="Arial" w:cs="Arial"/>
        </w:rPr>
        <w:t>when they are connected behind the same POI</w:t>
      </w:r>
      <w:r w:rsidR="00C62A4A">
        <w:rPr>
          <w:rFonts w:eastAsia="Arial" w:cs="Arial"/>
        </w:rPr>
        <w:t xml:space="preserve">. In addition, ERCOT would send RFIs as needed to </w:t>
      </w:r>
      <w:r w:rsidR="00A7794F">
        <w:rPr>
          <w:rFonts w:eastAsia="Arial" w:cs="Arial"/>
        </w:rPr>
        <w:t>Transmission and/or Distribution Service Providers (</w:t>
      </w:r>
      <w:r w:rsidR="00C62A4A">
        <w:rPr>
          <w:rFonts w:eastAsia="Arial" w:cs="Arial"/>
        </w:rPr>
        <w:t>TDSPs</w:t>
      </w:r>
      <w:r w:rsidR="00A7794F">
        <w:rPr>
          <w:rFonts w:eastAsia="Arial" w:cs="Arial"/>
        </w:rPr>
        <w:t>)</w:t>
      </w:r>
      <w:r w:rsidR="00C62A4A">
        <w:rPr>
          <w:rFonts w:eastAsia="Arial" w:cs="Arial"/>
        </w:rPr>
        <w:t>, R</w:t>
      </w:r>
      <w:r w:rsidR="00A7794F">
        <w:rPr>
          <w:rFonts w:eastAsia="Arial" w:cs="Arial"/>
        </w:rPr>
        <w:t xml:space="preserve">esource </w:t>
      </w:r>
      <w:r w:rsidR="00C62A4A">
        <w:rPr>
          <w:rFonts w:eastAsia="Arial" w:cs="Arial"/>
        </w:rPr>
        <w:t>E</w:t>
      </w:r>
      <w:r w:rsidR="00A7794F">
        <w:rPr>
          <w:rFonts w:eastAsia="Arial" w:cs="Arial"/>
        </w:rPr>
        <w:t>ntitie</w:t>
      </w:r>
      <w:r w:rsidR="00C62A4A">
        <w:rPr>
          <w:rFonts w:eastAsia="Arial" w:cs="Arial"/>
        </w:rPr>
        <w:t xml:space="preserve">s, and </w:t>
      </w:r>
      <w:r w:rsidR="00A7794F">
        <w:rPr>
          <w:rFonts w:eastAsia="Arial" w:cs="Arial"/>
        </w:rPr>
        <w:t>Qualified Scheduling Entities (</w:t>
      </w:r>
      <w:r w:rsidR="00C62A4A">
        <w:rPr>
          <w:rFonts w:eastAsia="Arial" w:cs="Arial"/>
        </w:rPr>
        <w:t>QSEs</w:t>
      </w:r>
      <w:r w:rsidR="00A7794F">
        <w:rPr>
          <w:rFonts w:eastAsia="Arial" w:cs="Arial"/>
        </w:rPr>
        <w:t>)</w:t>
      </w:r>
      <w:r w:rsidR="00C62A4A">
        <w:rPr>
          <w:rFonts w:eastAsia="Arial" w:cs="Arial"/>
        </w:rPr>
        <w:t xml:space="preserve"> to confirm this information. </w:t>
      </w:r>
      <w:r w:rsidR="00C62A4A">
        <w:t xml:space="preserve">If the LEL tripped, </w:t>
      </w:r>
      <w:r w:rsidR="0082086C">
        <w:t>ERCOT would verify if the LEL complied with the</w:t>
      </w:r>
      <w:r w:rsidR="00C62A4A">
        <w:t xml:space="preserve"> Nodal Operating Guide requirements in </w:t>
      </w:r>
      <w:r w:rsidR="00A7794F">
        <w:t>S</w:t>
      </w:r>
      <w:r w:rsidR="00C62A4A">
        <w:t>ection 2.6.4 or 2.15. If the Generation Resource</w:t>
      </w:r>
      <w:r w:rsidR="003415B0">
        <w:t>/ESR</w:t>
      </w:r>
      <w:r w:rsidR="00C62A4A">
        <w:t xml:space="preserve"> tripped, </w:t>
      </w:r>
      <w:r w:rsidR="00982C7F">
        <w:t>ERCOT would verify if the</w:t>
      </w:r>
      <w:r w:rsidR="00982C7F" w:rsidDel="00982C7F">
        <w:t xml:space="preserve"> </w:t>
      </w:r>
      <w:r w:rsidR="00982C7F">
        <w:t>Generation Resource</w:t>
      </w:r>
      <w:r w:rsidR="003415B0">
        <w:t>/ESR</w:t>
      </w:r>
      <w:r w:rsidR="00982C7F">
        <w:t xml:space="preserve"> complied with </w:t>
      </w:r>
      <w:r w:rsidR="00C62A4A">
        <w:t xml:space="preserve">the Nodal Operating Guide requirements in </w:t>
      </w:r>
      <w:r w:rsidR="00A7794F">
        <w:t>S</w:t>
      </w:r>
      <w:r w:rsidR="00C62A4A">
        <w:t>ections 2.6.2 and 2.9, depending on the type of Generation Resource</w:t>
      </w:r>
      <w:r w:rsidR="0008067C">
        <w:t>/ESR</w:t>
      </w:r>
      <w:r w:rsidR="00C62A4A">
        <w:t xml:space="preserve"> and the cause of the trip or reduction.</w:t>
      </w:r>
    </w:p>
    <w:p w14:paraId="2F5FF4A8" w14:textId="77777777" w:rsidR="006656C5" w:rsidRDefault="006656C5" w:rsidP="004F1003">
      <w:pPr>
        <w:pStyle w:val="NormalArial"/>
        <w:suppressAutoHyphens w:val="0"/>
        <w:spacing w:before="120" w:after="120" w:line="240" w:lineRule="auto"/>
        <w:ind w:leftChars="0" w:left="0" w:firstLineChars="0" w:firstLine="0"/>
        <w:textDirection w:val="lrTb"/>
        <w:textAlignment w:val="auto"/>
        <w:outlineLvl w:val="9"/>
        <w:rPr>
          <w:rFonts w:eastAsia="Arial" w:cs="Arial"/>
          <w:b/>
          <w:bCs/>
        </w:rPr>
      </w:pPr>
    </w:p>
    <w:p w14:paraId="47145624" w14:textId="2AF10A12" w:rsidR="007C1338" w:rsidRDefault="006B46F7" w:rsidP="004F1003">
      <w:pPr>
        <w:pStyle w:val="NormalArial"/>
        <w:suppressAutoHyphens w:val="0"/>
        <w:spacing w:before="120" w:after="120" w:line="240" w:lineRule="auto"/>
        <w:ind w:leftChars="0" w:left="0" w:firstLineChars="0" w:firstLine="0"/>
        <w:textDirection w:val="lrTb"/>
        <w:textAlignment w:val="auto"/>
        <w:outlineLvl w:val="9"/>
        <w:rPr>
          <w:rFonts w:eastAsia="Arial" w:cs="Arial"/>
        </w:rPr>
      </w:pPr>
      <w:r>
        <w:rPr>
          <w:rFonts w:eastAsia="Arial" w:cs="Arial"/>
          <w:b/>
          <w:bCs/>
        </w:rPr>
        <w:t>R</w:t>
      </w:r>
      <w:r w:rsidR="006656C5">
        <w:rPr>
          <w:rFonts w:eastAsia="Arial" w:cs="Arial"/>
          <w:b/>
          <w:bCs/>
        </w:rPr>
        <w:t>equest 2</w:t>
      </w:r>
      <w:r w:rsidR="007C1338">
        <w:rPr>
          <w:rFonts w:eastAsia="Arial" w:cs="Arial"/>
        </w:rPr>
        <w:t xml:space="preserve">: </w:t>
      </w:r>
      <w:r w:rsidR="006656C5" w:rsidRPr="006656C5">
        <w:rPr>
          <w:rFonts w:eastAsia="Arial" w:cs="Arial"/>
        </w:rPr>
        <w:t>NOGRR282 should clarify</w:t>
      </w:r>
      <w:r w:rsidR="006656C5">
        <w:rPr>
          <w:rFonts w:eastAsia="Arial" w:cs="Arial"/>
        </w:rPr>
        <w:t xml:space="preserve"> h</w:t>
      </w:r>
      <w:r w:rsidR="006656C5">
        <w:t>ow ERCOT will assign responsibility and distinguish between generator-caused versus load-caused ride-through failures.</w:t>
      </w:r>
    </w:p>
    <w:p w14:paraId="4375DE9A" w14:textId="77777777" w:rsidR="006B46F7" w:rsidRDefault="006B46F7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</w:rPr>
      </w:pPr>
    </w:p>
    <w:p w14:paraId="7079EAED" w14:textId="76B5EA27" w:rsidR="00776F2F" w:rsidRDefault="007C1338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lang w:val="en-US"/>
        </w:rPr>
      </w:pPr>
      <w:r w:rsidRPr="007C1338">
        <w:rPr>
          <w:rFonts w:ascii="Arial" w:eastAsia="Arial" w:hAnsi="Arial" w:cs="Arial"/>
          <w:b/>
          <w:bCs/>
        </w:rPr>
        <w:t>ERCOT response</w:t>
      </w:r>
      <w:r>
        <w:rPr>
          <w:rFonts w:ascii="Arial" w:eastAsia="Arial" w:hAnsi="Arial" w:cs="Arial"/>
        </w:rPr>
        <w:t>:</w:t>
      </w:r>
      <w:r w:rsidR="004C0D92">
        <w:rPr>
          <w:rFonts w:ascii="Arial" w:eastAsia="Arial" w:hAnsi="Arial" w:cs="Arial"/>
        </w:rPr>
        <w:t xml:space="preserve"> </w:t>
      </w:r>
      <w:r w:rsidR="006656C5">
        <w:rPr>
          <w:rFonts w:ascii="Arial" w:eastAsia="Arial" w:hAnsi="Arial" w:cs="Arial"/>
          <w:lang w:val="en-US"/>
        </w:rPr>
        <w:t>See ERCOT response to Request 1.</w:t>
      </w:r>
    </w:p>
    <w:p w14:paraId="46CFD7C0" w14:textId="77777777" w:rsidR="007B64F7" w:rsidRPr="00776F2F" w:rsidRDefault="007B64F7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lang w:val="en-US"/>
        </w:rPr>
      </w:pPr>
    </w:p>
    <w:p w14:paraId="25FEBFF4" w14:textId="681DC69C" w:rsidR="006656C5" w:rsidRDefault="00250EA4" w:rsidP="004F1003">
      <w:pPr>
        <w:pStyle w:val="NormalArial"/>
        <w:suppressAutoHyphens w:val="0"/>
        <w:spacing w:before="120" w:after="120" w:line="240" w:lineRule="auto"/>
        <w:ind w:leftChars="0" w:left="0" w:firstLineChars="0" w:firstLine="0"/>
        <w:textDirection w:val="lrTb"/>
        <w:textAlignment w:val="auto"/>
        <w:outlineLvl w:val="9"/>
      </w:pPr>
      <w:r>
        <w:rPr>
          <w:rFonts w:eastAsia="Arial" w:cs="Arial"/>
          <w:b/>
          <w:bCs/>
        </w:rPr>
        <w:lastRenderedPageBreak/>
        <w:t>Re</w:t>
      </w:r>
      <w:r w:rsidR="006656C5">
        <w:rPr>
          <w:rFonts w:eastAsia="Arial" w:cs="Arial"/>
          <w:b/>
          <w:bCs/>
        </w:rPr>
        <w:t>quest</w:t>
      </w:r>
      <w:r w:rsidR="004C0D92" w:rsidRPr="007C1338">
        <w:rPr>
          <w:rFonts w:eastAsia="Arial" w:cs="Arial"/>
          <w:b/>
          <w:bCs/>
        </w:rPr>
        <w:t xml:space="preserve"> </w:t>
      </w:r>
      <w:r w:rsidR="004C0D92">
        <w:rPr>
          <w:rFonts w:eastAsia="Arial" w:cs="Arial"/>
          <w:b/>
          <w:bCs/>
        </w:rPr>
        <w:t>3</w:t>
      </w:r>
      <w:r w:rsidR="004C0D92">
        <w:rPr>
          <w:rFonts w:eastAsia="Arial" w:cs="Arial"/>
        </w:rPr>
        <w:t xml:space="preserve">: </w:t>
      </w:r>
      <w:r w:rsidR="006656C5">
        <w:t>In the absence of clear attribution, NOGRR282 should clarify if responsibility for a ride-through failure immediately defaults to the Generation Resource</w:t>
      </w:r>
      <w:r w:rsidR="00275F9D">
        <w:t>/ESR</w:t>
      </w:r>
      <w:r w:rsidR="006656C5">
        <w:t>.</w:t>
      </w:r>
    </w:p>
    <w:p w14:paraId="3537F804" w14:textId="77777777" w:rsidR="001B5BFE" w:rsidRDefault="001B5BFE" w:rsidP="004F10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</w:rPr>
      </w:pPr>
    </w:p>
    <w:p w14:paraId="5CD7C294" w14:textId="2AEB57FB" w:rsidR="004C0D92" w:rsidRPr="004F1003" w:rsidRDefault="004C0D92" w:rsidP="004F1003">
      <w:pPr>
        <w:spacing w:before="120" w:after="120"/>
        <w:rPr>
          <w:rFonts w:ascii="Arial" w:eastAsia="Arial" w:hAnsi="Arial" w:cs="Arial"/>
        </w:rPr>
      </w:pPr>
      <w:r w:rsidRPr="007C1338">
        <w:rPr>
          <w:rFonts w:ascii="Arial" w:eastAsia="Arial" w:hAnsi="Arial" w:cs="Arial"/>
          <w:b/>
          <w:bCs/>
        </w:rPr>
        <w:t>ERCOT response</w:t>
      </w:r>
      <w:r>
        <w:rPr>
          <w:rFonts w:ascii="Arial" w:eastAsia="Arial" w:hAnsi="Arial" w:cs="Arial"/>
        </w:rPr>
        <w:t xml:space="preserve">: </w:t>
      </w:r>
      <w:r w:rsidR="006656C5">
        <w:rPr>
          <w:rFonts w:ascii="Arial" w:eastAsia="Arial" w:hAnsi="Arial" w:cs="Arial"/>
        </w:rPr>
        <w:t xml:space="preserve">Responsibility for a ride-through failure would only apply to </w:t>
      </w:r>
      <w:r w:rsidR="00E14DF3">
        <w:rPr>
          <w:rFonts w:ascii="Arial" w:eastAsia="Arial" w:hAnsi="Arial" w:cs="Arial"/>
        </w:rPr>
        <w:t xml:space="preserve">a </w:t>
      </w:r>
      <w:r w:rsidR="006656C5">
        <w:rPr>
          <w:rFonts w:ascii="Arial" w:eastAsia="Arial" w:hAnsi="Arial" w:cs="Arial"/>
        </w:rPr>
        <w:t>Generation Resource</w:t>
      </w:r>
      <w:r w:rsidR="002E2CF0">
        <w:rPr>
          <w:rFonts w:ascii="Arial" w:eastAsia="Arial" w:hAnsi="Arial" w:cs="Arial"/>
        </w:rPr>
        <w:t>/ESR</w:t>
      </w:r>
      <w:r w:rsidR="006656C5">
        <w:rPr>
          <w:rFonts w:ascii="Arial" w:eastAsia="Arial" w:hAnsi="Arial" w:cs="Arial"/>
        </w:rPr>
        <w:t xml:space="preserve"> if the Generation Resource</w:t>
      </w:r>
      <w:r w:rsidR="002E2CF0">
        <w:rPr>
          <w:rFonts w:ascii="Arial" w:eastAsia="Arial" w:hAnsi="Arial" w:cs="Arial"/>
        </w:rPr>
        <w:t>/ESR</w:t>
      </w:r>
      <w:r w:rsidR="006656C5">
        <w:rPr>
          <w:rFonts w:ascii="Arial" w:eastAsia="Arial" w:hAnsi="Arial" w:cs="Arial"/>
        </w:rPr>
        <w:t xml:space="preserve"> tripped or suddenly reduced output during a disturbance. There are no requirements applicable to Generation Resources</w:t>
      </w:r>
      <w:r w:rsidR="000B2DF2">
        <w:rPr>
          <w:rFonts w:ascii="Arial" w:eastAsia="Arial" w:hAnsi="Arial" w:cs="Arial"/>
        </w:rPr>
        <w:t>/</w:t>
      </w:r>
      <w:r w:rsidR="004872A3">
        <w:rPr>
          <w:rFonts w:ascii="Arial" w:eastAsia="Arial" w:hAnsi="Arial" w:cs="Arial"/>
        </w:rPr>
        <w:t>ESRs</w:t>
      </w:r>
      <w:r w:rsidR="006656C5">
        <w:rPr>
          <w:rFonts w:ascii="Arial" w:eastAsia="Arial" w:hAnsi="Arial" w:cs="Arial"/>
        </w:rPr>
        <w:t xml:space="preserve"> in NOGRR282.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9438AB" w:rsidRPr="009438AB" w14:paraId="0D0A4690" w14:textId="77777777">
        <w:trPr>
          <w:trHeight w:val="350"/>
        </w:trPr>
        <w:tc>
          <w:tcPr>
            <w:tcW w:w="104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586AE9" w14:textId="77777777" w:rsidR="009438AB" w:rsidRPr="009438AB" w:rsidRDefault="009438AB" w:rsidP="009438A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bCs/>
                <w:lang w:val="en-US"/>
              </w:rPr>
            </w:pPr>
            <w:r w:rsidRPr="009438AB">
              <w:rPr>
                <w:rFonts w:ascii="Arial" w:hAnsi="Arial"/>
                <w:b/>
                <w:bCs/>
                <w:lang w:val="en-US"/>
              </w:rPr>
              <w:t>Revised Cover Page Language</w:t>
            </w:r>
          </w:p>
        </w:tc>
      </w:tr>
    </w:tbl>
    <w:p w14:paraId="5E41B496" w14:textId="77777777" w:rsidR="009438AB" w:rsidRPr="009438AB" w:rsidRDefault="009438AB" w:rsidP="009438AB">
      <w:pPr>
        <w:spacing w:before="120" w:after="120"/>
        <w:rPr>
          <w:rFonts w:ascii="Arial" w:hAnsi="Arial"/>
          <w:lang w:val="en-US"/>
        </w:rPr>
      </w:pPr>
      <w:r w:rsidRPr="009438AB">
        <w:rPr>
          <w:rFonts w:ascii="Arial" w:hAnsi="Arial"/>
          <w:lang w:val="en-US"/>
        </w:rPr>
        <w:t>None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9438AB" w:rsidRPr="009438AB" w14:paraId="09F1CC3A" w14:textId="77777777">
        <w:trPr>
          <w:trHeight w:val="350"/>
        </w:trPr>
        <w:tc>
          <w:tcPr>
            <w:tcW w:w="104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9DA20" w14:textId="77777777" w:rsidR="009438AB" w:rsidRPr="009438AB" w:rsidRDefault="009438AB" w:rsidP="009438A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bCs/>
                <w:lang w:val="en-US"/>
              </w:rPr>
            </w:pPr>
            <w:r w:rsidRPr="009438AB">
              <w:rPr>
                <w:rFonts w:ascii="Arial" w:hAnsi="Arial"/>
                <w:b/>
                <w:bCs/>
                <w:lang w:val="en-US"/>
              </w:rPr>
              <w:t>Revised Proposed Protocol Language</w:t>
            </w:r>
          </w:p>
        </w:tc>
      </w:tr>
    </w:tbl>
    <w:p w14:paraId="57BD27D8" w14:textId="237ABB0D" w:rsidR="00331912" w:rsidRPr="009438AB" w:rsidRDefault="009438AB" w:rsidP="009438AB">
      <w:pPr>
        <w:spacing w:before="120" w:after="120"/>
        <w:rPr>
          <w:rFonts w:ascii="Arial" w:hAnsi="Arial"/>
          <w:lang w:val="en-US"/>
        </w:rPr>
      </w:pPr>
      <w:r w:rsidRPr="009438AB">
        <w:rPr>
          <w:rFonts w:ascii="Arial" w:hAnsi="Arial"/>
          <w:lang w:val="en-US"/>
        </w:rPr>
        <w:t>None</w:t>
      </w:r>
    </w:p>
    <w:sectPr w:rsidR="00331912" w:rsidRPr="009438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77815" w14:textId="77777777" w:rsidR="001151C2" w:rsidRDefault="001151C2">
      <w:r>
        <w:separator/>
      </w:r>
    </w:p>
  </w:endnote>
  <w:endnote w:type="continuationSeparator" w:id="0">
    <w:p w14:paraId="54123F7D" w14:textId="77777777" w:rsidR="001151C2" w:rsidRDefault="0011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0FD5A3-AC3E-48B8-8476-2A94294F08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87AC0CB-C6CD-4AE0-A4F1-BDD792D1D8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41CA9257-C07E-4FF9-A9E7-A6C64D671DC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F5B58AA-3FD7-43E7-ACE2-B6D13EE18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CF1579-9F48-43BD-A896-BF359E395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8EF17" w14:textId="77777777" w:rsidR="00737A84" w:rsidRDefault="00737A84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0E75E" w14:textId="0D6608B2" w:rsidR="00A11FB8" w:rsidRDefault="38F698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rFonts w:ascii="Arial" w:eastAsia="Arial" w:hAnsi="Arial" w:cs="Arial"/>
        <w:color w:val="000000"/>
        <w:sz w:val="18"/>
        <w:szCs w:val="18"/>
      </w:rPr>
    </w:pPr>
    <w:r w:rsidRPr="38F69808">
      <w:rPr>
        <w:rFonts w:ascii="Arial" w:eastAsia="Arial" w:hAnsi="Arial" w:cs="Arial"/>
        <w:color w:val="000000" w:themeColor="text1"/>
        <w:sz w:val="18"/>
        <w:szCs w:val="18"/>
      </w:rPr>
      <w:t>282</w:t>
    </w:r>
    <w:r w:rsidR="005756A7">
      <w:rPr>
        <w:rFonts w:ascii="Arial" w:eastAsia="Arial" w:hAnsi="Arial" w:cs="Arial"/>
        <w:color w:val="000000" w:themeColor="text1"/>
        <w:sz w:val="18"/>
        <w:szCs w:val="18"/>
      </w:rPr>
      <w:t>NOGRR-10</w:t>
    </w:r>
    <w:r w:rsidR="00331912" w:rsidRPr="0C2D3F32">
      <w:rPr>
        <w:rFonts w:ascii="Arial" w:eastAsia="Arial" w:hAnsi="Arial" w:cs="Arial"/>
        <w:color w:val="000000" w:themeColor="text1"/>
        <w:sz w:val="18"/>
        <w:szCs w:val="18"/>
      </w:rPr>
      <w:t xml:space="preserve"> </w:t>
    </w:r>
    <w:r w:rsidR="009C7887" w:rsidRPr="0C2D3F32">
      <w:rPr>
        <w:rFonts w:ascii="Arial" w:eastAsia="Arial" w:hAnsi="Arial" w:cs="Arial"/>
        <w:color w:val="000000" w:themeColor="text1"/>
        <w:sz w:val="18"/>
        <w:szCs w:val="18"/>
      </w:rPr>
      <w:t>ERCOT</w: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t xml:space="preserve"> Comment</w:t>
    </w:r>
    <w:r w:rsidR="00331912" w:rsidRPr="0C2D3F32">
      <w:rPr>
        <w:rFonts w:ascii="Arial" w:eastAsia="Arial" w:hAnsi="Arial" w:cs="Arial"/>
        <w:color w:val="000000" w:themeColor="text1"/>
        <w:sz w:val="18"/>
        <w:szCs w:val="18"/>
      </w:rPr>
      <w:t>s</w:t>
    </w:r>
    <w:r w:rsidR="005756A7">
      <w:rPr>
        <w:rFonts w:ascii="Arial" w:eastAsia="Arial" w:hAnsi="Arial" w:cs="Arial"/>
        <w:color w:val="000000" w:themeColor="text1"/>
        <w:sz w:val="18"/>
        <w:szCs w:val="18"/>
      </w:rPr>
      <w:t xml:space="preserve"> 021626</w: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t xml:space="preserve"> </w:t>
    </w:r>
    <w:r w:rsidR="00F92FB3">
      <w:rPr>
        <w:rFonts w:eastAsia="Arial"/>
      </w:rPr>
      <w:tab/>
    </w:r>
    <w:r w:rsidR="00331912">
      <w:rPr>
        <w:rFonts w:eastAsia="Arial"/>
      </w:rPr>
      <w:tab/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t xml:space="preserve">Page </w: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fldChar w:fldCharType="begin"/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instrText>PAGE</w:instrTex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fldChar w:fldCharType="separate"/>
    </w:r>
    <w:r w:rsidR="00737A84" w:rsidRPr="0C2D3F32">
      <w:rPr>
        <w:rFonts w:ascii="Arial" w:eastAsia="Arial" w:hAnsi="Arial" w:cs="Arial"/>
        <w:color w:val="000000" w:themeColor="text1"/>
        <w:sz w:val="18"/>
        <w:szCs w:val="18"/>
      </w:rPr>
      <w:t>1</w: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fldChar w:fldCharType="end"/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t xml:space="preserve"> of </w: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fldChar w:fldCharType="begin"/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instrText>NUMPAGES</w:instrTex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fldChar w:fldCharType="separate"/>
    </w:r>
    <w:r w:rsidR="00737A84" w:rsidRPr="0C2D3F32">
      <w:rPr>
        <w:rFonts w:ascii="Arial" w:eastAsia="Arial" w:hAnsi="Arial" w:cs="Arial"/>
        <w:color w:val="000000" w:themeColor="text1"/>
        <w:sz w:val="18"/>
        <w:szCs w:val="18"/>
      </w:rPr>
      <w:t>2</w:t>
    </w:r>
    <w:r w:rsidR="00F92FB3" w:rsidRPr="0C2D3F32">
      <w:rPr>
        <w:rFonts w:ascii="Arial" w:eastAsia="Arial" w:hAnsi="Arial" w:cs="Arial"/>
        <w:color w:val="000000" w:themeColor="text1"/>
        <w:sz w:val="18"/>
        <w:szCs w:val="18"/>
      </w:rPr>
      <w:fldChar w:fldCharType="end"/>
    </w:r>
  </w:p>
  <w:p w14:paraId="0BB8C629" w14:textId="77777777" w:rsidR="00A11FB8" w:rsidRDefault="00F92F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PUBLIC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8CB18" w14:textId="77777777" w:rsidR="00737A84" w:rsidRDefault="00737A84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0DE9F" w14:textId="77777777" w:rsidR="001151C2" w:rsidRDefault="001151C2">
      <w:r>
        <w:separator/>
      </w:r>
    </w:p>
  </w:footnote>
  <w:footnote w:type="continuationSeparator" w:id="0">
    <w:p w14:paraId="01A22EC3" w14:textId="77777777" w:rsidR="001151C2" w:rsidRDefault="00115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C04BB" w14:textId="77777777" w:rsidR="00737A84" w:rsidRDefault="00737A84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F5BF" w14:textId="2A849788" w:rsidR="00A11FB8" w:rsidRPr="00737A84" w:rsidRDefault="5E46DE7F" w:rsidP="00737A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color w:val="000000"/>
        <w:sz w:val="32"/>
        <w:szCs w:val="32"/>
      </w:rPr>
    </w:pPr>
    <w:r w:rsidRPr="5E46DE7F">
      <w:rPr>
        <w:rFonts w:ascii="Arial" w:eastAsia="Arial" w:hAnsi="Arial" w:cs="Arial"/>
        <w:b/>
        <w:bCs/>
        <w:color w:val="000000" w:themeColor="text1"/>
        <w:sz w:val="32"/>
        <w:szCs w:val="32"/>
      </w:rPr>
      <w:t>NOGRR</w:t>
    </w:r>
    <w:r w:rsidR="00F92FB3" w:rsidRPr="1F33CE18">
      <w:rPr>
        <w:rFonts w:ascii="Arial" w:eastAsia="Arial" w:hAnsi="Arial" w:cs="Arial"/>
        <w:b/>
        <w:color w:val="000000" w:themeColor="text1"/>
        <w:sz w:val="32"/>
        <w:szCs w:val="32"/>
      </w:rPr>
      <w:t xml:space="preserve"> Comments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519BF" w14:textId="77777777" w:rsidR="00737A84" w:rsidRDefault="00737A84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49DA"/>
    <w:multiLevelType w:val="hybridMultilevel"/>
    <w:tmpl w:val="8EB07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247D0"/>
    <w:multiLevelType w:val="multilevel"/>
    <w:tmpl w:val="94701F62"/>
    <w:lvl w:ilvl="0">
      <w:start w:val="1"/>
      <w:numFmt w:val="decimal"/>
      <w:pStyle w:val="Heading1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1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Heading31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1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7985919"/>
    <w:multiLevelType w:val="hybridMultilevel"/>
    <w:tmpl w:val="60AAB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111A0"/>
    <w:multiLevelType w:val="multilevel"/>
    <w:tmpl w:val="ADCE6AD8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06589487">
    <w:abstractNumId w:val="1"/>
  </w:num>
  <w:num w:numId="2" w16cid:durableId="541284065">
    <w:abstractNumId w:val="3"/>
  </w:num>
  <w:num w:numId="3" w16cid:durableId="166749221">
    <w:abstractNumId w:val="2"/>
  </w:num>
  <w:num w:numId="4" w16cid:durableId="1996882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FB8"/>
    <w:rsid w:val="00003952"/>
    <w:rsid w:val="00004EAE"/>
    <w:rsid w:val="00006485"/>
    <w:rsid w:val="0003032B"/>
    <w:rsid w:val="000304F2"/>
    <w:rsid w:val="0004168F"/>
    <w:rsid w:val="00043B6D"/>
    <w:rsid w:val="00070C97"/>
    <w:rsid w:val="0007641A"/>
    <w:rsid w:val="0008067C"/>
    <w:rsid w:val="000959D3"/>
    <w:rsid w:val="000973DF"/>
    <w:rsid w:val="000B2DF2"/>
    <w:rsid w:val="000B5C46"/>
    <w:rsid w:val="000E2836"/>
    <w:rsid w:val="000F0136"/>
    <w:rsid w:val="000F3D98"/>
    <w:rsid w:val="00113BD2"/>
    <w:rsid w:val="001151C2"/>
    <w:rsid w:val="0012082D"/>
    <w:rsid w:val="00120E2C"/>
    <w:rsid w:val="00142FED"/>
    <w:rsid w:val="0014482D"/>
    <w:rsid w:val="00144E04"/>
    <w:rsid w:val="00164A05"/>
    <w:rsid w:val="00173CB5"/>
    <w:rsid w:val="00176EA1"/>
    <w:rsid w:val="00177FFE"/>
    <w:rsid w:val="00180207"/>
    <w:rsid w:val="0018179C"/>
    <w:rsid w:val="00193FED"/>
    <w:rsid w:val="00196A79"/>
    <w:rsid w:val="001A03F1"/>
    <w:rsid w:val="001B29B7"/>
    <w:rsid w:val="001B2C5E"/>
    <w:rsid w:val="001B582F"/>
    <w:rsid w:val="001B5BFE"/>
    <w:rsid w:val="001C09CD"/>
    <w:rsid w:val="001D4F62"/>
    <w:rsid w:val="001F42F5"/>
    <w:rsid w:val="00205777"/>
    <w:rsid w:val="00215283"/>
    <w:rsid w:val="00220569"/>
    <w:rsid w:val="00221D3A"/>
    <w:rsid w:val="00225E65"/>
    <w:rsid w:val="00234313"/>
    <w:rsid w:val="00250EA4"/>
    <w:rsid w:val="002614E7"/>
    <w:rsid w:val="00266F2E"/>
    <w:rsid w:val="002713ED"/>
    <w:rsid w:val="00275F9D"/>
    <w:rsid w:val="00276BE1"/>
    <w:rsid w:val="00293013"/>
    <w:rsid w:val="00295888"/>
    <w:rsid w:val="002A555F"/>
    <w:rsid w:val="002B0544"/>
    <w:rsid w:val="002C4457"/>
    <w:rsid w:val="002D324D"/>
    <w:rsid w:val="002E2CF0"/>
    <w:rsid w:val="002E67E1"/>
    <w:rsid w:val="002F0421"/>
    <w:rsid w:val="002F3331"/>
    <w:rsid w:val="00307704"/>
    <w:rsid w:val="003100CA"/>
    <w:rsid w:val="0031496E"/>
    <w:rsid w:val="003210C5"/>
    <w:rsid w:val="00331912"/>
    <w:rsid w:val="003415B0"/>
    <w:rsid w:val="003464F1"/>
    <w:rsid w:val="003472E3"/>
    <w:rsid w:val="0034752E"/>
    <w:rsid w:val="00350B26"/>
    <w:rsid w:val="003606EC"/>
    <w:rsid w:val="00363A5C"/>
    <w:rsid w:val="00364912"/>
    <w:rsid w:val="00375F93"/>
    <w:rsid w:val="00377506"/>
    <w:rsid w:val="003A2A77"/>
    <w:rsid w:val="003A3560"/>
    <w:rsid w:val="003C55F5"/>
    <w:rsid w:val="003D1BF5"/>
    <w:rsid w:val="003D20FD"/>
    <w:rsid w:val="004016BB"/>
    <w:rsid w:val="00403442"/>
    <w:rsid w:val="00403888"/>
    <w:rsid w:val="00414D27"/>
    <w:rsid w:val="00426183"/>
    <w:rsid w:val="00427963"/>
    <w:rsid w:val="00447BBB"/>
    <w:rsid w:val="004664F6"/>
    <w:rsid w:val="004773C7"/>
    <w:rsid w:val="004872A3"/>
    <w:rsid w:val="0049742C"/>
    <w:rsid w:val="004A18BF"/>
    <w:rsid w:val="004A20EF"/>
    <w:rsid w:val="004B3148"/>
    <w:rsid w:val="004C0D92"/>
    <w:rsid w:val="004C34B0"/>
    <w:rsid w:val="004C6276"/>
    <w:rsid w:val="004E0F09"/>
    <w:rsid w:val="004F1003"/>
    <w:rsid w:val="00543FEA"/>
    <w:rsid w:val="00550310"/>
    <w:rsid w:val="00572F3B"/>
    <w:rsid w:val="005756A7"/>
    <w:rsid w:val="005825AC"/>
    <w:rsid w:val="005832F0"/>
    <w:rsid w:val="00594CC0"/>
    <w:rsid w:val="005F18CC"/>
    <w:rsid w:val="005F2298"/>
    <w:rsid w:val="005F5C5D"/>
    <w:rsid w:val="00615593"/>
    <w:rsid w:val="0062482A"/>
    <w:rsid w:val="00637D7D"/>
    <w:rsid w:val="00643B0B"/>
    <w:rsid w:val="00646B6A"/>
    <w:rsid w:val="0066553C"/>
    <w:rsid w:val="006656C5"/>
    <w:rsid w:val="00690897"/>
    <w:rsid w:val="006A17DC"/>
    <w:rsid w:val="006B46F7"/>
    <w:rsid w:val="006C46F4"/>
    <w:rsid w:val="006C538D"/>
    <w:rsid w:val="006D1174"/>
    <w:rsid w:val="006D2662"/>
    <w:rsid w:val="006E60CF"/>
    <w:rsid w:val="006F0B89"/>
    <w:rsid w:val="00700BC4"/>
    <w:rsid w:val="007110EE"/>
    <w:rsid w:val="007318F4"/>
    <w:rsid w:val="00737A84"/>
    <w:rsid w:val="007501F6"/>
    <w:rsid w:val="007561C1"/>
    <w:rsid w:val="007603E0"/>
    <w:rsid w:val="00766E68"/>
    <w:rsid w:val="00773D49"/>
    <w:rsid w:val="00776F2F"/>
    <w:rsid w:val="007B1D90"/>
    <w:rsid w:val="007B245B"/>
    <w:rsid w:val="007B64F7"/>
    <w:rsid w:val="007C1338"/>
    <w:rsid w:val="007D24BD"/>
    <w:rsid w:val="007D65B3"/>
    <w:rsid w:val="00802BB1"/>
    <w:rsid w:val="0080318F"/>
    <w:rsid w:val="008143C2"/>
    <w:rsid w:val="0082086C"/>
    <w:rsid w:val="0082726A"/>
    <w:rsid w:val="0083290B"/>
    <w:rsid w:val="00843959"/>
    <w:rsid w:val="00853340"/>
    <w:rsid w:val="008603E7"/>
    <w:rsid w:val="00875D7B"/>
    <w:rsid w:val="00882870"/>
    <w:rsid w:val="008856B8"/>
    <w:rsid w:val="0089428C"/>
    <w:rsid w:val="00895100"/>
    <w:rsid w:val="008A1EE0"/>
    <w:rsid w:val="008A2DCE"/>
    <w:rsid w:val="008B34F0"/>
    <w:rsid w:val="008C0C01"/>
    <w:rsid w:val="008D29DE"/>
    <w:rsid w:val="008D304E"/>
    <w:rsid w:val="008D369E"/>
    <w:rsid w:val="008D6F26"/>
    <w:rsid w:val="008E26AF"/>
    <w:rsid w:val="008E769C"/>
    <w:rsid w:val="008F45C5"/>
    <w:rsid w:val="008F497B"/>
    <w:rsid w:val="00913F0F"/>
    <w:rsid w:val="00914C32"/>
    <w:rsid w:val="00916934"/>
    <w:rsid w:val="00917A3B"/>
    <w:rsid w:val="009409C1"/>
    <w:rsid w:val="009438AB"/>
    <w:rsid w:val="00946C2E"/>
    <w:rsid w:val="009614CD"/>
    <w:rsid w:val="00975564"/>
    <w:rsid w:val="00982C7F"/>
    <w:rsid w:val="009C7887"/>
    <w:rsid w:val="009E05A3"/>
    <w:rsid w:val="009E0CC5"/>
    <w:rsid w:val="009E4F28"/>
    <w:rsid w:val="009E5465"/>
    <w:rsid w:val="009F360F"/>
    <w:rsid w:val="009F63AD"/>
    <w:rsid w:val="00A040F2"/>
    <w:rsid w:val="00A04FA2"/>
    <w:rsid w:val="00A066FE"/>
    <w:rsid w:val="00A11FB8"/>
    <w:rsid w:val="00A26CD3"/>
    <w:rsid w:val="00A51104"/>
    <w:rsid w:val="00A7794F"/>
    <w:rsid w:val="00A820F4"/>
    <w:rsid w:val="00A90402"/>
    <w:rsid w:val="00AA1D26"/>
    <w:rsid w:val="00AA4BB3"/>
    <w:rsid w:val="00B05A1F"/>
    <w:rsid w:val="00B06816"/>
    <w:rsid w:val="00B159BD"/>
    <w:rsid w:val="00B16798"/>
    <w:rsid w:val="00B16E0F"/>
    <w:rsid w:val="00B24BB8"/>
    <w:rsid w:val="00B41CFA"/>
    <w:rsid w:val="00B46623"/>
    <w:rsid w:val="00B53812"/>
    <w:rsid w:val="00B743A2"/>
    <w:rsid w:val="00B81E46"/>
    <w:rsid w:val="00B97F83"/>
    <w:rsid w:val="00BA563E"/>
    <w:rsid w:val="00BA7922"/>
    <w:rsid w:val="00BC07E5"/>
    <w:rsid w:val="00BC0A57"/>
    <w:rsid w:val="00BD0625"/>
    <w:rsid w:val="00BE1D2F"/>
    <w:rsid w:val="00BF60F5"/>
    <w:rsid w:val="00BF7006"/>
    <w:rsid w:val="00C06D3E"/>
    <w:rsid w:val="00C10A31"/>
    <w:rsid w:val="00C4189B"/>
    <w:rsid w:val="00C47F15"/>
    <w:rsid w:val="00C62A4A"/>
    <w:rsid w:val="00C73B74"/>
    <w:rsid w:val="00C77F06"/>
    <w:rsid w:val="00C811E4"/>
    <w:rsid w:val="00C953A8"/>
    <w:rsid w:val="00CA0275"/>
    <w:rsid w:val="00CC7A27"/>
    <w:rsid w:val="00CE39EA"/>
    <w:rsid w:val="00D075F6"/>
    <w:rsid w:val="00D077A1"/>
    <w:rsid w:val="00D137C6"/>
    <w:rsid w:val="00D34BDB"/>
    <w:rsid w:val="00D56F11"/>
    <w:rsid w:val="00D57655"/>
    <w:rsid w:val="00D94DD5"/>
    <w:rsid w:val="00DA3AF9"/>
    <w:rsid w:val="00DB68F3"/>
    <w:rsid w:val="00DD405A"/>
    <w:rsid w:val="00DD6431"/>
    <w:rsid w:val="00DD7150"/>
    <w:rsid w:val="00DE03E5"/>
    <w:rsid w:val="00DE5B72"/>
    <w:rsid w:val="00DE6D6E"/>
    <w:rsid w:val="00DF6A3C"/>
    <w:rsid w:val="00E06F1A"/>
    <w:rsid w:val="00E13178"/>
    <w:rsid w:val="00E14DF3"/>
    <w:rsid w:val="00E23F5D"/>
    <w:rsid w:val="00E300D4"/>
    <w:rsid w:val="00E31CF8"/>
    <w:rsid w:val="00E37483"/>
    <w:rsid w:val="00E46C21"/>
    <w:rsid w:val="00E56596"/>
    <w:rsid w:val="00E57E6B"/>
    <w:rsid w:val="00E61A61"/>
    <w:rsid w:val="00E64D55"/>
    <w:rsid w:val="00E93D91"/>
    <w:rsid w:val="00EB1865"/>
    <w:rsid w:val="00EB5443"/>
    <w:rsid w:val="00ED05B2"/>
    <w:rsid w:val="00ED0ED2"/>
    <w:rsid w:val="00ED3AE3"/>
    <w:rsid w:val="00EE0B72"/>
    <w:rsid w:val="00EE202D"/>
    <w:rsid w:val="00EF2212"/>
    <w:rsid w:val="00EF231C"/>
    <w:rsid w:val="00EF707D"/>
    <w:rsid w:val="00F021B4"/>
    <w:rsid w:val="00F121E2"/>
    <w:rsid w:val="00F13237"/>
    <w:rsid w:val="00F2175C"/>
    <w:rsid w:val="00F2336E"/>
    <w:rsid w:val="00F42D33"/>
    <w:rsid w:val="00F45153"/>
    <w:rsid w:val="00F47F65"/>
    <w:rsid w:val="00F576EB"/>
    <w:rsid w:val="00F850D2"/>
    <w:rsid w:val="00F8569E"/>
    <w:rsid w:val="00F92FB3"/>
    <w:rsid w:val="00F954DF"/>
    <w:rsid w:val="00F9713F"/>
    <w:rsid w:val="00FB5AD1"/>
    <w:rsid w:val="00FC4223"/>
    <w:rsid w:val="00FD1DB7"/>
    <w:rsid w:val="00FD7A47"/>
    <w:rsid w:val="00FF6A43"/>
    <w:rsid w:val="00FF7C9E"/>
    <w:rsid w:val="056A8471"/>
    <w:rsid w:val="0C2D3F32"/>
    <w:rsid w:val="1603A770"/>
    <w:rsid w:val="1F33CE18"/>
    <w:rsid w:val="23D8AAFF"/>
    <w:rsid w:val="250FCD5D"/>
    <w:rsid w:val="2755941B"/>
    <w:rsid w:val="2DDA29AD"/>
    <w:rsid w:val="2E9D36CA"/>
    <w:rsid w:val="2FFDF639"/>
    <w:rsid w:val="374702F3"/>
    <w:rsid w:val="38F69808"/>
    <w:rsid w:val="46B6CC08"/>
    <w:rsid w:val="5E46DE7F"/>
    <w:rsid w:val="74FF6C46"/>
    <w:rsid w:val="7571BD22"/>
    <w:rsid w:val="76709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101AA"/>
  <w15:docId w15:val="{590DB25A-B7BB-4DEF-A76D-1B7AA985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szCs w:val="20"/>
      <w:lang w:val="en-US"/>
    </w:rPr>
  </w:style>
  <w:style w:type="paragraph" w:styleId="Heading8">
    <w:name w:val="heading 8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i/>
      <w:position w:val="-1"/>
      <w:szCs w:val="20"/>
      <w:lang w:val="en-US"/>
    </w:rPr>
  </w:style>
  <w:style w:type="paragraph" w:styleId="Heading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/>
      <w:position w:val="-1"/>
      <w:sz w:val="22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11">
    <w:name w:val="Heading 11"/>
    <w:aliases w:val="h1"/>
    <w:basedOn w:val="Normal"/>
    <w:next w:val="Normal"/>
    <w:pPr>
      <w:keepNext/>
      <w:numPr>
        <w:numId w:val="1"/>
      </w:numPr>
      <w:suppressAutoHyphens/>
      <w:spacing w:after="240" w:line="1" w:lineRule="atLeast"/>
      <w:ind w:leftChars="-1" w:left="-1" w:hangingChars="1" w:hanging="1"/>
      <w:textDirection w:val="btLr"/>
      <w:textAlignment w:val="top"/>
      <w:outlineLvl w:val="0"/>
    </w:pPr>
    <w:rPr>
      <w:b/>
      <w:caps/>
      <w:position w:val="-1"/>
      <w:szCs w:val="20"/>
      <w:lang w:val="en-US"/>
    </w:rPr>
  </w:style>
  <w:style w:type="paragraph" w:customStyle="1" w:styleId="Heading21">
    <w:name w:val="Heading 21"/>
    <w:aliases w:val="h2"/>
    <w:basedOn w:val="Normal"/>
    <w:next w:val="Normal"/>
    <w:pPr>
      <w:keepNext/>
      <w:numPr>
        <w:ilvl w:val="1"/>
        <w:numId w:val="1"/>
      </w:numPr>
      <w:suppressAutoHyphens/>
      <w:spacing w:before="240" w:after="240" w:line="1" w:lineRule="atLeast"/>
      <w:ind w:leftChars="-1" w:left="-1" w:hangingChars="1" w:hanging="1"/>
      <w:textDirection w:val="btLr"/>
      <w:textAlignment w:val="top"/>
      <w:outlineLvl w:val="1"/>
    </w:pPr>
    <w:rPr>
      <w:b/>
      <w:position w:val="-1"/>
      <w:szCs w:val="20"/>
      <w:lang w:val="en-US"/>
    </w:rPr>
  </w:style>
  <w:style w:type="paragraph" w:customStyle="1" w:styleId="Heading31">
    <w:name w:val="Heading 31"/>
    <w:aliases w:val="h3"/>
    <w:basedOn w:val="Normal"/>
    <w:next w:val="Normal"/>
    <w:pPr>
      <w:keepNext/>
      <w:numPr>
        <w:ilvl w:val="2"/>
        <w:numId w:val="1"/>
      </w:numPr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2"/>
    </w:pPr>
    <w:rPr>
      <w:b/>
      <w:bCs/>
      <w:i/>
      <w:iCs/>
      <w:position w:val="-1"/>
      <w:szCs w:val="20"/>
      <w:lang w:val="en-US"/>
    </w:rPr>
  </w:style>
  <w:style w:type="paragraph" w:customStyle="1" w:styleId="Heading41">
    <w:name w:val="Heading 41"/>
    <w:aliases w:val="h4"/>
    <w:basedOn w:val="Normal"/>
    <w:next w:val="Normal"/>
    <w:pPr>
      <w:keepNext/>
      <w:widowControl w:val="0"/>
      <w:numPr>
        <w:ilvl w:val="3"/>
        <w:numId w:val="1"/>
      </w:numPr>
      <w:suppressAutoHyphens/>
      <w:spacing w:before="360" w:after="24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snapToGrid w:val="0"/>
      <w:position w:val="-1"/>
      <w:szCs w:val="20"/>
      <w:lang w:val="en-US"/>
    </w:rPr>
  </w:style>
  <w:style w:type="paragraph" w:customStyle="1" w:styleId="Heading51">
    <w:name w:val="Heading 51"/>
    <w:aliases w:val="h5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i/>
      <w:position w:val="-1"/>
      <w:sz w:val="26"/>
      <w:szCs w:val="20"/>
      <w:lang w:val="en-US"/>
    </w:rPr>
  </w:style>
  <w:style w:type="paragraph" w:customStyle="1" w:styleId="Heading61">
    <w:name w:val="Heading 61"/>
    <w:aliases w:val="h6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2"/>
      <w:szCs w:val="20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b/>
      <w:bCs/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XUNormal">
    <w:name w:val="TXU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XUHeader">
    <w:name w:val="TXUHeader"/>
    <w:basedOn w:val="TXUNormal"/>
    <w:pPr>
      <w:tabs>
        <w:tab w:val="right" w:pos="9360"/>
      </w:tabs>
      <w:spacing w:after="0"/>
    </w:pPr>
    <w:rPr>
      <w:noProof/>
      <w:sz w:val="16"/>
    </w:rPr>
  </w:style>
  <w:style w:type="paragraph" w:customStyle="1" w:styleId="TXUHeaderForm">
    <w:name w:val="TXUHeaderForm"/>
    <w:basedOn w:val="TXUHeader"/>
    <w:next w:val="Normal"/>
    <w:rPr>
      <w:sz w:val="24"/>
    </w:rPr>
  </w:style>
  <w:style w:type="paragraph" w:customStyle="1" w:styleId="TXUSubject">
    <w:name w:val="TXUSubject"/>
    <w:basedOn w:val="TXUNormal"/>
    <w:next w:val="TXUNormal"/>
    <w:pPr>
      <w:spacing w:after="240"/>
    </w:pPr>
    <w:rPr>
      <w:b/>
    </w:rPr>
  </w:style>
  <w:style w:type="paragraph" w:customStyle="1" w:styleId="TXUFooter">
    <w:name w:val="TXUFooter"/>
    <w:basedOn w:val="TXUNormal"/>
    <w:pPr>
      <w:pBdr>
        <w:top w:val="single" w:sz="4" w:space="1" w:color="auto"/>
      </w:pBdr>
      <w:tabs>
        <w:tab w:val="center" w:pos="4536"/>
        <w:tab w:val="right" w:pos="9360"/>
      </w:tabs>
      <w:spacing w:after="0"/>
    </w:pPr>
    <w:rPr>
      <w:sz w:val="16"/>
    </w:rPr>
  </w:style>
  <w:style w:type="paragraph" w:customStyle="1" w:styleId="TXUFooterPage">
    <w:name w:val="TXUFooterPage"/>
    <w:basedOn w:val="TXUFooter"/>
    <w:next w:val="TXUFooter"/>
    <w:rPr>
      <w:sz w:val="20"/>
    </w:rPr>
  </w:style>
  <w:style w:type="paragraph" w:customStyle="1" w:styleId="Comments">
    <w:name w:val="Comments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suppressAutoHyphens/>
      <w:spacing w:before="120" w:after="120" w:line="1" w:lineRule="atLeast"/>
      <w:ind w:leftChars="-1" w:left="720" w:right="720" w:hangingChars="1" w:hanging="1"/>
      <w:textDirection w:val="btLr"/>
      <w:textAlignment w:val="top"/>
      <w:outlineLvl w:val="0"/>
    </w:pPr>
    <w:rPr>
      <w:position w:val="-1"/>
      <w:szCs w:val="20"/>
      <w:lang w:val="en-US"/>
    </w:rPr>
  </w:style>
  <w:style w:type="character" w:styleId="Hyperlink">
    <w:name w:val="Hyperlink"/>
    <w:basedOn w:val="DefaultParagraphFon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BodyTextIndent">
    <w:name w:val="Body Text Indent"/>
    <w:basedOn w:val="Normal"/>
    <w:pPr>
      <w:suppressAutoHyphens/>
      <w:spacing w:before="120" w:after="120"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">
    <w:name w:val="Bullet"/>
    <w:basedOn w:val="Normal"/>
    <w:pPr>
      <w:numPr>
        <w:numId w:val="2"/>
      </w:numPr>
      <w:suppressAutoHyphens/>
      <w:spacing w:before="6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0"/>
      <w:lang w:val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customStyle="1" w:styleId="NormalArial">
    <w:name w:val="Normal+Arial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3319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1338"/>
    <w:pPr>
      <w:ind w:left="720"/>
      <w:contextualSpacing/>
    </w:pPr>
  </w:style>
  <w:style w:type="paragraph" w:styleId="Revision">
    <w:name w:val="Revision"/>
    <w:hidden/>
    <w:uiPriority w:val="99"/>
    <w:semiHidden/>
    <w:rsid w:val="00293013"/>
  </w:style>
  <w:style w:type="paragraph" w:styleId="FootnoteText">
    <w:name w:val="footnote text"/>
    <w:basedOn w:val="Normal"/>
    <w:link w:val="FootnoteTextChar"/>
    <w:uiPriority w:val="99"/>
    <w:semiHidden/>
    <w:unhideWhenUsed/>
    <w:rsid w:val="009F36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36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360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B5AD1"/>
    <w:rPr>
      <w:color w:val="800080" w:themeColor="followedHyperlink"/>
      <w:u w:val="single"/>
    </w:rPr>
  </w:style>
  <w:style w:type="table" w:customStyle="1" w:styleId="TableNormal00">
    <w:name w:val="TableNormal0"/>
    <w:rsid w:val="00E93D91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atrick.Gravois@ercot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ercot.com/mktrules/issues/NOGRR282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jLd56xJwSgYPgdIyn+/brwgUQ==">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</go:docsCustomData>
</go:gDocsCustomXmlDataStorage>
</file>

<file path=customXml/itemProps1.xml><?xml version="1.0" encoding="utf-8"?>
<ds:datastoreItem xmlns:ds="http://schemas.openxmlformats.org/officeDocument/2006/customXml" ds:itemID="{36696EBC-C81C-468C-9932-A7573E7E81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853</Words>
  <Characters>4626</Characters>
  <Application>Microsoft Office Word</Application>
  <DocSecurity>0</DocSecurity>
  <Lines>121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ERCOT</Company>
  <LinksUpToDate>false</LinksUpToDate>
  <CharactersWithSpaces>5418</CharactersWithSpaces>
  <SharedDoc>false</SharedDoc>
  <HLinks>
    <vt:vector size="12" baseType="variant">
      <vt:variant>
        <vt:i4>131173</vt:i4>
      </vt:variant>
      <vt:variant>
        <vt:i4>3</vt:i4>
      </vt:variant>
      <vt:variant>
        <vt:i4>0</vt:i4>
      </vt:variant>
      <vt:variant>
        <vt:i4>5</vt:i4>
      </vt:variant>
      <vt:variant>
        <vt:lpwstr>mailto:Patrick.Gravois@ercot.com</vt:lpwstr>
      </vt:variant>
      <vt:variant>
        <vt:lpwstr/>
      </vt:variant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https://www.ercot.com/mktrules/issues/NOGRR282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ERCOT/if</dc:creator>
  <cp:keywords/>
  <cp:lastModifiedBy>C Phillips</cp:lastModifiedBy>
  <cp:revision>4</cp:revision>
  <dcterms:created xsi:type="dcterms:W3CDTF">2026-02-16T16:04:00Z</dcterms:created>
  <dcterms:modified xsi:type="dcterms:W3CDTF">2026-02-16T16:12:00Z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84cbda-52b8-46fb-a7b7-cb5bd465ed85_Enabled">
    <vt:lpwstr>true</vt:lpwstr>
  </property>
  <property fmtid="{D5CDD505-2E9C-101B-9397-08002B2CF9AE}" pid="3" name="MSIP_Label_7084cbda-52b8-46fb-a7b7-cb5bd465ed85_SetDate">
    <vt:lpwstr>2025-12-04T13:03:29Z</vt:lpwstr>
  </property>
  <property fmtid="{D5CDD505-2E9C-101B-9397-08002B2CF9AE}" pid="4" name="MSIP_Label_7084cbda-52b8-46fb-a7b7-cb5bd465ed85_Method">
    <vt:lpwstr>Standard</vt:lpwstr>
  </property>
  <property fmtid="{D5CDD505-2E9C-101B-9397-08002B2CF9AE}" pid="5" name="MSIP_Label_7084cbda-52b8-46fb-a7b7-cb5bd465ed85_Name">
    <vt:lpwstr>Internal</vt:lpwstr>
  </property>
  <property fmtid="{D5CDD505-2E9C-101B-9397-08002B2CF9AE}" pid="6" name="MSIP_Label_7084cbda-52b8-46fb-a7b7-cb5bd465ed85_SiteId">
    <vt:lpwstr>0afb747d-bff7-4596-a9fc-950ef9e0ec45</vt:lpwstr>
  </property>
  <property fmtid="{D5CDD505-2E9C-101B-9397-08002B2CF9AE}" pid="7" name="MSIP_Label_7084cbda-52b8-46fb-a7b7-cb5bd465ed85_ActionId">
    <vt:lpwstr>e664732c-0659-4a1c-b43a-eeedd944d589</vt:lpwstr>
  </property>
  <property fmtid="{D5CDD505-2E9C-101B-9397-08002B2CF9AE}" pid="8" name="MSIP_Label_7084cbda-52b8-46fb-a7b7-cb5bd465ed85_ContentBits">
    <vt:lpwstr>0</vt:lpwstr>
  </property>
  <property fmtid="{D5CDD505-2E9C-101B-9397-08002B2CF9AE}" pid="9" name="MSIP_Label_7084cbda-52b8-46fb-a7b7-cb5bd465ed85_Tag">
    <vt:lpwstr>10, 3, 0, 1</vt:lpwstr>
  </property>
</Properties>
</file>