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767B2" w:rsidRPr="00587DC4" w14:paraId="08BC9EB4" w14:textId="77777777">
        <w:tc>
          <w:tcPr>
            <w:tcW w:w="1620" w:type="dxa"/>
            <w:tcBorders>
              <w:bottom w:val="single" w:sz="4" w:space="0" w:color="auto"/>
            </w:tcBorders>
            <w:shd w:val="clear" w:color="auto" w:fill="FFFFFF"/>
            <w:vAlign w:val="center"/>
          </w:tcPr>
          <w:p w14:paraId="31B90FC0" w14:textId="77777777" w:rsidR="009767B2" w:rsidRPr="00587DC4" w:rsidRDefault="009767B2" w:rsidP="009767B2">
            <w:pPr>
              <w:pStyle w:val="Header"/>
              <w:rPr>
                <w:rFonts w:cs="Arial"/>
              </w:rPr>
            </w:pPr>
            <w:r w:rsidRPr="00587DC4">
              <w:rPr>
                <w:rFonts w:cs="Arial"/>
              </w:rPr>
              <w:t>NPRR Number</w:t>
            </w:r>
          </w:p>
        </w:tc>
        <w:tc>
          <w:tcPr>
            <w:tcW w:w="1260" w:type="dxa"/>
            <w:tcBorders>
              <w:bottom w:val="single" w:sz="4" w:space="0" w:color="auto"/>
            </w:tcBorders>
            <w:vAlign w:val="center"/>
          </w:tcPr>
          <w:p w14:paraId="239E090A" w14:textId="77777777" w:rsidR="009767B2" w:rsidRPr="00587DC4" w:rsidRDefault="009767B2" w:rsidP="009767B2">
            <w:pPr>
              <w:pStyle w:val="Header"/>
              <w:rPr>
                <w:rFonts w:cs="Arial"/>
              </w:rPr>
            </w:pPr>
            <w:hyperlink r:id="rId7" w:history="1">
              <w:r w:rsidRPr="00587DC4">
                <w:rPr>
                  <w:rStyle w:val="Hyperlink"/>
                  <w:rFonts w:cs="Arial"/>
                </w:rPr>
                <w:t>1309</w:t>
              </w:r>
            </w:hyperlink>
          </w:p>
        </w:tc>
        <w:tc>
          <w:tcPr>
            <w:tcW w:w="900" w:type="dxa"/>
            <w:tcBorders>
              <w:bottom w:val="single" w:sz="4" w:space="0" w:color="auto"/>
            </w:tcBorders>
            <w:shd w:val="clear" w:color="auto" w:fill="FFFFFF"/>
            <w:vAlign w:val="center"/>
          </w:tcPr>
          <w:p w14:paraId="00CD7D05" w14:textId="77777777" w:rsidR="009767B2" w:rsidRPr="00587DC4" w:rsidRDefault="009767B2" w:rsidP="009767B2">
            <w:pPr>
              <w:pStyle w:val="Header"/>
              <w:rPr>
                <w:rFonts w:cs="Arial"/>
              </w:rPr>
            </w:pPr>
            <w:r w:rsidRPr="00587DC4">
              <w:rPr>
                <w:rFonts w:cs="Arial"/>
              </w:rPr>
              <w:t>NPRR Title</w:t>
            </w:r>
          </w:p>
        </w:tc>
        <w:tc>
          <w:tcPr>
            <w:tcW w:w="6660" w:type="dxa"/>
            <w:tcBorders>
              <w:bottom w:val="single" w:sz="4" w:space="0" w:color="auto"/>
            </w:tcBorders>
            <w:vAlign w:val="center"/>
          </w:tcPr>
          <w:p w14:paraId="6641E35F" w14:textId="77777777" w:rsidR="009767B2" w:rsidRPr="00587DC4" w:rsidRDefault="009767B2" w:rsidP="009767B2">
            <w:pPr>
              <w:pStyle w:val="Header"/>
              <w:rPr>
                <w:rFonts w:cs="Arial"/>
              </w:rPr>
            </w:pPr>
            <w:r w:rsidRPr="00587DC4">
              <w:rPr>
                <w:rFonts w:cs="Arial"/>
              </w:rPr>
              <w:t>Board Priority - Dispatchable Reliability Reserve Service Ancillary Service</w:t>
            </w:r>
          </w:p>
        </w:tc>
      </w:tr>
      <w:tr w:rsidR="00152993" w:rsidRPr="00587DC4" w14:paraId="64335383" w14:textId="77777777">
        <w:trPr>
          <w:trHeight w:val="413"/>
        </w:trPr>
        <w:tc>
          <w:tcPr>
            <w:tcW w:w="2880" w:type="dxa"/>
            <w:gridSpan w:val="2"/>
            <w:tcBorders>
              <w:top w:val="nil"/>
              <w:left w:val="nil"/>
              <w:bottom w:val="single" w:sz="4" w:space="0" w:color="auto"/>
              <w:right w:val="nil"/>
            </w:tcBorders>
            <w:vAlign w:val="center"/>
          </w:tcPr>
          <w:p w14:paraId="472104EE" w14:textId="77777777" w:rsidR="00152993" w:rsidRPr="00587DC4" w:rsidRDefault="00152993">
            <w:pPr>
              <w:pStyle w:val="NormalArial"/>
              <w:rPr>
                <w:rFonts w:cs="Arial"/>
              </w:rPr>
            </w:pPr>
          </w:p>
        </w:tc>
        <w:tc>
          <w:tcPr>
            <w:tcW w:w="7560" w:type="dxa"/>
            <w:gridSpan w:val="2"/>
            <w:tcBorders>
              <w:top w:val="single" w:sz="4" w:space="0" w:color="auto"/>
              <w:left w:val="nil"/>
              <w:bottom w:val="nil"/>
              <w:right w:val="nil"/>
            </w:tcBorders>
            <w:vAlign w:val="center"/>
          </w:tcPr>
          <w:p w14:paraId="58C6F860" w14:textId="77777777" w:rsidR="00152993" w:rsidRPr="00587DC4" w:rsidRDefault="00152993">
            <w:pPr>
              <w:pStyle w:val="NormalArial"/>
              <w:rPr>
                <w:rFonts w:cs="Arial"/>
              </w:rPr>
            </w:pPr>
          </w:p>
        </w:tc>
      </w:tr>
      <w:tr w:rsidR="00152993" w:rsidRPr="00587DC4" w14:paraId="176CD7E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017C439" w14:textId="77777777" w:rsidR="00152993" w:rsidRPr="00587DC4" w:rsidRDefault="00152993">
            <w:pPr>
              <w:pStyle w:val="Header"/>
              <w:rPr>
                <w:rFonts w:cs="Arial"/>
              </w:rPr>
            </w:pPr>
            <w:r w:rsidRPr="00587DC4">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CF8D4E" w14:textId="06C8D917" w:rsidR="00152993" w:rsidRPr="00587DC4" w:rsidRDefault="009767B2">
            <w:pPr>
              <w:pStyle w:val="NormalArial"/>
              <w:rPr>
                <w:rFonts w:cs="Arial"/>
              </w:rPr>
            </w:pPr>
            <w:r w:rsidRPr="00587DC4">
              <w:rPr>
                <w:rFonts w:cs="Arial"/>
              </w:rPr>
              <w:t xml:space="preserve">February </w:t>
            </w:r>
            <w:r w:rsidR="00AE66D4">
              <w:rPr>
                <w:rFonts w:cs="Arial"/>
              </w:rPr>
              <w:t>14</w:t>
            </w:r>
            <w:r w:rsidRPr="00587DC4">
              <w:rPr>
                <w:rFonts w:cs="Arial"/>
              </w:rPr>
              <w:t>, 2026</w:t>
            </w:r>
          </w:p>
        </w:tc>
      </w:tr>
      <w:tr w:rsidR="00152993" w:rsidRPr="00587DC4" w14:paraId="4F71FBA5" w14:textId="77777777">
        <w:trPr>
          <w:trHeight w:val="467"/>
        </w:trPr>
        <w:tc>
          <w:tcPr>
            <w:tcW w:w="2880" w:type="dxa"/>
            <w:gridSpan w:val="2"/>
            <w:tcBorders>
              <w:top w:val="single" w:sz="4" w:space="0" w:color="auto"/>
              <w:left w:val="nil"/>
              <w:bottom w:val="nil"/>
              <w:right w:val="nil"/>
            </w:tcBorders>
            <w:shd w:val="clear" w:color="auto" w:fill="FFFFFF"/>
            <w:vAlign w:val="center"/>
          </w:tcPr>
          <w:p w14:paraId="45A4A332" w14:textId="77777777" w:rsidR="00152993" w:rsidRPr="00587DC4" w:rsidRDefault="00152993">
            <w:pPr>
              <w:pStyle w:val="NormalArial"/>
              <w:rPr>
                <w:rFonts w:cs="Arial"/>
              </w:rPr>
            </w:pPr>
          </w:p>
        </w:tc>
        <w:tc>
          <w:tcPr>
            <w:tcW w:w="7560" w:type="dxa"/>
            <w:gridSpan w:val="2"/>
            <w:tcBorders>
              <w:top w:val="nil"/>
              <w:left w:val="nil"/>
              <w:bottom w:val="nil"/>
              <w:right w:val="nil"/>
            </w:tcBorders>
            <w:vAlign w:val="center"/>
          </w:tcPr>
          <w:p w14:paraId="581597EB" w14:textId="77777777" w:rsidR="00152993" w:rsidRPr="00587DC4" w:rsidRDefault="00152993">
            <w:pPr>
              <w:pStyle w:val="NormalArial"/>
              <w:rPr>
                <w:rFonts w:cs="Arial"/>
              </w:rPr>
            </w:pPr>
          </w:p>
        </w:tc>
      </w:tr>
      <w:tr w:rsidR="00152993" w:rsidRPr="00587DC4" w14:paraId="589E16BF" w14:textId="77777777">
        <w:trPr>
          <w:trHeight w:val="440"/>
        </w:trPr>
        <w:tc>
          <w:tcPr>
            <w:tcW w:w="10440" w:type="dxa"/>
            <w:gridSpan w:val="4"/>
            <w:tcBorders>
              <w:top w:val="single" w:sz="4" w:space="0" w:color="auto"/>
            </w:tcBorders>
            <w:shd w:val="clear" w:color="auto" w:fill="FFFFFF"/>
            <w:vAlign w:val="center"/>
          </w:tcPr>
          <w:p w14:paraId="62CFCAA5" w14:textId="77777777" w:rsidR="00152993" w:rsidRPr="00587DC4" w:rsidRDefault="00152993">
            <w:pPr>
              <w:pStyle w:val="Header"/>
              <w:jc w:val="center"/>
              <w:rPr>
                <w:rFonts w:cs="Arial"/>
              </w:rPr>
            </w:pPr>
            <w:r w:rsidRPr="00587DC4">
              <w:rPr>
                <w:rFonts w:cs="Arial"/>
              </w:rPr>
              <w:t>Submitter’s Information</w:t>
            </w:r>
          </w:p>
        </w:tc>
      </w:tr>
      <w:tr w:rsidR="00152993" w:rsidRPr="00587DC4" w14:paraId="184921BA" w14:textId="77777777">
        <w:trPr>
          <w:trHeight w:val="350"/>
        </w:trPr>
        <w:tc>
          <w:tcPr>
            <w:tcW w:w="2880" w:type="dxa"/>
            <w:gridSpan w:val="2"/>
            <w:shd w:val="clear" w:color="auto" w:fill="FFFFFF"/>
            <w:vAlign w:val="center"/>
          </w:tcPr>
          <w:p w14:paraId="43DB926D" w14:textId="77777777" w:rsidR="00152993" w:rsidRPr="00587DC4" w:rsidRDefault="00152993" w:rsidP="00EC55B3">
            <w:pPr>
              <w:pStyle w:val="Header"/>
              <w:rPr>
                <w:rFonts w:cs="Arial"/>
              </w:rPr>
            </w:pPr>
            <w:r w:rsidRPr="00587DC4">
              <w:rPr>
                <w:rFonts w:cs="Arial"/>
              </w:rPr>
              <w:t>Name</w:t>
            </w:r>
          </w:p>
        </w:tc>
        <w:tc>
          <w:tcPr>
            <w:tcW w:w="7560" w:type="dxa"/>
            <w:gridSpan w:val="2"/>
            <w:vAlign w:val="center"/>
          </w:tcPr>
          <w:p w14:paraId="598D2ECC" w14:textId="2A4BAE45" w:rsidR="00152993" w:rsidRPr="00587DC4" w:rsidRDefault="00A32940" w:rsidP="00AE66D4">
            <w:pPr>
              <w:pStyle w:val="NormalArial"/>
              <w:spacing w:before="60" w:after="60"/>
              <w:rPr>
                <w:rFonts w:cs="Arial"/>
              </w:rPr>
            </w:pPr>
            <w:r>
              <w:rPr>
                <w:rFonts w:cs="Arial"/>
                <w:color w:val="000000"/>
              </w:rPr>
              <w:t xml:space="preserve">Ariel </w:t>
            </w:r>
            <w:r w:rsidR="00E200FB">
              <w:rPr>
                <w:rFonts w:cs="Arial"/>
                <w:color w:val="000000"/>
              </w:rPr>
              <w:t xml:space="preserve">Horowitz, </w:t>
            </w:r>
            <w:r w:rsidR="00CA1CBC">
              <w:rPr>
                <w:rFonts w:cs="Arial"/>
                <w:color w:val="000000"/>
              </w:rPr>
              <w:t>Ton</w:t>
            </w:r>
            <w:r w:rsidR="00486837">
              <w:rPr>
                <w:rFonts w:cs="Arial"/>
                <w:color w:val="000000"/>
              </w:rPr>
              <w:t>j</w:t>
            </w:r>
            <w:r w:rsidR="00CA1CBC">
              <w:rPr>
                <w:rFonts w:cs="Arial"/>
                <w:color w:val="000000"/>
              </w:rPr>
              <w:t xml:space="preserve">a Wicks, </w:t>
            </w:r>
            <w:r w:rsidR="00DC0ABF">
              <w:rPr>
                <w:rFonts w:cs="Arial"/>
                <w:color w:val="000000"/>
              </w:rPr>
              <w:t>Mandy Meadors</w:t>
            </w:r>
            <w:r w:rsidR="00240280">
              <w:rPr>
                <w:rFonts w:cs="Arial"/>
                <w:color w:val="000000"/>
              </w:rPr>
              <w:t>,</w:t>
            </w:r>
            <w:r w:rsidR="00DC0ABF">
              <w:rPr>
                <w:rFonts w:cs="Arial"/>
                <w:color w:val="000000"/>
              </w:rPr>
              <w:t xml:space="preserve"> and Jack Clark</w:t>
            </w:r>
          </w:p>
        </w:tc>
      </w:tr>
      <w:tr w:rsidR="00152993" w:rsidRPr="00587DC4" w14:paraId="4784CCBD" w14:textId="77777777">
        <w:trPr>
          <w:trHeight w:val="350"/>
        </w:trPr>
        <w:tc>
          <w:tcPr>
            <w:tcW w:w="2880" w:type="dxa"/>
            <w:gridSpan w:val="2"/>
            <w:shd w:val="clear" w:color="auto" w:fill="FFFFFF"/>
            <w:vAlign w:val="center"/>
          </w:tcPr>
          <w:p w14:paraId="489F9956" w14:textId="77777777" w:rsidR="00152993" w:rsidRPr="00587DC4" w:rsidRDefault="00152993" w:rsidP="00EC55B3">
            <w:pPr>
              <w:pStyle w:val="Header"/>
              <w:rPr>
                <w:rFonts w:cs="Arial"/>
              </w:rPr>
            </w:pPr>
            <w:r w:rsidRPr="00587DC4">
              <w:rPr>
                <w:rFonts w:cs="Arial"/>
              </w:rPr>
              <w:t>E-mail Address</w:t>
            </w:r>
          </w:p>
        </w:tc>
        <w:tc>
          <w:tcPr>
            <w:tcW w:w="7560" w:type="dxa"/>
            <w:gridSpan w:val="2"/>
            <w:vAlign w:val="center"/>
          </w:tcPr>
          <w:p w14:paraId="2DCA5DFF" w14:textId="6EE36AC4" w:rsidR="00152993" w:rsidRPr="00587DC4" w:rsidRDefault="00AD3EA0" w:rsidP="00AE66D4">
            <w:pPr>
              <w:pStyle w:val="NormalArial"/>
              <w:spacing w:before="60" w:after="60"/>
              <w:rPr>
                <w:rFonts w:cs="Arial"/>
              </w:rPr>
            </w:pPr>
            <w:hyperlink r:id="rId8" w:history="1">
              <w:r w:rsidRPr="00AD3EA0">
                <w:rPr>
                  <w:rStyle w:val="Hyperlink"/>
                  <w:rFonts w:cs="Arial"/>
                </w:rPr>
                <w:t>ariel.horowitz@eolianenergy.com</w:t>
              </w:r>
            </w:hyperlink>
            <w:r w:rsidR="002C6847">
              <w:rPr>
                <w:rFonts w:cs="Arial"/>
              </w:rPr>
              <w:t xml:space="preserve">; </w:t>
            </w:r>
            <w:hyperlink r:id="rId9" w:history="1">
              <w:r w:rsidR="005207C8" w:rsidRPr="00495E3C">
                <w:rPr>
                  <w:rStyle w:val="Hyperlink"/>
                  <w:rFonts w:cs="Arial"/>
                </w:rPr>
                <w:t>tonja.wicks@esvolta.com</w:t>
              </w:r>
            </w:hyperlink>
            <w:r w:rsidR="005207C8">
              <w:rPr>
                <w:rFonts w:cs="Arial"/>
              </w:rPr>
              <w:t>;</w:t>
            </w:r>
            <w:r w:rsidR="00824DFF">
              <w:rPr>
                <w:rFonts w:cs="Arial"/>
              </w:rPr>
              <w:t xml:space="preserve"> </w:t>
            </w:r>
            <w:hyperlink r:id="rId10" w:history="1">
              <w:r w:rsidR="00B03832" w:rsidRPr="00495E3C">
                <w:rPr>
                  <w:rStyle w:val="Hyperlink"/>
                  <w:rFonts w:cs="Arial"/>
                </w:rPr>
                <w:t>mmeadors@pluspower.com</w:t>
              </w:r>
            </w:hyperlink>
            <w:r w:rsidR="00B03832">
              <w:rPr>
                <w:rFonts w:cs="Arial"/>
              </w:rPr>
              <w:t xml:space="preserve">; </w:t>
            </w:r>
            <w:r w:rsidR="00884ECC">
              <w:rPr>
                <w:rFonts w:cs="Arial"/>
              </w:rPr>
              <w:t xml:space="preserve">and </w:t>
            </w:r>
            <w:hyperlink r:id="rId11" w:history="1">
              <w:r w:rsidR="0098540F" w:rsidRPr="00057640">
                <w:rPr>
                  <w:rStyle w:val="Hyperlink"/>
                  <w:rFonts w:cs="Arial"/>
                </w:rPr>
                <w:t>jclark@spearmintenergy.com</w:t>
              </w:r>
            </w:hyperlink>
            <w:r w:rsidR="0098540F">
              <w:rPr>
                <w:rFonts w:cs="Arial"/>
              </w:rPr>
              <w:t xml:space="preserve"> </w:t>
            </w:r>
          </w:p>
        </w:tc>
      </w:tr>
      <w:tr w:rsidR="00152993" w:rsidRPr="00587DC4" w14:paraId="4C8D8883" w14:textId="77777777" w:rsidTr="00AE66D4">
        <w:trPr>
          <w:trHeight w:val="665"/>
        </w:trPr>
        <w:tc>
          <w:tcPr>
            <w:tcW w:w="2880" w:type="dxa"/>
            <w:gridSpan w:val="2"/>
            <w:shd w:val="clear" w:color="auto" w:fill="FFFFFF"/>
            <w:vAlign w:val="center"/>
          </w:tcPr>
          <w:p w14:paraId="4CAF44FA" w14:textId="77777777" w:rsidR="00152993" w:rsidRPr="00587DC4" w:rsidRDefault="00152993" w:rsidP="00EC55B3">
            <w:pPr>
              <w:pStyle w:val="Header"/>
              <w:rPr>
                <w:rFonts w:cs="Arial"/>
              </w:rPr>
            </w:pPr>
            <w:r w:rsidRPr="00587DC4">
              <w:rPr>
                <w:rFonts w:cs="Arial"/>
              </w:rPr>
              <w:t>Company</w:t>
            </w:r>
          </w:p>
        </w:tc>
        <w:tc>
          <w:tcPr>
            <w:tcW w:w="7560" w:type="dxa"/>
            <w:gridSpan w:val="2"/>
            <w:vAlign w:val="center"/>
          </w:tcPr>
          <w:p w14:paraId="7AF60E3F" w14:textId="01612644" w:rsidR="00152993" w:rsidRPr="00587DC4" w:rsidRDefault="009767B2" w:rsidP="00AE66D4">
            <w:pPr>
              <w:pStyle w:val="NormalArial"/>
              <w:spacing w:before="60" w:after="60"/>
              <w:rPr>
                <w:rFonts w:cs="Arial"/>
              </w:rPr>
            </w:pPr>
            <w:r w:rsidRPr="00587DC4">
              <w:rPr>
                <w:rFonts w:cs="Arial"/>
                <w:color w:val="000000"/>
              </w:rPr>
              <w:t>Eolian</w:t>
            </w:r>
            <w:r w:rsidR="00237D0C">
              <w:rPr>
                <w:rFonts w:cs="Arial"/>
                <w:color w:val="000000"/>
              </w:rPr>
              <w:t>, L.P.</w:t>
            </w:r>
            <w:r w:rsidR="00081AF4">
              <w:rPr>
                <w:rFonts w:cs="Arial"/>
                <w:color w:val="000000"/>
              </w:rPr>
              <w:t>;</w:t>
            </w:r>
            <w:r w:rsidRPr="00587DC4">
              <w:rPr>
                <w:rFonts w:cs="Arial"/>
                <w:color w:val="000000"/>
              </w:rPr>
              <w:t xml:space="preserve"> </w:t>
            </w:r>
            <w:r w:rsidR="004261E3">
              <w:rPr>
                <w:rFonts w:cs="Arial"/>
                <w:color w:val="000000"/>
              </w:rPr>
              <w:t xml:space="preserve">esVolta, </w:t>
            </w:r>
            <w:r w:rsidR="00081AF4">
              <w:rPr>
                <w:rFonts w:cs="Arial"/>
                <w:color w:val="000000"/>
              </w:rPr>
              <w:t xml:space="preserve">LP; </w:t>
            </w:r>
            <w:proofErr w:type="gramStart"/>
            <w:r w:rsidRPr="00587DC4">
              <w:rPr>
                <w:rFonts w:cs="Arial"/>
                <w:color w:val="000000"/>
              </w:rPr>
              <w:t>Plus</w:t>
            </w:r>
            <w:proofErr w:type="gramEnd"/>
            <w:r w:rsidRPr="00587DC4">
              <w:rPr>
                <w:rFonts w:cs="Arial"/>
                <w:color w:val="000000"/>
              </w:rPr>
              <w:t xml:space="preserve"> Power</w:t>
            </w:r>
            <w:r w:rsidR="00D02949">
              <w:rPr>
                <w:rFonts w:cs="Arial"/>
                <w:color w:val="000000"/>
              </w:rPr>
              <w:t>;</w:t>
            </w:r>
            <w:r w:rsidRPr="00587DC4">
              <w:rPr>
                <w:rFonts w:cs="Arial"/>
                <w:color w:val="000000"/>
              </w:rPr>
              <w:t xml:space="preserve"> </w:t>
            </w:r>
            <w:r w:rsidR="00F4547B">
              <w:rPr>
                <w:rFonts w:cs="Arial"/>
                <w:color w:val="000000"/>
              </w:rPr>
              <w:t xml:space="preserve">and Spearmint </w:t>
            </w:r>
            <w:r w:rsidR="00F429FB">
              <w:rPr>
                <w:rFonts w:cs="Arial"/>
                <w:color w:val="000000"/>
              </w:rPr>
              <w:t>Energy</w:t>
            </w:r>
            <w:r w:rsidR="00AE66D4">
              <w:rPr>
                <w:rFonts w:cs="Arial"/>
                <w:color w:val="000000"/>
              </w:rPr>
              <w:t xml:space="preserve"> (“Joint ESR Commenters”</w:t>
            </w:r>
          </w:p>
        </w:tc>
      </w:tr>
      <w:tr w:rsidR="00152993" w:rsidRPr="00587DC4" w14:paraId="6DA69ED5" w14:textId="77777777">
        <w:trPr>
          <w:trHeight w:val="350"/>
        </w:trPr>
        <w:tc>
          <w:tcPr>
            <w:tcW w:w="2880" w:type="dxa"/>
            <w:gridSpan w:val="2"/>
            <w:tcBorders>
              <w:bottom w:val="single" w:sz="4" w:space="0" w:color="auto"/>
            </w:tcBorders>
            <w:shd w:val="clear" w:color="auto" w:fill="FFFFFF"/>
            <w:vAlign w:val="center"/>
          </w:tcPr>
          <w:p w14:paraId="6CBAECB8" w14:textId="77777777" w:rsidR="00152993" w:rsidRPr="00587DC4" w:rsidRDefault="00152993" w:rsidP="00EC55B3">
            <w:pPr>
              <w:pStyle w:val="Header"/>
              <w:rPr>
                <w:rFonts w:cs="Arial"/>
              </w:rPr>
            </w:pPr>
            <w:r w:rsidRPr="00587DC4">
              <w:rPr>
                <w:rFonts w:cs="Arial"/>
              </w:rPr>
              <w:t>Phone Number</w:t>
            </w:r>
          </w:p>
        </w:tc>
        <w:tc>
          <w:tcPr>
            <w:tcW w:w="7560" w:type="dxa"/>
            <w:gridSpan w:val="2"/>
            <w:tcBorders>
              <w:bottom w:val="single" w:sz="4" w:space="0" w:color="auto"/>
            </w:tcBorders>
            <w:vAlign w:val="center"/>
          </w:tcPr>
          <w:p w14:paraId="5A183498" w14:textId="51208B7F" w:rsidR="00152993" w:rsidRPr="00587DC4" w:rsidRDefault="00152993" w:rsidP="00AE66D4">
            <w:pPr>
              <w:pStyle w:val="NormalArial"/>
              <w:spacing w:before="60" w:after="60"/>
              <w:rPr>
                <w:rFonts w:cs="Arial"/>
              </w:rPr>
            </w:pPr>
          </w:p>
        </w:tc>
      </w:tr>
      <w:tr w:rsidR="00152993" w:rsidRPr="00587DC4" w14:paraId="60501262" w14:textId="77777777">
        <w:trPr>
          <w:trHeight w:val="350"/>
        </w:trPr>
        <w:tc>
          <w:tcPr>
            <w:tcW w:w="2880" w:type="dxa"/>
            <w:gridSpan w:val="2"/>
            <w:shd w:val="clear" w:color="auto" w:fill="FFFFFF"/>
            <w:vAlign w:val="center"/>
          </w:tcPr>
          <w:p w14:paraId="2C2835A2" w14:textId="77777777" w:rsidR="00152993" w:rsidRPr="00587DC4" w:rsidRDefault="00075A94" w:rsidP="00EC55B3">
            <w:pPr>
              <w:pStyle w:val="Header"/>
              <w:rPr>
                <w:rFonts w:cs="Arial"/>
              </w:rPr>
            </w:pPr>
            <w:r w:rsidRPr="00587DC4">
              <w:rPr>
                <w:rFonts w:cs="Arial"/>
              </w:rPr>
              <w:t xml:space="preserve">Cell </w:t>
            </w:r>
            <w:r w:rsidR="00152993" w:rsidRPr="00587DC4">
              <w:rPr>
                <w:rFonts w:cs="Arial"/>
              </w:rPr>
              <w:t>Number</w:t>
            </w:r>
          </w:p>
        </w:tc>
        <w:tc>
          <w:tcPr>
            <w:tcW w:w="7560" w:type="dxa"/>
            <w:gridSpan w:val="2"/>
            <w:vAlign w:val="center"/>
          </w:tcPr>
          <w:p w14:paraId="1D9E6331" w14:textId="244C731D" w:rsidR="00152993" w:rsidRPr="00587DC4" w:rsidRDefault="00B03832" w:rsidP="00AE66D4">
            <w:pPr>
              <w:pStyle w:val="NormalArial"/>
              <w:spacing w:before="60" w:after="60"/>
              <w:rPr>
                <w:rFonts w:cs="Arial"/>
              </w:rPr>
            </w:pPr>
            <w:r>
              <w:rPr>
                <w:rFonts w:cs="Arial"/>
              </w:rPr>
              <w:t>(412) 848-0930; (202) 515-0660; (910) 465-1370;</w:t>
            </w:r>
            <w:r w:rsidR="00F429FB">
              <w:rPr>
                <w:rFonts w:cs="Arial"/>
              </w:rPr>
              <w:t xml:space="preserve"> (561) 452-</w:t>
            </w:r>
            <w:r w:rsidR="0063077D">
              <w:rPr>
                <w:rFonts w:cs="Arial"/>
              </w:rPr>
              <w:t>7380</w:t>
            </w:r>
          </w:p>
        </w:tc>
      </w:tr>
      <w:tr w:rsidR="00075A94" w:rsidRPr="00587DC4" w14:paraId="33211A95" w14:textId="77777777">
        <w:trPr>
          <w:trHeight w:val="350"/>
        </w:trPr>
        <w:tc>
          <w:tcPr>
            <w:tcW w:w="2880" w:type="dxa"/>
            <w:gridSpan w:val="2"/>
            <w:tcBorders>
              <w:bottom w:val="single" w:sz="4" w:space="0" w:color="auto"/>
            </w:tcBorders>
            <w:shd w:val="clear" w:color="auto" w:fill="FFFFFF"/>
            <w:vAlign w:val="center"/>
          </w:tcPr>
          <w:p w14:paraId="7ADE33A8" w14:textId="77777777" w:rsidR="00075A94" w:rsidRPr="00587DC4" w:rsidDel="00075A94" w:rsidRDefault="00075A94" w:rsidP="00EC55B3">
            <w:pPr>
              <w:pStyle w:val="Header"/>
              <w:rPr>
                <w:rFonts w:cs="Arial"/>
              </w:rPr>
            </w:pPr>
            <w:r w:rsidRPr="00587DC4">
              <w:rPr>
                <w:rFonts w:cs="Arial"/>
              </w:rPr>
              <w:t>Market Segment</w:t>
            </w:r>
          </w:p>
        </w:tc>
        <w:tc>
          <w:tcPr>
            <w:tcW w:w="7560" w:type="dxa"/>
            <w:gridSpan w:val="2"/>
            <w:tcBorders>
              <w:bottom w:val="single" w:sz="4" w:space="0" w:color="auto"/>
            </w:tcBorders>
            <w:vAlign w:val="center"/>
          </w:tcPr>
          <w:p w14:paraId="3970B01D" w14:textId="77777777" w:rsidR="00075A94" w:rsidRPr="00587DC4" w:rsidRDefault="009767B2" w:rsidP="00AE66D4">
            <w:pPr>
              <w:pStyle w:val="NormalArial"/>
              <w:spacing w:before="60" w:after="60"/>
              <w:rPr>
                <w:rFonts w:cs="Arial"/>
              </w:rPr>
            </w:pPr>
            <w:r w:rsidRPr="00587DC4">
              <w:rPr>
                <w:rFonts w:cs="Arial"/>
              </w:rPr>
              <w:t>Independent Generator</w:t>
            </w:r>
          </w:p>
        </w:tc>
      </w:tr>
    </w:tbl>
    <w:p w14:paraId="18059C00" w14:textId="77777777" w:rsidR="00152993" w:rsidRPr="00587DC4" w:rsidRDefault="00152993">
      <w:pPr>
        <w:pStyle w:val="NormalArial"/>
        <w:rPr>
          <w:rFonts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587DC4" w14:paraId="7DDE80B2" w14:textId="77777777" w:rsidTr="00B5080A">
        <w:trPr>
          <w:trHeight w:val="422"/>
          <w:jc w:val="center"/>
        </w:trPr>
        <w:tc>
          <w:tcPr>
            <w:tcW w:w="10440" w:type="dxa"/>
            <w:vAlign w:val="center"/>
          </w:tcPr>
          <w:p w14:paraId="36CD5263" w14:textId="77777777" w:rsidR="00075A94" w:rsidRPr="00587DC4" w:rsidRDefault="00075A94" w:rsidP="00B5080A">
            <w:pPr>
              <w:pStyle w:val="Header"/>
              <w:jc w:val="center"/>
              <w:rPr>
                <w:rFonts w:cs="Arial"/>
              </w:rPr>
            </w:pPr>
            <w:r w:rsidRPr="00587DC4">
              <w:rPr>
                <w:rFonts w:cs="Arial"/>
              </w:rPr>
              <w:t>Comments</w:t>
            </w:r>
          </w:p>
        </w:tc>
      </w:tr>
    </w:tbl>
    <w:p w14:paraId="5BFC199C" w14:textId="77777777" w:rsidR="00152993" w:rsidRPr="00587DC4" w:rsidRDefault="00152993">
      <w:pPr>
        <w:pStyle w:val="NormalArial"/>
        <w:rPr>
          <w:rFonts w:cs="Arial"/>
        </w:rPr>
      </w:pPr>
    </w:p>
    <w:p w14:paraId="716F53B4" w14:textId="02951B37" w:rsidR="00CC2A4F" w:rsidRPr="00587DC4" w:rsidRDefault="000204D2" w:rsidP="00587DC4">
      <w:pPr>
        <w:pStyle w:val="NormalArial"/>
        <w:jc w:val="both"/>
        <w:rPr>
          <w:rFonts w:cs="Arial"/>
        </w:rPr>
      </w:pPr>
      <w:r w:rsidRPr="00587DC4">
        <w:rPr>
          <w:rFonts w:cs="Arial"/>
        </w:rPr>
        <w:t xml:space="preserve">Eolian, </w:t>
      </w:r>
      <w:r w:rsidR="0063077D">
        <w:rPr>
          <w:rFonts w:cs="Arial"/>
        </w:rPr>
        <w:t xml:space="preserve">esVolta, </w:t>
      </w:r>
      <w:r w:rsidRPr="00587DC4">
        <w:rPr>
          <w:rFonts w:cs="Arial"/>
        </w:rPr>
        <w:t xml:space="preserve">Plus Power, and </w:t>
      </w:r>
      <w:r w:rsidR="001F6F76">
        <w:rPr>
          <w:rFonts w:cs="Arial"/>
        </w:rPr>
        <w:t xml:space="preserve">Spearmint Energy </w:t>
      </w:r>
      <w:r w:rsidRPr="00587DC4">
        <w:rPr>
          <w:rFonts w:cs="Arial"/>
        </w:rPr>
        <w:t>(</w:t>
      </w:r>
      <w:r w:rsidR="00AE66D4">
        <w:rPr>
          <w:rFonts w:cs="Arial"/>
        </w:rPr>
        <w:t>“</w:t>
      </w:r>
      <w:r w:rsidR="00C85789">
        <w:rPr>
          <w:rFonts w:cs="Arial"/>
        </w:rPr>
        <w:t xml:space="preserve">Joint </w:t>
      </w:r>
      <w:r w:rsidR="0081429D">
        <w:rPr>
          <w:rFonts w:cs="Arial"/>
        </w:rPr>
        <w:t xml:space="preserve">ESR </w:t>
      </w:r>
      <w:r w:rsidR="00C85789">
        <w:rPr>
          <w:rFonts w:cs="Arial"/>
        </w:rPr>
        <w:t>Commenters</w:t>
      </w:r>
      <w:r w:rsidR="00AE66D4">
        <w:rPr>
          <w:rFonts w:cs="Arial"/>
        </w:rPr>
        <w:t>”</w:t>
      </w:r>
      <w:r w:rsidRPr="00587DC4">
        <w:rPr>
          <w:rFonts w:cs="Arial"/>
        </w:rPr>
        <w:t xml:space="preserve">) </w:t>
      </w:r>
      <w:r w:rsidR="00C85789">
        <w:rPr>
          <w:rFonts w:cs="Arial"/>
        </w:rPr>
        <w:t xml:space="preserve">appreciate the opportunity to </w:t>
      </w:r>
      <w:r w:rsidR="007114A9">
        <w:rPr>
          <w:rFonts w:cs="Arial"/>
        </w:rPr>
        <w:t>file t</w:t>
      </w:r>
      <w:r w:rsidRPr="00587DC4">
        <w:rPr>
          <w:rFonts w:cs="Arial"/>
        </w:rPr>
        <w:t xml:space="preserve">hese comments in support of the </w:t>
      </w:r>
      <w:r w:rsidR="00CC2A4F" w:rsidRPr="00587DC4">
        <w:rPr>
          <w:rFonts w:cs="Arial"/>
        </w:rPr>
        <w:t xml:space="preserve">proposed modifications to </w:t>
      </w:r>
      <w:r w:rsidR="00AE66D4">
        <w:rPr>
          <w:rFonts w:cs="Arial"/>
        </w:rPr>
        <w:t>Nodal Protocol Revision Request (</w:t>
      </w:r>
      <w:r w:rsidR="00CC2A4F" w:rsidRPr="00587DC4">
        <w:rPr>
          <w:rFonts w:cs="Arial"/>
        </w:rPr>
        <w:t>NPRR</w:t>
      </w:r>
      <w:r w:rsidR="00AE66D4">
        <w:rPr>
          <w:rFonts w:cs="Arial"/>
        </w:rPr>
        <w:t xml:space="preserve">) </w:t>
      </w:r>
      <w:r w:rsidR="00CC2A4F" w:rsidRPr="00587DC4">
        <w:rPr>
          <w:rFonts w:cs="Arial"/>
        </w:rPr>
        <w:t>1309</w:t>
      </w:r>
      <w:r w:rsidR="0024319A" w:rsidRPr="00587DC4">
        <w:rPr>
          <w:rFonts w:cs="Arial"/>
        </w:rPr>
        <w:t xml:space="preserve">, as </w:t>
      </w:r>
      <w:r w:rsidR="00CC2A4F" w:rsidRPr="00587DC4">
        <w:rPr>
          <w:rFonts w:cs="Arial"/>
        </w:rPr>
        <w:t>captured in the comments</w:t>
      </w:r>
      <w:r w:rsidRPr="00587DC4">
        <w:rPr>
          <w:rFonts w:cs="Arial"/>
        </w:rPr>
        <w:t xml:space="preserve"> </w:t>
      </w:r>
      <w:r w:rsidR="0024319A" w:rsidRPr="00587DC4">
        <w:rPr>
          <w:rFonts w:cs="Arial"/>
        </w:rPr>
        <w:t xml:space="preserve">on NPRR1309 </w:t>
      </w:r>
      <w:r w:rsidRPr="00587DC4">
        <w:rPr>
          <w:rFonts w:cs="Arial"/>
        </w:rPr>
        <w:t xml:space="preserve">submitted by </w:t>
      </w:r>
      <w:r w:rsidR="00FD4715">
        <w:rPr>
          <w:rFonts w:cs="Arial"/>
        </w:rPr>
        <w:t>Texas Solar + Storage Association</w:t>
      </w:r>
      <w:r w:rsidR="00455B7F">
        <w:rPr>
          <w:rFonts w:cs="Arial"/>
        </w:rPr>
        <w:t xml:space="preserve"> (TSSA)</w:t>
      </w:r>
      <w:r w:rsidR="00CC2A4F" w:rsidRPr="00587DC4">
        <w:rPr>
          <w:rFonts w:cs="Arial"/>
        </w:rPr>
        <w:t xml:space="preserve"> on Jan</w:t>
      </w:r>
      <w:r w:rsidR="001F6F76">
        <w:rPr>
          <w:rFonts w:cs="Arial"/>
        </w:rPr>
        <w:t>uary</w:t>
      </w:r>
      <w:r w:rsidR="00CC2A4F" w:rsidRPr="00587DC4">
        <w:rPr>
          <w:rFonts w:cs="Arial"/>
        </w:rPr>
        <w:t xml:space="preserve"> </w:t>
      </w:r>
      <w:r w:rsidR="00FD4715">
        <w:rPr>
          <w:rFonts w:cs="Arial"/>
        </w:rPr>
        <w:t>29</w:t>
      </w:r>
      <w:r w:rsidR="00CC2A4F" w:rsidRPr="00587DC4">
        <w:rPr>
          <w:rFonts w:cs="Arial"/>
        </w:rPr>
        <w:t>, 2026</w:t>
      </w:r>
      <w:r w:rsidR="00671083">
        <w:rPr>
          <w:rFonts w:cs="Arial"/>
        </w:rPr>
        <w:t xml:space="preserve">, </w:t>
      </w:r>
      <w:r w:rsidR="006510C9">
        <w:rPr>
          <w:rFonts w:cs="Arial"/>
        </w:rPr>
        <w:t xml:space="preserve">and Jupiter Power LLC / Engie North America </w:t>
      </w:r>
      <w:r w:rsidR="0081429D">
        <w:rPr>
          <w:rFonts w:cs="Arial"/>
        </w:rPr>
        <w:t xml:space="preserve">(Joint Commenters) </w:t>
      </w:r>
      <w:r w:rsidR="006510C9">
        <w:rPr>
          <w:rFonts w:cs="Arial"/>
        </w:rPr>
        <w:t xml:space="preserve">on </w:t>
      </w:r>
      <w:r w:rsidR="00393D24">
        <w:rPr>
          <w:rFonts w:cs="Arial"/>
        </w:rPr>
        <w:t>January</w:t>
      </w:r>
      <w:r w:rsidR="006510C9">
        <w:rPr>
          <w:rFonts w:cs="Arial"/>
        </w:rPr>
        <w:t xml:space="preserve"> 30, 2026</w:t>
      </w:r>
      <w:r w:rsidR="00393D24">
        <w:rPr>
          <w:rFonts w:cs="Arial"/>
        </w:rPr>
        <w:t xml:space="preserve">, </w:t>
      </w:r>
      <w:r w:rsidR="00671083">
        <w:rPr>
          <w:rFonts w:cs="Arial"/>
        </w:rPr>
        <w:t>and discussed at the Feb</w:t>
      </w:r>
      <w:r w:rsidR="00393D24">
        <w:rPr>
          <w:rFonts w:cs="Arial"/>
        </w:rPr>
        <w:t xml:space="preserve">ruary </w:t>
      </w:r>
      <w:r w:rsidR="00671083">
        <w:rPr>
          <w:rFonts w:cs="Arial"/>
        </w:rPr>
        <w:t xml:space="preserve">4, 2026, </w:t>
      </w:r>
      <w:r w:rsidR="006D6B3B">
        <w:rPr>
          <w:rFonts w:cs="Arial"/>
        </w:rPr>
        <w:t xml:space="preserve">TAC </w:t>
      </w:r>
      <w:r w:rsidR="0081429D">
        <w:rPr>
          <w:rFonts w:cs="Arial"/>
        </w:rPr>
        <w:t xml:space="preserve"> Dispatchable Reliability Reserve Service (DRRS)</w:t>
      </w:r>
      <w:r w:rsidR="006D6B3B">
        <w:rPr>
          <w:rFonts w:cs="Arial"/>
        </w:rPr>
        <w:t xml:space="preserve"> Workshop #2 (</w:t>
      </w:r>
      <w:r w:rsidR="00AE66D4">
        <w:rPr>
          <w:rFonts w:cs="Arial"/>
        </w:rPr>
        <w:t>“</w:t>
      </w:r>
      <w:r w:rsidR="006D6B3B">
        <w:rPr>
          <w:rFonts w:cs="Arial"/>
        </w:rPr>
        <w:t>February 4 Workshop</w:t>
      </w:r>
      <w:r w:rsidR="00AE66D4">
        <w:rPr>
          <w:rFonts w:cs="Arial"/>
        </w:rPr>
        <w:t>”</w:t>
      </w:r>
      <w:r w:rsidR="006D6B3B">
        <w:rPr>
          <w:rFonts w:cs="Arial"/>
        </w:rPr>
        <w:t>)</w:t>
      </w:r>
      <w:r w:rsidR="00CC2A4F" w:rsidRPr="00587DC4">
        <w:rPr>
          <w:rFonts w:cs="Arial"/>
        </w:rPr>
        <w:t>. Th</w:t>
      </w:r>
      <w:r w:rsidR="0024319A" w:rsidRPr="00587DC4">
        <w:rPr>
          <w:rFonts w:cs="Arial"/>
        </w:rPr>
        <w:t>ose</w:t>
      </w:r>
      <w:r w:rsidR="00CC2A4F" w:rsidRPr="00587DC4">
        <w:rPr>
          <w:rFonts w:cs="Arial"/>
        </w:rPr>
        <w:t xml:space="preserve"> comments incorporate Energy Storage Resource (ESR) participation into proposed NPRR1309, </w:t>
      </w:r>
      <w:r w:rsidR="0024319A" w:rsidRPr="00587DC4">
        <w:rPr>
          <w:rFonts w:cs="Arial"/>
        </w:rPr>
        <w:t xml:space="preserve">which establishes DRRS, </w:t>
      </w:r>
      <w:r w:rsidR="00CC2A4F" w:rsidRPr="00587DC4">
        <w:rPr>
          <w:rFonts w:cs="Arial"/>
        </w:rPr>
        <w:t>rather than reserving ESR participation until approval and implementation of NPRR1310</w:t>
      </w:r>
      <w:r w:rsidR="00AE66D4">
        <w:rPr>
          <w:rFonts w:cs="Arial"/>
        </w:rPr>
        <w:t xml:space="preserve">, </w:t>
      </w:r>
      <w:r w:rsidR="00AE66D4" w:rsidRPr="00AE66D4">
        <w:rPr>
          <w:rFonts w:cs="Arial"/>
        </w:rPr>
        <w:t xml:space="preserve">Dispatchable Reliability Reserve Service Plus Energy </w:t>
      </w:r>
      <w:proofErr w:type="gramStart"/>
      <w:r w:rsidR="00AE66D4" w:rsidRPr="00AE66D4">
        <w:rPr>
          <w:rFonts w:cs="Arial"/>
        </w:rPr>
        <w:t>Storage Resource</w:t>
      </w:r>
      <w:proofErr w:type="gramEnd"/>
      <w:r w:rsidR="00AE66D4" w:rsidRPr="00AE66D4">
        <w:rPr>
          <w:rFonts w:cs="Arial"/>
        </w:rPr>
        <w:t xml:space="preserve"> Participation and Release Factor</w:t>
      </w:r>
      <w:r w:rsidR="00AE66D4">
        <w:rPr>
          <w:rFonts w:cs="Arial"/>
        </w:rPr>
        <w:t>,</w:t>
      </w:r>
      <w:r w:rsidR="0024319A" w:rsidRPr="00587DC4">
        <w:rPr>
          <w:rFonts w:cs="Arial"/>
        </w:rPr>
        <w:t xml:space="preserve"> </w:t>
      </w:r>
      <w:proofErr w:type="gramStart"/>
      <w:r w:rsidR="0024319A" w:rsidRPr="00587DC4">
        <w:rPr>
          <w:rFonts w:cs="Arial"/>
        </w:rPr>
        <w:t>at a later date</w:t>
      </w:r>
      <w:proofErr w:type="gramEnd"/>
      <w:r w:rsidR="00CC2A4F" w:rsidRPr="00587DC4">
        <w:rPr>
          <w:rFonts w:cs="Arial"/>
        </w:rPr>
        <w:t xml:space="preserve">. </w:t>
      </w:r>
    </w:p>
    <w:p w14:paraId="56EB1F05" w14:textId="69E5AEF6" w:rsidR="007135B0" w:rsidRPr="00587DC4" w:rsidRDefault="00671083" w:rsidP="00587DC4">
      <w:pPr>
        <w:spacing w:before="120" w:after="120"/>
        <w:jc w:val="both"/>
        <w:rPr>
          <w:rFonts w:ascii="Arial" w:hAnsi="Arial" w:cs="Arial"/>
        </w:rPr>
      </w:pPr>
      <w:r>
        <w:rPr>
          <w:rFonts w:ascii="Arial" w:hAnsi="Arial" w:cs="Arial"/>
        </w:rPr>
        <w:t>We</w:t>
      </w:r>
      <w:r w:rsidR="00587DC4">
        <w:rPr>
          <w:rFonts w:ascii="Arial" w:hAnsi="Arial" w:cs="Arial"/>
        </w:rPr>
        <w:t xml:space="preserve"> agree</w:t>
      </w:r>
      <w:r>
        <w:rPr>
          <w:rFonts w:ascii="Arial" w:hAnsi="Arial" w:cs="Arial"/>
        </w:rPr>
        <w:t xml:space="preserve"> with TSSA, </w:t>
      </w:r>
      <w:r w:rsidR="0081429D">
        <w:rPr>
          <w:rFonts w:ascii="Arial" w:hAnsi="Arial" w:cs="Arial"/>
        </w:rPr>
        <w:t>Joint Commenters</w:t>
      </w:r>
      <w:r w:rsidR="00455B7F">
        <w:rPr>
          <w:rFonts w:ascii="Arial" w:hAnsi="Arial" w:cs="Arial"/>
        </w:rPr>
        <w:t>,</w:t>
      </w:r>
      <w:r>
        <w:rPr>
          <w:rFonts w:ascii="Arial" w:hAnsi="Arial" w:cs="Arial"/>
        </w:rPr>
        <w:t xml:space="preserve"> and other parties commenting at the Feb</w:t>
      </w:r>
      <w:r w:rsidR="00FE5661">
        <w:rPr>
          <w:rFonts w:ascii="Arial" w:hAnsi="Arial" w:cs="Arial"/>
        </w:rPr>
        <w:t xml:space="preserve">ruary </w:t>
      </w:r>
      <w:r>
        <w:rPr>
          <w:rFonts w:ascii="Arial" w:hAnsi="Arial" w:cs="Arial"/>
        </w:rPr>
        <w:t xml:space="preserve">4 </w:t>
      </w:r>
      <w:r w:rsidR="006D6B3B">
        <w:rPr>
          <w:rFonts w:ascii="Arial" w:hAnsi="Arial" w:cs="Arial"/>
        </w:rPr>
        <w:t>W</w:t>
      </w:r>
      <w:r>
        <w:rPr>
          <w:rFonts w:ascii="Arial" w:hAnsi="Arial" w:cs="Arial"/>
        </w:rPr>
        <w:t>orkshop</w:t>
      </w:r>
      <w:r w:rsidR="0024319A" w:rsidRPr="00587DC4">
        <w:rPr>
          <w:rFonts w:ascii="Arial" w:hAnsi="Arial" w:cs="Arial"/>
        </w:rPr>
        <w:t xml:space="preserve"> that NPRR1309 should be modified to ensure that eligible ESRs are able to participate in DRRS, consistent with the plain language of Public Utility Regulatory Act (PURA) §39.159 (d) and (e), and as supported by the legislative record. We agree that inclusion of ESRs is based on sound public policy and will better deliver market efficiencies and make the DRRS a better product in support of the grid and </w:t>
      </w:r>
      <w:r w:rsidR="007B0BE1">
        <w:rPr>
          <w:rFonts w:ascii="Arial" w:hAnsi="Arial" w:cs="Arial"/>
        </w:rPr>
        <w:t xml:space="preserve">for </w:t>
      </w:r>
      <w:r w:rsidR="0024319A" w:rsidRPr="00587DC4">
        <w:rPr>
          <w:rFonts w:ascii="Arial" w:hAnsi="Arial" w:cs="Arial"/>
        </w:rPr>
        <w:t xml:space="preserve">consumers. </w:t>
      </w:r>
    </w:p>
    <w:p w14:paraId="1511DBC2" w14:textId="77777777" w:rsidR="00FC50D6" w:rsidRPr="00587DC4" w:rsidRDefault="00671083" w:rsidP="00FC50D6">
      <w:pPr>
        <w:spacing w:before="120" w:after="120"/>
        <w:jc w:val="both"/>
        <w:rPr>
          <w:rFonts w:ascii="Arial" w:hAnsi="Arial" w:cs="Arial"/>
        </w:rPr>
      </w:pPr>
      <w:r>
        <w:rPr>
          <w:rFonts w:ascii="Arial" w:hAnsi="Arial" w:cs="Arial"/>
        </w:rPr>
        <w:t xml:space="preserve">As TSSA explains, </w:t>
      </w:r>
      <w:r w:rsidR="00FC50D6" w:rsidRPr="00587DC4">
        <w:rPr>
          <w:rFonts w:ascii="Arial" w:hAnsi="Arial" w:cs="Arial"/>
        </w:rPr>
        <w:t>PURA §39.159 explicitly allows dispatchable generation resources to participate in DRRS.</w:t>
      </w:r>
      <w:r w:rsidR="00587DC4">
        <w:rPr>
          <w:rFonts w:ascii="Arial" w:hAnsi="Arial" w:cs="Arial"/>
        </w:rPr>
        <w:t xml:space="preserve"> </w:t>
      </w:r>
      <w:r w:rsidR="00FC50D6" w:rsidRPr="00587DC4">
        <w:rPr>
          <w:rFonts w:ascii="Arial" w:hAnsi="Arial" w:cs="Arial"/>
        </w:rPr>
        <w:t xml:space="preserve">Although “dispatchable generation” is not defined, “non-dispatchable” generation resources are defined as those generation facilities whose “output is controlled primarily by forces outside of human control,” i.e., renewable resources. Thus, </w:t>
      </w:r>
      <w:r w:rsidR="00587DC4">
        <w:rPr>
          <w:rFonts w:ascii="Arial" w:hAnsi="Arial" w:cs="Arial"/>
        </w:rPr>
        <w:t xml:space="preserve">through negation, </w:t>
      </w:r>
      <w:r w:rsidR="00FC50D6" w:rsidRPr="00587DC4">
        <w:rPr>
          <w:rFonts w:ascii="Arial" w:hAnsi="Arial" w:cs="Arial"/>
        </w:rPr>
        <w:t xml:space="preserve">because the output of ESRs is not controlled primarily </w:t>
      </w:r>
      <w:r w:rsidR="00FC50D6" w:rsidRPr="00587DC4">
        <w:rPr>
          <w:rFonts w:ascii="Arial" w:hAnsi="Arial" w:cs="Arial"/>
        </w:rPr>
        <w:lastRenderedPageBreak/>
        <w:t xml:space="preserve">by the forces outside of human control, </w:t>
      </w:r>
      <w:r w:rsidR="00587DC4">
        <w:rPr>
          <w:rFonts w:ascii="Arial" w:hAnsi="Arial" w:cs="Arial"/>
        </w:rPr>
        <w:t>ESRs</w:t>
      </w:r>
      <w:r w:rsidR="00FC50D6" w:rsidRPr="00587DC4">
        <w:rPr>
          <w:rFonts w:ascii="Arial" w:hAnsi="Arial" w:cs="Arial"/>
        </w:rPr>
        <w:t xml:space="preserve"> are </w:t>
      </w:r>
      <w:r w:rsidR="00587DC4">
        <w:rPr>
          <w:rFonts w:ascii="Arial" w:hAnsi="Arial" w:cs="Arial"/>
        </w:rPr>
        <w:t xml:space="preserve">plainly </w:t>
      </w:r>
      <w:r w:rsidR="00FC50D6" w:rsidRPr="00587DC4">
        <w:rPr>
          <w:rFonts w:ascii="Arial" w:hAnsi="Arial" w:cs="Arial"/>
        </w:rPr>
        <w:t>“dispatchable” generation</w:t>
      </w:r>
      <w:r w:rsidR="00455B7F">
        <w:rPr>
          <w:rFonts w:ascii="Arial" w:hAnsi="Arial" w:cs="Arial"/>
        </w:rPr>
        <w:t xml:space="preserve"> and therefore the statute supports ESR participation</w:t>
      </w:r>
      <w:r w:rsidR="00FC50D6" w:rsidRPr="00587DC4">
        <w:rPr>
          <w:rFonts w:ascii="Arial" w:hAnsi="Arial" w:cs="Arial"/>
        </w:rPr>
        <w:t>.</w:t>
      </w:r>
    </w:p>
    <w:p w14:paraId="69286C41" w14:textId="6ED69447" w:rsidR="00FD4715" w:rsidRDefault="00FC50D6" w:rsidP="00FC50D6">
      <w:pPr>
        <w:spacing w:before="120" w:after="120"/>
        <w:jc w:val="both"/>
        <w:rPr>
          <w:rFonts w:ascii="Arial" w:hAnsi="Arial" w:cs="Arial"/>
        </w:rPr>
      </w:pPr>
      <w:r w:rsidRPr="00587DC4">
        <w:rPr>
          <w:rFonts w:ascii="Arial" w:hAnsi="Arial" w:cs="Arial"/>
        </w:rPr>
        <w:t xml:space="preserve">Spearmint, Eolian, and Form Energy </w:t>
      </w:r>
      <w:r w:rsidR="00587DC4">
        <w:rPr>
          <w:rFonts w:ascii="Arial" w:hAnsi="Arial" w:cs="Arial"/>
        </w:rPr>
        <w:t xml:space="preserve">previously </w:t>
      </w:r>
      <w:r w:rsidRPr="00587DC4">
        <w:rPr>
          <w:rFonts w:ascii="Arial" w:hAnsi="Arial" w:cs="Arial"/>
        </w:rPr>
        <w:t>submitted comments related to NPRR1235</w:t>
      </w:r>
      <w:r w:rsidR="00587DC4" w:rsidRPr="00587DC4">
        <w:rPr>
          <w:rFonts w:ascii="Arial" w:hAnsi="Arial" w:cs="Arial"/>
        </w:rPr>
        <w:t xml:space="preserve"> </w:t>
      </w:r>
      <w:r w:rsidR="00587DC4">
        <w:rPr>
          <w:rFonts w:ascii="Arial" w:hAnsi="Arial" w:cs="Arial"/>
        </w:rPr>
        <w:t>in July 2024</w:t>
      </w:r>
      <w:r w:rsidR="00671083">
        <w:rPr>
          <w:rFonts w:ascii="Arial" w:hAnsi="Arial" w:cs="Arial"/>
        </w:rPr>
        <w:t xml:space="preserve"> discussing the statutory basis for including ESRs in DRRS</w:t>
      </w:r>
      <w:r w:rsidR="00FD4715">
        <w:rPr>
          <w:rFonts w:ascii="Arial" w:hAnsi="Arial" w:cs="Arial"/>
        </w:rPr>
        <w:t xml:space="preserve">. We include </w:t>
      </w:r>
      <w:r w:rsidR="004F7360">
        <w:rPr>
          <w:rFonts w:ascii="Arial" w:hAnsi="Arial" w:cs="Arial"/>
        </w:rPr>
        <w:t xml:space="preserve">below </w:t>
      </w:r>
      <w:r w:rsidR="00FD4715">
        <w:rPr>
          <w:rFonts w:ascii="Arial" w:hAnsi="Arial" w:cs="Arial"/>
        </w:rPr>
        <w:t xml:space="preserve">those comments in pertinent part here for ease of reference: </w:t>
      </w:r>
    </w:p>
    <w:p w14:paraId="4ECDDE17" w14:textId="2B760329" w:rsidR="00FD4715" w:rsidRDefault="0050554C" w:rsidP="0050554C">
      <w:pPr>
        <w:pStyle w:val="NormalArial"/>
        <w:spacing w:before="120" w:after="120"/>
        <w:ind w:left="720" w:right="720" w:hanging="720"/>
        <w:jc w:val="both"/>
      </w:pPr>
      <w:r>
        <w:tab/>
      </w:r>
      <w:r w:rsidR="00FD4715">
        <w:t>The effective statutory language relating to DRRS (</w:t>
      </w:r>
      <w:hyperlink r:id="rId12" w:anchor="39.159" w:history="1">
        <w:r w:rsidR="00FD4715">
          <w:rPr>
            <w:rStyle w:val="Hyperlink"/>
          </w:rPr>
          <w:t>Public Utility Regulatory Act (PURA) § 39.159</w:t>
        </w:r>
      </w:hyperlink>
      <w:r w:rsidR="00FD4715">
        <w:t xml:space="preserve">(d)), was intentionally drafted to include and incentivize Energy Storage Resources (ESRs) capable of providing four (4) or more hours of capacity for DRRS. </w:t>
      </w:r>
    </w:p>
    <w:p w14:paraId="4ACE0873" w14:textId="77777777" w:rsidR="00FD4715" w:rsidRPr="00B36B38" w:rsidRDefault="00FD4715" w:rsidP="0050554C">
      <w:pPr>
        <w:pStyle w:val="NormalArial"/>
        <w:spacing w:before="120" w:after="120"/>
        <w:ind w:left="720" w:right="720"/>
        <w:jc w:val="both"/>
      </w:pPr>
      <w:r>
        <w:t>Specifically, t</w:t>
      </w:r>
      <w:r w:rsidRPr="00B36B38">
        <w:t xml:space="preserve">he statutory provisions creating DRRS were initially contained in </w:t>
      </w:r>
      <w:hyperlink r:id="rId13" w:anchor="navpanes=0" w:history="1">
        <w:r w:rsidRPr="00B36B38">
          <w:rPr>
            <w:rStyle w:val="Hyperlink"/>
          </w:rPr>
          <w:t>Senate Bill (SB) 7</w:t>
        </w:r>
      </w:hyperlink>
      <w:r w:rsidRPr="00B36B38">
        <w:t>, which was approved by the Senate on April 5, 2023. Prior to SB 7’s passage in the Senate, the bill contained language requiring dispatchable Resources to be capable of performing to the Resource’s full capacity for ten (10) hours. However, following disc</w:t>
      </w:r>
      <w:r>
        <w:t>u</w:t>
      </w:r>
      <w:r w:rsidRPr="00B36B38">
        <w:t>ssions to help encourage participation by ESRs, Senator Zaffirini proposed an amendment to SB 7, which was supported by Senator Schwertner (SB 7’s author), to revise the duration requirement from ten (10) hours to four (4) hours:</w:t>
      </w:r>
    </w:p>
    <w:p w14:paraId="5D26F36D" w14:textId="77777777" w:rsidR="00FD4715" w:rsidRPr="00B36B38" w:rsidRDefault="00FD4715" w:rsidP="007C35E0">
      <w:pPr>
        <w:pStyle w:val="NormalArial"/>
        <w:spacing w:before="120" w:after="120"/>
        <w:ind w:left="1440" w:right="1440"/>
        <w:jc w:val="both"/>
        <w:rPr>
          <w:sz w:val="22"/>
          <w:szCs w:val="22"/>
        </w:rPr>
      </w:pPr>
      <w:r w:rsidRPr="00B36B38">
        <w:rPr>
          <w:sz w:val="22"/>
          <w:szCs w:val="22"/>
        </w:rPr>
        <w:t xml:space="preserve">This amendment changes the run time from ten (10) hours to four (4) hours but allows ERCOT to require a longer run time if they determine it is necessary. </w:t>
      </w:r>
      <w:r w:rsidRPr="00ED5EF1">
        <w:rPr>
          <w:b/>
          <w:bCs/>
          <w:sz w:val="22"/>
          <w:szCs w:val="22"/>
        </w:rPr>
        <w:t xml:space="preserve">This was done to address concerns that a 10-hour run time would limit dispatch resources like </w:t>
      </w:r>
      <w:r w:rsidRPr="00ED5EF1">
        <w:rPr>
          <w:b/>
          <w:bCs/>
          <w:i/>
          <w:iCs/>
          <w:sz w:val="22"/>
          <w:szCs w:val="22"/>
        </w:rPr>
        <w:t>batteries</w:t>
      </w:r>
      <w:r w:rsidRPr="00B36B38">
        <w:rPr>
          <w:sz w:val="22"/>
          <w:szCs w:val="22"/>
        </w:rPr>
        <w:t>. If the need for a run time longer than four hours is necessary in the future, however, ERCOT will be able to make this change</w:t>
      </w:r>
      <w:r>
        <w:rPr>
          <w:sz w:val="22"/>
          <w:szCs w:val="22"/>
        </w:rPr>
        <w:t xml:space="preserve"> (emphasis added).</w:t>
      </w:r>
      <w:r w:rsidRPr="00B36B38">
        <w:rPr>
          <w:sz w:val="22"/>
          <w:szCs w:val="22"/>
          <w:vertAlign w:val="superscript"/>
        </w:rPr>
        <w:footnoteReference w:id="1"/>
      </w:r>
      <w:r w:rsidRPr="00B36B38">
        <w:rPr>
          <w:sz w:val="22"/>
          <w:szCs w:val="22"/>
        </w:rPr>
        <w:t xml:space="preserve"> </w:t>
      </w:r>
    </w:p>
    <w:p w14:paraId="3A5579A9" w14:textId="77777777" w:rsidR="00FD4715" w:rsidRDefault="00FD4715" w:rsidP="007C35E0">
      <w:pPr>
        <w:pStyle w:val="NormalArial"/>
        <w:spacing w:before="120" w:after="120"/>
        <w:ind w:left="720" w:right="720"/>
        <w:jc w:val="both"/>
      </w:pPr>
      <w:r>
        <w:t>Further, as Senator Menendez explained on the Senate floor while discussing firming requirements and DRRS:</w:t>
      </w:r>
    </w:p>
    <w:p w14:paraId="7C2912CC" w14:textId="77777777" w:rsidR="00FD4715" w:rsidRDefault="00FD4715" w:rsidP="007C35E0">
      <w:pPr>
        <w:pStyle w:val="NormalArial"/>
        <w:spacing w:before="120" w:after="120"/>
        <w:ind w:left="1440" w:right="1440"/>
        <w:jc w:val="both"/>
      </w:pPr>
      <w:r>
        <w:rPr>
          <w:sz w:val="22"/>
          <w:szCs w:val="22"/>
        </w:rPr>
        <w:t>…</w:t>
      </w:r>
      <w:r w:rsidRPr="00EC7980">
        <w:rPr>
          <w:sz w:val="22"/>
          <w:szCs w:val="22"/>
        </w:rPr>
        <w:t xml:space="preserve">dispatchable reliable energy is what we want for our constituents. But </w:t>
      </w:r>
      <w:r w:rsidRPr="00EC7980">
        <w:rPr>
          <w:b/>
          <w:bCs/>
          <w:i/>
          <w:iCs/>
          <w:sz w:val="22"/>
          <w:szCs w:val="22"/>
        </w:rPr>
        <w:t>it needs to be technology agnostic</w:t>
      </w:r>
      <w:r w:rsidRPr="00EC7980">
        <w:rPr>
          <w:sz w:val="22"/>
          <w:szCs w:val="22"/>
        </w:rPr>
        <w:t xml:space="preserve"> and it future proofs it by allowing us to be able to do things in real time. And we </w:t>
      </w:r>
      <w:r w:rsidRPr="00B37416">
        <w:rPr>
          <w:b/>
          <w:bCs/>
          <w:i/>
          <w:iCs/>
          <w:sz w:val="22"/>
          <w:szCs w:val="22"/>
        </w:rPr>
        <w:t>don't hold ourselves to just one technology that provides that dispatchable power</w:t>
      </w:r>
      <w:r>
        <w:rPr>
          <w:sz w:val="22"/>
          <w:szCs w:val="22"/>
        </w:rPr>
        <w:t xml:space="preserve"> (emphasis added).</w:t>
      </w:r>
      <w:r>
        <w:rPr>
          <w:rStyle w:val="FootnoteReference"/>
          <w:sz w:val="22"/>
          <w:szCs w:val="22"/>
        </w:rPr>
        <w:footnoteReference w:id="2"/>
      </w:r>
    </w:p>
    <w:p w14:paraId="4EC3041C" w14:textId="69641608" w:rsidR="00FD4715" w:rsidRDefault="00FD4715" w:rsidP="007C35E0">
      <w:pPr>
        <w:pStyle w:val="NormalArial"/>
        <w:spacing w:before="120" w:after="120"/>
        <w:ind w:left="720" w:right="720"/>
        <w:jc w:val="both"/>
      </w:pPr>
      <w:r w:rsidRPr="00954E57">
        <w:t>SB 7 was ultimately incorporated into HB 150</w:t>
      </w:r>
      <w:r>
        <w:t>0. B</w:t>
      </w:r>
      <w:r w:rsidRPr="00954E57">
        <w:t xml:space="preserve">oth the Texas Senate and the House of Representatives approved and the DRRS statutory language </w:t>
      </w:r>
      <w:r w:rsidRPr="00954E57">
        <w:lastRenderedPageBreak/>
        <w:t>with the four (4) hour duration requirement</w:t>
      </w:r>
      <w:r>
        <w:t xml:space="preserve"> </w:t>
      </w:r>
      <w:r w:rsidRPr="00954E57">
        <w:t>and Governor Abbott signed HB 1500 into law on June 9, 2023, with an effective date of September 1, 2023.</w:t>
      </w:r>
    </w:p>
    <w:p w14:paraId="2A818482" w14:textId="1C45E810" w:rsidR="00FD4715" w:rsidRDefault="00C91C1E" w:rsidP="00671083">
      <w:pPr>
        <w:pStyle w:val="NormalArial"/>
        <w:spacing w:before="120" w:after="120"/>
        <w:jc w:val="both"/>
      </w:pPr>
      <w:r>
        <w:t xml:space="preserve">Joint </w:t>
      </w:r>
      <w:r w:rsidR="00453A4B">
        <w:t xml:space="preserve">ESR </w:t>
      </w:r>
      <w:r>
        <w:t xml:space="preserve">Commenters </w:t>
      </w:r>
      <w:r w:rsidR="00FD4715">
        <w:t xml:space="preserve">further agree with </w:t>
      </w:r>
      <w:r w:rsidR="00EB5BC1">
        <w:t>c</w:t>
      </w:r>
      <w:r w:rsidR="00FD4715">
        <w:t xml:space="preserve">omments made by Joint Commenters </w:t>
      </w:r>
      <w:r w:rsidR="00671083">
        <w:t>at the Feb</w:t>
      </w:r>
      <w:r w:rsidR="00453A4B">
        <w:t xml:space="preserve">ruary </w:t>
      </w:r>
      <w:r w:rsidR="00671083">
        <w:t xml:space="preserve">4 workshop </w:t>
      </w:r>
      <w:r w:rsidR="00FD4715">
        <w:t xml:space="preserve">that ESRs can meet the design requirements laid out in </w:t>
      </w:r>
      <w:r w:rsidR="00FF090F">
        <w:t xml:space="preserve">PURA </w:t>
      </w:r>
      <w:r w:rsidR="00FF090F">
        <w:rPr>
          <w:rFonts w:cs="Arial"/>
        </w:rPr>
        <w:t>§</w:t>
      </w:r>
      <w:r w:rsidR="00FD4715">
        <w:t xml:space="preserve">39.159, and that it would be a departure from past </w:t>
      </w:r>
      <w:r w:rsidR="00455B7F">
        <w:t xml:space="preserve">technology-neutral </w:t>
      </w:r>
      <w:r w:rsidR="00FD4715">
        <w:t>market design practice</w:t>
      </w:r>
      <w:r w:rsidR="00455B7F">
        <w:t>s in ERCOT</w:t>
      </w:r>
      <w:r w:rsidR="00FD4715">
        <w:t xml:space="preserve"> to explicitly </w:t>
      </w:r>
      <w:r w:rsidR="00455B7F">
        <w:t>exclude participation by</w:t>
      </w:r>
      <w:r w:rsidR="00FD4715">
        <w:t xml:space="preserve"> a technology that can clearly meet the design requirements set forth in the law. Further, </w:t>
      </w:r>
      <w:r w:rsidR="00671083">
        <w:t xml:space="preserve">we agree with statements made at the workshop that </w:t>
      </w:r>
      <w:r w:rsidR="00FD4715">
        <w:t xml:space="preserve">there is no substantive </w:t>
      </w:r>
      <w:r w:rsidR="00671083">
        <w:t xml:space="preserve">legal or policy </w:t>
      </w:r>
      <w:r w:rsidR="00FD4715">
        <w:t xml:space="preserve">justification for linking the participation of ESRs with the </w:t>
      </w:r>
      <w:r w:rsidR="00671083">
        <w:t xml:space="preserve">“Release Factor” concept that ERCOT </w:t>
      </w:r>
      <w:r w:rsidR="00FF090F">
        <w:t xml:space="preserve">proposed </w:t>
      </w:r>
      <w:r w:rsidR="00671083">
        <w:t>to implement in NPRR1310.</w:t>
      </w:r>
    </w:p>
    <w:p w14:paraId="16D1180F" w14:textId="3865A2DD" w:rsidR="00922EF9" w:rsidRPr="00671083" w:rsidRDefault="00922EF9" w:rsidP="00671083">
      <w:pPr>
        <w:pStyle w:val="NormalArial"/>
        <w:spacing w:before="120" w:after="120"/>
        <w:jc w:val="both"/>
      </w:pPr>
      <w:r>
        <w:t xml:space="preserve">Finally, Joint ESR Commenters agree with </w:t>
      </w:r>
      <w:r w:rsidR="00A6782B">
        <w:t xml:space="preserve">the discussion at the </w:t>
      </w:r>
      <w:r w:rsidR="0088493E">
        <w:t xml:space="preserve">meeting of the </w:t>
      </w:r>
      <w:r w:rsidR="00A6782B">
        <w:t xml:space="preserve">ERCOT Board of Directors’ </w:t>
      </w:r>
      <w:r w:rsidR="0088493E">
        <w:t xml:space="preserve">Technology and Security Committee on February </w:t>
      </w:r>
      <w:r w:rsidR="00207114">
        <w:t xml:space="preserve">8 and at the meeting of the ERCOT Board of Directors on February 9 that </w:t>
      </w:r>
      <w:r w:rsidR="00E72310">
        <w:t xml:space="preserve">DRRS </w:t>
      </w:r>
      <w:r w:rsidR="001E3649">
        <w:t xml:space="preserve">can be a market signal to </w:t>
      </w:r>
      <w:r w:rsidR="00F22E28">
        <w:t xml:space="preserve">encourage the development of longer duration ESRs in the ERCOT market.  </w:t>
      </w:r>
      <w:r w:rsidR="00182C91">
        <w:t>Currently, the</w:t>
      </w:r>
      <w:r w:rsidR="0041405B">
        <w:t xml:space="preserve">re are few economic </w:t>
      </w:r>
      <w:r w:rsidR="00182C91">
        <w:t>signals for longer duration ESRs</w:t>
      </w:r>
      <w:r w:rsidR="003A214B">
        <w:t xml:space="preserve"> to deploy in the ERCOT region</w:t>
      </w:r>
      <w:r w:rsidR="00FF090F">
        <w:t>, and allowing ESRs to participate in DRRS when it is i</w:t>
      </w:r>
      <w:r w:rsidR="00220A98">
        <w:t xml:space="preserve">mplemented pursuant to NPRR1309 will provide </w:t>
      </w:r>
      <w:r w:rsidR="003F2110">
        <w:t>a market signal to support the development of longer duration ESRs</w:t>
      </w:r>
      <w:r w:rsidR="00182C91">
        <w:t>.</w:t>
      </w:r>
      <w:r w:rsidR="003F2110">
        <w:t xml:space="preserve">  </w:t>
      </w:r>
      <w:r w:rsidR="006323FF">
        <w:t xml:space="preserve">The </w:t>
      </w:r>
      <w:r w:rsidR="008430D1">
        <w:t xml:space="preserve">requirement </w:t>
      </w:r>
      <w:r w:rsidR="00D7129D">
        <w:t xml:space="preserve">in PURA </w:t>
      </w:r>
      <w:r w:rsidR="00D7129D">
        <w:rPr>
          <w:rFonts w:cs="Arial"/>
        </w:rPr>
        <w:t>§</w:t>
      </w:r>
      <w:r w:rsidR="00AA4C9C">
        <w:t>39.159(d)(2)(A) that a resource</w:t>
      </w:r>
      <w:r w:rsidR="00527957">
        <w:t xml:space="preserve"> must “be capable of </w:t>
      </w:r>
      <w:r w:rsidR="003E7622">
        <w:t xml:space="preserve">running for at least four hours at </w:t>
      </w:r>
      <w:r w:rsidR="00E327BC">
        <w:t>t</w:t>
      </w:r>
      <w:r w:rsidR="003E7622">
        <w:t xml:space="preserve">he resource’s </w:t>
      </w:r>
      <w:r w:rsidR="006323FF">
        <w:t>high sustained limit</w:t>
      </w:r>
      <w:r w:rsidR="003E7622">
        <w:t xml:space="preserve">” </w:t>
      </w:r>
      <w:r w:rsidR="00F76791">
        <w:t xml:space="preserve">in order to participate in DRRS </w:t>
      </w:r>
      <w:r w:rsidR="006323FF">
        <w:t xml:space="preserve">provides a market signal supporting the deployment of </w:t>
      </w:r>
      <w:r w:rsidR="00EC6D32">
        <w:t xml:space="preserve">four-hour </w:t>
      </w:r>
      <w:r w:rsidR="006323FF">
        <w:t xml:space="preserve">duration resources in ERCOT.  </w:t>
      </w:r>
      <w:r w:rsidR="00054ABF">
        <w:t>D</w:t>
      </w:r>
      <w:r w:rsidR="003F2110">
        <w:t>elaying the participation of ESRs</w:t>
      </w:r>
      <w:r w:rsidR="00E652E7">
        <w:t xml:space="preserve"> despite the clear statutory language will provide a market signal that ERCOT does not support the development of longer duration ESRs in the ERCOT region.</w:t>
      </w:r>
    </w:p>
    <w:p w14:paraId="3AC217AB" w14:textId="4E58DBFD" w:rsidR="00BD7258" w:rsidRPr="00AE66D4" w:rsidRDefault="007135B0" w:rsidP="00AE66D4">
      <w:pPr>
        <w:spacing w:before="120" w:after="120"/>
        <w:jc w:val="both"/>
        <w:rPr>
          <w:rFonts w:ascii="Arial" w:hAnsi="Arial" w:cs="Arial"/>
        </w:rPr>
      </w:pPr>
      <w:r w:rsidRPr="00587DC4">
        <w:rPr>
          <w:rFonts w:ascii="Arial" w:hAnsi="Arial" w:cs="Arial"/>
        </w:rPr>
        <w:t>In summary, we</w:t>
      </w:r>
      <w:r w:rsidR="0024319A" w:rsidRPr="00587DC4">
        <w:rPr>
          <w:rFonts w:ascii="Arial" w:hAnsi="Arial" w:cs="Arial"/>
        </w:rPr>
        <w:t xml:space="preserve"> agree with </w:t>
      </w:r>
      <w:r w:rsidR="00455B7F">
        <w:rPr>
          <w:rFonts w:ascii="Arial" w:hAnsi="Arial" w:cs="Arial"/>
        </w:rPr>
        <w:t xml:space="preserve">TSSA, </w:t>
      </w:r>
      <w:r w:rsidR="0024319A" w:rsidRPr="00587DC4">
        <w:rPr>
          <w:rFonts w:ascii="Arial" w:hAnsi="Arial" w:cs="Arial"/>
        </w:rPr>
        <w:t>Joint Commenters</w:t>
      </w:r>
      <w:r w:rsidR="00455B7F">
        <w:rPr>
          <w:rFonts w:ascii="Arial" w:hAnsi="Arial" w:cs="Arial"/>
        </w:rPr>
        <w:t>,</w:t>
      </w:r>
      <w:r w:rsidR="0024319A" w:rsidRPr="00587DC4">
        <w:rPr>
          <w:rFonts w:ascii="Arial" w:hAnsi="Arial" w:cs="Arial"/>
        </w:rPr>
        <w:t xml:space="preserve"> and </w:t>
      </w:r>
      <w:r w:rsidR="00455B7F">
        <w:rPr>
          <w:rFonts w:ascii="Arial" w:hAnsi="Arial" w:cs="Arial"/>
        </w:rPr>
        <w:t>others</w:t>
      </w:r>
      <w:r w:rsidR="0024319A" w:rsidRPr="00587DC4">
        <w:rPr>
          <w:rFonts w:ascii="Arial" w:hAnsi="Arial" w:cs="Arial"/>
        </w:rPr>
        <w:t xml:space="preserve"> that ERCOT should develop DRRS in a manner that allows all eligible dispatchable Resources that can meet the statutory requirements, including ESRs, to be able to provide DRRS.</w:t>
      </w:r>
      <w:r w:rsidRPr="00587DC4">
        <w:rPr>
          <w:rFonts w:ascii="Arial" w:hAnsi="Arial" w:cs="Arial"/>
        </w:rPr>
        <w:t xml:space="preserve"> </w:t>
      </w:r>
      <w:r w:rsidRPr="00587DC4">
        <w:rPr>
          <w:rFonts w:ascii="Arial" w:hAnsi="Arial" w:cs="Arial"/>
          <w:color w:val="0E0E0E"/>
        </w:rPr>
        <w:t>In accordance with the plain language of the statute, and consistent with ERCOT’s established market design approach, eligibility under DRRS should be based on whether a resource can meet the statutory duration, availability, and dispatchability requirements, and specific resource types, such as ESRs, should not be excluded if they can meet the requirements.</w:t>
      </w:r>
      <w:r w:rsidR="00587DC4">
        <w:rPr>
          <w:rFonts w:ascii="Arial" w:hAnsi="Arial" w:cs="Arial"/>
          <w:color w:val="0E0E0E"/>
        </w:rPr>
        <w:t xml:space="preserve"> Indeed, ESRs are the fastest-to-market dispatchable resource</w:t>
      </w:r>
      <w:r w:rsidR="006B40DF">
        <w:rPr>
          <w:rFonts w:ascii="Arial" w:hAnsi="Arial" w:cs="Arial"/>
          <w:color w:val="0E0E0E"/>
        </w:rPr>
        <w:t>,</w:t>
      </w:r>
      <w:r w:rsidR="00587DC4">
        <w:rPr>
          <w:rFonts w:ascii="Arial" w:hAnsi="Arial" w:cs="Arial"/>
          <w:color w:val="0E0E0E"/>
        </w:rPr>
        <w:t xml:space="preserve"> and their inclusion will promote grid reliability and market </w:t>
      </w:r>
      <w:r w:rsidR="00A56AE7">
        <w:rPr>
          <w:rFonts w:ascii="Arial" w:hAnsi="Arial" w:cs="Arial"/>
          <w:color w:val="0E0E0E"/>
        </w:rPr>
        <w:t>efficiency</w:t>
      </w:r>
      <w:r w:rsidR="00587DC4">
        <w:rPr>
          <w:rFonts w:ascii="Arial" w:hAnsi="Arial" w:cs="Arial"/>
          <w:color w:val="0E0E0E"/>
        </w:rPr>
        <w:t xml:space="preserve">. Excluding ESRs is plainly discriminatory and </w:t>
      </w:r>
      <w:r w:rsidR="00563972">
        <w:rPr>
          <w:rFonts w:ascii="Arial" w:hAnsi="Arial" w:cs="Arial"/>
          <w:color w:val="0E0E0E"/>
        </w:rPr>
        <w:t>a violation of the statute.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587DC4" w14:paraId="46218049" w14:textId="77777777" w:rsidTr="00B5080A">
        <w:trPr>
          <w:trHeight w:val="350"/>
        </w:trPr>
        <w:tc>
          <w:tcPr>
            <w:tcW w:w="10440" w:type="dxa"/>
            <w:tcBorders>
              <w:bottom w:val="single" w:sz="4" w:space="0" w:color="auto"/>
            </w:tcBorders>
            <w:shd w:val="clear" w:color="auto" w:fill="FFFFFF"/>
            <w:vAlign w:val="center"/>
          </w:tcPr>
          <w:p w14:paraId="4312DFD3" w14:textId="77777777" w:rsidR="00BD7258" w:rsidRPr="00587DC4" w:rsidRDefault="00BD7258" w:rsidP="00B5080A">
            <w:pPr>
              <w:pStyle w:val="Header"/>
              <w:jc w:val="center"/>
              <w:rPr>
                <w:rFonts w:cs="Arial"/>
              </w:rPr>
            </w:pPr>
            <w:r w:rsidRPr="00587DC4">
              <w:rPr>
                <w:rFonts w:cs="Arial"/>
              </w:rPr>
              <w:t>Revised Cover Page Language</w:t>
            </w:r>
          </w:p>
        </w:tc>
      </w:tr>
    </w:tbl>
    <w:p w14:paraId="48E701CE" w14:textId="09B661DF" w:rsidR="00BD7258" w:rsidRPr="00AE66D4" w:rsidRDefault="006B40DF" w:rsidP="00AE66D4">
      <w:pPr>
        <w:pStyle w:val="BodyText"/>
        <w:rPr>
          <w:rFonts w:ascii="Arial" w:hAnsi="Arial" w:cs="Arial"/>
          <w:bCs/>
          <w:color w:val="000000"/>
        </w:rPr>
      </w:pPr>
      <w:r w:rsidRPr="00AE66D4">
        <w:rPr>
          <w:rFonts w:ascii="Arial" w:hAnsi="Arial" w:cs="Arial"/>
          <w:bCs/>
          <w:color w:val="000000"/>
        </w:rPr>
        <w:t xml:space="preserve">None </w:t>
      </w:r>
      <w:proofErr w:type="gramStart"/>
      <w:r w:rsidRPr="00AE66D4">
        <w:rPr>
          <w:rFonts w:ascii="Arial" w:hAnsi="Arial" w:cs="Arial"/>
          <w:bCs/>
          <w:color w:val="000000"/>
        </w:rPr>
        <w:t>at this time</w:t>
      </w:r>
      <w:proofErr w:type="gramEnd"/>
      <w:r w:rsidR="00194C3E">
        <w:rPr>
          <w:rFonts w:ascii="Arial" w:hAnsi="Arial" w:cs="Arial"/>
          <w:bCs/>
          <w:color w:val="000000"/>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587DC4" w14:paraId="014FAA2F" w14:textId="77777777">
        <w:trPr>
          <w:trHeight w:val="350"/>
        </w:trPr>
        <w:tc>
          <w:tcPr>
            <w:tcW w:w="10440" w:type="dxa"/>
            <w:tcBorders>
              <w:bottom w:val="single" w:sz="4" w:space="0" w:color="auto"/>
            </w:tcBorders>
            <w:shd w:val="clear" w:color="auto" w:fill="FFFFFF"/>
            <w:vAlign w:val="center"/>
          </w:tcPr>
          <w:p w14:paraId="613D2209" w14:textId="77777777" w:rsidR="00152993" w:rsidRPr="00587DC4" w:rsidRDefault="00152993">
            <w:pPr>
              <w:pStyle w:val="Header"/>
              <w:jc w:val="center"/>
              <w:rPr>
                <w:rFonts w:cs="Arial"/>
              </w:rPr>
            </w:pPr>
            <w:r w:rsidRPr="00587DC4">
              <w:rPr>
                <w:rFonts w:cs="Arial"/>
              </w:rPr>
              <w:t>Revised Proposed Protocol Language</w:t>
            </w:r>
          </w:p>
        </w:tc>
      </w:tr>
    </w:tbl>
    <w:p w14:paraId="0F148171" w14:textId="34D55A71" w:rsidR="000204D2" w:rsidRPr="00194C3E" w:rsidRDefault="006B40DF">
      <w:pPr>
        <w:pStyle w:val="BodyText"/>
        <w:rPr>
          <w:rFonts w:ascii="Arial" w:hAnsi="Arial" w:cs="Arial"/>
          <w:bCs/>
          <w:color w:val="000000"/>
        </w:rPr>
      </w:pPr>
      <w:r w:rsidRPr="00194C3E">
        <w:rPr>
          <w:rFonts w:ascii="Arial" w:hAnsi="Arial" w:cs="Arial"/>
          <w:bCs/>
          <w:color w:val="000000"/>
        </w:rPr>
        <w:t xml:space="preserve">None </w:t>
      </w:r>
      <w:proofErr w:type="gramStart"/>
      <w:r w:rsidRPr="00194C3E">
        <w:rPr>
          <w:rFonts w:ascii="Arial" w:hAnsi="Arial" w:cs="Arial"/>
          <w:bCs/>
          <w:color w:val="000000"/>
        </w:rPr>
        <w:t>at this time</w:t>
      </w:r>
      <w:proofErr w:type="gramEnd"/>
      <w:r w:rsidR="00194C3E">
        <w:rPr>
          <w:rFonts w:ascii="Arial" w:hAnsi="Arial" w:cs="Arial"/>
          <w:bCs/>
          <w:color w:val="000000"/>
        </w:rPr>
        <w:t>.</w:t>
      </w:r>
    </w:p>
    <w:sectPr w:rsidR="000204D2" w:rsidRPr="00194C3E"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2A23" w14:textId="77777777" w:rsidR="00013F8D" w:rsidRDefault="00013F8D">
      <w:r>
        <w:separator/>
      </w:r>
    </w:p>
  </w:endnote>
  <w:endnote w:type="continuationSeparator" w:id="0">
    <w:p w14:paraId="1BF95322" w14:textId="77777777" w:rsidR="00013F8D" w:rsidRDefault="0001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CB70" w14:textId="3684186A"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6027C">
      <w:rPr>
        <w:rFonts w:ascii="Arial" w:hAnsi="Arial"/>
        <w:noProof/>
        <w:sz w:val="18"/>
      </w:rPr>
      <w:t>1309NPRR-14 Joint ESR Commenters Comments 021426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1204817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7170" w14:textId="77777777" w:rsidR="00013F8D" w:rsidRDefault="00013F8D">
      <w:r>
        <w:separator/>
      </w:r>
    </w:p>
  </w:footnote>
  <w:footnote w:type="continuationSeparator" w:id="0">
    <w:p w14:paraId="5B20043D" w14:textId="77777777" w:rsidR="00013F8D" w:rsidRDefault="00013F8D">
      <w:r>
        <w:continuationSeparator/>
      </w:r>
    </w:p>
  </w:footnote>
  <w:footnote w:id="1">
    <w:p w14:paraId="3D2BA21B" w14:textId="3E08A58B" w:rsidR="00FD4715" w:rsidRPr="001278D7" w:rsidRDefault="00FD4715" w:rsidP="00453A4B">
      <w:pPr>
        <w:pStyle w:val="FootnoteText"/>
        <w:ind w:left="360" w:hanging="360"/>
        <w:rPr>
          <w:rFonts w:ascii="Arial" w:hAnsi="Arial" w:cs="Arial"/>
        </w:rPr>
      </w:pPr>
    </w:p>
    <w:p w14:paraId="4FB7119D" w14:textId="0F9BE8A3" w:rsidR="00FD4715" w:rsidRPr="001278D7" w:rsidRDefault="00FD4715" w:rsidP="007C35E0">
      <w:pPr>
        <w:pStyle w:val="FootnoteText"/>
        <w:ind w:left="360" w:hanging="360"/>
        <w:rPr>
          <w:rFonts w:ascii="Arial" w:hAnsi="Arial" w:cs="Arial"/>
        </w:rPr>
      </w:pPr>
      <w:r w:rsidRPr="001278D7">
        <w:rPr>
          <w:rFonts w:ascii="Arial" w:hAnsi="Arial" w:cs="Arial"/>
        </w:rPr>
        <w:t xml:space="preserve"> </w:t>
      </w:r>
      <w:r w:rsidR="0050554C">
        <w:rPr>
          <w:rFonts w:ascii="Arial" w:hAnsi="Arial" w:cs="Arial"/>
          <w:vertAlign w:val="superscript"/>
        </w:rPr>
        <w:t>1</w:t>
      </w:r>
      <w:r w:rsidR="00506CF0">
        <w:rPr>
          <w:rFonts w:ascii="Arial" w:hAnsi="Arial" w:cs="Arial"/>
        </w:rPr>
        <w:tab/>
      </w:r>
      <w:r w:rsidRPr="001278D7">
        <w:rPr>
          <w:rFonts w:ascii="Arial" w:hAnsi="Arial" w:cs="Arial"/>
        </w:rPr>
        <w:t xml:space="preserve">Senate Session (Apr. 5, 2023), available at </w:t>
      </w:r>
      <w:hyperlink r:id="rId1" w:history="1">
        <w:r w:rsidRPr="001278D7">
          <w:rPr>
            <w:rStyle w:val="Hyperlink"/>
            <w:rFonts w:ascii="Arial" w:hAnsi="Arial" w:cs="Arial"/>
          </w:rPr>
          <w:t>https://tlcsenate.granicus.com/MediaPlayer.php?view_id=53&amp;clip_id=17610</w:t>
        </w:r>
      </w:hyperlink>
      <w:r w:rsidRPr="001278D7">
        <w:rPr>
          <w:rFonts w:ascii="Arial" w:hAnsi="Arial" w:cs="Arial"/>
        </w:rPr>
        <w:t xml:space="preserve"> (Timestamp: 03:28:55 – 03:29:25); </w:t>
      </w:r>
      <w:r w:rsidRPr="001278D7">
        <w:rPr>
          <w:rFonts w:ascii="Arial" w:hAnsi="Arial" w:cs="Arial"/>
          <w:i/>
          <w:iCs/>
        </w:rPr>
        <w:t xml:space="preserve">see also </w:t>
      </w:r>
      <w:r w:rsidRPr="001278D7">
        <w:rPr>
          <w:rFonts w:ascii="Arial" w:hAnsi="Arial" w:cs="Arial"/>
        </w:rPr>
        <w:t xml:space="preserve">SB 7 Amendment (Sen. Zaffirini) at </w:t>
      </w:r>
      <w:hyperlink r:id="rId2" w:history="1">
        <w:r w:rsidRPr="001278D7">
          <w:rPr>
            <w:rStyle w:val="Hyperlink"/>
            <w:rFonts w:ascii="Arial" w:hAnsi="Arial" w:cs="Arial"/>
          </w:rPr>
          <w:t>https://capitol.texas.gov/tlodocs/88R/amendments/pdf/SB00007S2F2.PDF</w:t>
        </w:r>
      </w:hyperlink>
      <w:r w:rsidRPr="001278D7">
        <w:rPr>
          <w:rFonts w:ascii="Arial" w:hAnsi="Arial" w:cs="Arial"/>
        </w:rPr>
        <w:t xml:space="preserve">. </w:t>
      </w:r>
    </w:p>
  </w:footnote>
  <w:footnote w:id="2">
    <w:p w14:paraId="2539E344" w14:textId="117D3C85" w:rsidR="00FD4715" w:rsidRPr="001278D7" w:rsidRDefault="00FD4715" w:rsidP="007C35E0">
      <w:pPr>
        <w:pStyle w:val="FootnoteText"/>
        <w:ind w:left="360" w:hanging="360"/>
        <w:rPr>
          <w:rFonts w:ascii="Arial" w:hAnsi="Arial" w:cs="Arial"/>
        </w:rPr>
      </w:pPr>
      <w:r w:rsidRPr="001278D7">
        <w:rPr>
          <w:rStyle w:val="FootnoteReference"/>
          <w:rFonts w:ascii="Arial" w:hAnsi="Arial" w:cs="Arial"/>
        </w:rPr>
        <w:footnoteRef/>
      </w:r>
      <w:r w:rsidRPr="001278D7">
        <w:rPr>
          <w:rFonts w:ascii="Arial" w:hAnsi="Arial" w:cs="Arial"/>
        </w:rPr>
        <w:t xml:space="preserve"> </w:t>
      </w:r>
      <w:r w:rsidR="00453A4B">
        <w:rPr>
          <w:rFonts w:ascii="Arial" w:hAnsi="Arial" w:cs="Arial"/>
        </w:rPr>
        <w:tab/>
      </w:r>
      <w:r w:rsidRPr="001278D7">
        <w:rPr>
          <w:rFonts w:ascii="Arial" w:hAnsi="Arial" w:cs="Arial"/>
        </w:rPr>
        <w:t xml:space="preserve">Senate Session (Apr. 5, 2023), available at </w:t>
      </w:r>
      <w:hyperlink r:id="rId3" w:history="1">
        <w:r w:rsidRPr="001278D7">
          <w:rPr>
            <w:rStyle w:val="Hyperlink"/>
            <w:rFonts w:ascii="Arial" w:hAnsi="Arial" w:cs="Arial"/>
          </w:rPr>
          <w:t>https://tlcsenate.granicus.com/MediaPlayer.php?view_id=53&amp;clip_id=17610</w:t>
        </w:r>
      </w:hyperlink>
      <w:r w:rsidRPr="001278D7">
        <w:rPr>
          <w:rFonts w:ascii="Arial" w:hAnsi="Arial" w:cs="Arial"/>
        </w:rPr>
        <w:t xml:space="preserve"> (Timestamp: 03:30:56 – 03: 32:17).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E560" w14:textId="77777777" w:rsidR="00EE6681" w:rsidRDefault="00EE6681">
    <w:pPr>
      <w:pStyle w:val="Header"/>
      <w:jc w:val="center"/>
      <w:rPr>
        <w:sz w:val="32"/>
      </w:rPr>
    </w:pPr>
    <w:r>
      <w:rPr>
        <w:sz w:val="32"/>
      </w:rPr>
      <w:t>NPRR Comments</w:t>
    </w:r>
  </w:p>
  <w:p w14:paraId="63A55F67"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21103695">
    <w:abstractNumId w:val="0"/>
  </w:num>
  <w:num w:numId="2" w16cid:durableId="1431511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3F8D"/>
    <w:rsid w:val="000204D2"/>
    <w:rsid w:val="00034241"/>
    <w:rsid w:val="00037668"/>
    <w:rsid w:val="0004100A"/>
    <w:rsid w:val="00054ABF"/>
    <w:rsid w:val="00075A94"/>
    <w:rsid w:val="00081AF4"/>
    <w:rsid w:val="000915B7"/>
    <w:rsid w:val="00120298"/>
    <w:rsid w:val="00132855"/>
    <w:rsid w:val="001452A6"/>
    <w:rsid w:val="00152993"/>
    <w:rsid w:val="00170297"/>
    <w:rsid w:val="001744EB"/>
    <w:rsid w:val="00182C91"/>
    <w:rsid w:val="00194C3E"/>
    <w:rsid w:val="001A227D"/>
    <w:rsid w:val="001A24E8"/>
    <w:rsid w:val="001A318F"/>
    <w:rsid w:val="001E2032"/>
    <w:rsid w:val="001E3649"/>
    <w:rsid w:val="001F6F76"/>
    <w:rsid w:val="00207114"/>
    <w:rsid w:val="002147E3"/>
    <w:rsid w:val="00220A98"/>
    <w:rsid w:val="00237D0C"/>
    <w:rsid w:val="00240280"/>
    <w:rsid w:val="00240750"/>
    <w:rsid w:val="0024319A"/>
    <w:rsid w:val="00252A09"/>
    <w:rsid w:val="002549D9"/>
    <w:rsid w:val="002C6847"/>
    <w:rsid w:val="002E795C"/>
    <w:rsid w:val="002F5044"/>
    <w:rsid w:val="003010C0"/>
    <w:rsid w:val="00332A97"/>
    <w:rsid w:val="003370CE"/>
    <w:rsid w:val="00350C00"/>
    <w:rsid w:val="00366113"/>
    <w:rsid w:val="00393D24"/>
    <w:rsid w:val="00395378"/>
    <w:rsid w:val="003A214B"/>
    <w:rsid w:val="003C270C"/>
    <w:rsid w:val="003D0994"/>
    <w:rsid w:val="003E7622"/>
    <w:rsid w:val="003F13C4"/>
    <w:rsid w:val="003F2110"/>
    <w:rsid w:val="0041405B"/>
    <w:rsid w:val="00423824"/>
    <w:rsid w:val="004261E3"/>
    <w:rsid w:val="0043567D"/>
    <w:rsid w:val="00453A4B"/>
    <w:rsid w:val="00455B7F"/>
    <w:rsid w:val="00486837"/>
    <w:rsid w:val="004B7B90"/>
    <w:rsid w:val="004E2C19"/>
    <w:rsid w:val="004E4620"/>
    <w:rsid w:val="004F53DB"/>
    <w:rsid w:val="004F70AD"/>
    <w:rsid w:val="004F7360"/>
    <w:rsid w:val="0050554C"/>
    <w:rsid w:val="00506CF0"/>
    <w:rsid w:val="005207C8"/>
    <w:rsid w:val="00527957"/>
    <w:rsid w:val="00537EEC"/>
    <w:rsid w:val="00563972"/>
    <w:rsid w:val="00587DC4"/>
    <w:rsid w:val="005B2F98"/>
    <w:rsid w:val="005D284C"/>
    <w:rsid w:val="00600806"/>
    <w:rsid w:val="00604512"/>
    <w:rsid w:val="0063077D"/>
    <w:rsid w:val="006323FF"/>
    <w:rsid w:val="00633E23"/>
    <w:rsid w:val="006510C9"/>
    <w:rsid w:val="00654EDD"/>
    <w:rsid w:val="00671083"/>
    <w:rsid w:val="00673B94"/>
    <w:rsid w:val="00680AC6"/>
    <w:rsid w:val="006829F4"/>
    <w:rsid w:val="006835D8"/>
    <w:rsid w:val="00690FD7"/>
    <w:rsid w:val="006A1877"/>
    <w:rsid w:val="006B40DF"/>
    <w:rsid w:val="006C316E"/>
    <w:rsid w:val="006D0F7C"/>
    <w:rsid w:val="006D6B3B"/>
    <w:rsid w:val="006F245D"/>
    <w:rsid w:val="007114A9"/>
    <w:rsid w:val="007135B0"/>
    <w:rsid w:val="007269C4"/>
    <w:rsid w:val="0074209E"/>
    <w:rsid w:val="00742B4A"/>
    <w:rsid w:val="007B0BE1"/>
    <w:rsid w:val="007C2B7A"/>
    <w:rsid w:val="007C35E0"/>
    <w:rsid w:val="007F2CA8"/>
    <w:rsid w:val="007F7161"/>
    <w:rsid w:val="0081429D"/>
    <w:rsid w:val="00824DFF"/>
    <w:rsid w:val="008430D1"/>
    <w:rsid w:val="00847140"/>
    <w:rsid w:val="0085559E"/>
    <w:rsid w:val="0086169F"/>
    <w:rsid w:val="008725C2"/>
    <w:rsid w:val="0088493E"/>
    <w:rsid w:val="00884ECC"/>
    <w:rsid w:val="00896B1B"/>
    <w:rsid w:val="008D705A"/>
    <w:rsid w:val="008E12CE"/>
    <w:rsid w:val="008E559E"/>
    <w:rsid w:val="00916080"/>
    <w:rsid w:val="00921A68"/>
    <w:rsid w:val="00922EF9"/>
    <w:rsid w:val="00941554"/>
    <w:rsid w:val="00953C69"/>
    <w:rsid w:val="0096274E"/>
    <w:rsid w:val="009767B2"/>
    <w:rsid w:val="0098540F"/>
    <w:rsid w:val="009C1158"/>
    <w:rsid w:val="009E2FB7"/>
    <w:rsid w:val="009F26EB"/>
    <w:rsid w:val="00A015C4"/>
    <w:rsid w:val="00A13EA2"/>
    <w:rsid w:val="00A15172"/>
    <w:rsid w:val="00A32940"/>
    <w:rsid w:val="00A56AE7"/>
    <w:rsid w:val="00A6782B"/>
    <w:rsid w:val="00AA4C9C"/>
    <w:rsid w:val="00AD3EA0"/>
    <w:rsid w:val="00AE1CD7"/>
    <w:rsid w:val="00AE66D4"/>
    <w:rsid w:val="00B03832"/>
    <w:rsid w:val="00B45D2C"/>
    <w:rsid w:val="00B5080A"/>
    <w:rsid w:val="00B6027C"/>
    <w:rsid w:val="00B917F8"/>
    <w:rsid w:val="00B943AE"/>
    <w:rsid w:val="00BD7258"/>
    <w:rsid w:val="00C0598D"/>
    <w:rsid w:val="00C11956"/>
    <w:rsid w:val="00C602E5"/>
    <w:rsid w:val="00C70712"/>
    <w:rsid w:val="00C748FD"/>
    <w:rsid w:val="00C85789"/>
    <w:rsid w:val="00C91C1E"/>
    <w:rsid w:val="00CA1CBC"/>
    <w:rsid w:val="00CC2A4F"/>
    <w:rsid w:val="00D02949"/>
    <w:rsid w:val="00D4046E"/>
    <w:rsid w:val="00D4362F"/>
    <w:rsid w:val="00D7129D"/>
    <w:rsid w:val="00DA3F71"/>
    <w:rsid w:val="00DA5202"/>
    <w:rsid w:val="00DC0ABF"/>
    <w:rsid w:val="00DD4739"/>
    <w:rsid w:val="00DE5F33"/>
    <w:rsid w:val="00E07B54"/>
    <w:rsid w:val="00E11F78"/>
    <w:rsid w:val="00E200FB"/>
    <w:rsid w:val="00E327BC"/>
    <w:rsid w:val="00E621E1"/>
    <w:rsid w:val="00E652E7"/>
    <w:rsid w:val="00E72310"/>
    <w:rsid w:val="00E77F4A"/>
    <w:rsid w:val="00EB5BC1"/>
    <w:rsid w:val="00EC55B3"/>
    <w:rsid w:val="00EC6D32"/>
    <w:rsid w:val="00ED7FED"/>
    <w:rsid w:val="00EE6681"/>
    <w:rsid w:val="00F22E28"/>
    <w:rsid w:val="00F32562"/>
    <w:rsid w:val="00F429FB"/>
    <w:rsid w:val="00F4547B"/>
    <w:rsid w:val="00F75E40"/>
    <w:rsid w:val="00F76791"/>
    <w:rsid w:val="00F828E2"/>
    <w:rsid w:val="00F9563F"/>
    <w:rsid w:val="00F96FB2"/>
    <w:rsid w:val="00FB51D8"/>
    <w:rsid w:val="00FC50D6"/>
    <w:rsid w:val="00FD08E8"/>
    <w:rsid w:val="00FD4715"/>
    <w:rsid w:val="00FE5661"/>
    <w:rsid w:val="00FF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A97B8"/>
  <w15:chartTrackingRefBased/>
  <w15:docId w15:val="{F76A0280-4875-4CE4-9117-3B56E0AF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CC2A4F"/>
    <w:rPr>
      <w:rFonts w:ascii="Arial" w:hAnsi="Arial"/>
      <w:sz w:val="24"/>
      <w:szCs w:val="24"/>
    </w:rPr>
  </w:style>
  <w:style w:type="paragraph" w:styleId="FootnoteText">
    <w:name w:val="footnote text"/>
    <w:basedOn w:val="Normal"/>
    <w:link w:val="FootnoteTextChar"/>
    <w:rsid w:val="00FC50D6"/>
    <w:rPr>
      <w:rFonts w:eastAsia="SimSun"/>
      <w:sz w:val="18"/>
      <w:szCs w:val="20"/>
    </w:rPr>
  </w:style>
  <w:style w:type="character" w:customStyle="1" w:styleId="FootnoteTextChar">
    <w:name w:val="Footnote Text Char"/>
    <w:link w:val="FootnoteText"/>
    <w:rsid w:val="00FC50D6"/>
    <w:rPr>
      <w:rFonts w:eastAsia="SimSun"/>
      <w:sz w:val="18"/>
    </w:rPr>
  </w:style>
  <w:style w:type="character" w:styleId="FootnoteReference">
    <w:name w:val="footnote reference"/>
    <w:unhideWhenUsed/>
    <w:qFormat/>
    <w:rsid w:val="00FC50D6"/>
    <w:rPr>
      <w:vertAlign w:val="superscript"/>
    </w:rPr>
  </w:style>
  <w:style w:type="paragraph" w:styleId="Revision">
    <w:name w:val="Revision"/>
    <w:hidden/>
    <w:uiPriority w:val="99"/>
    <w:semiHidden/>
    <w:rsid w:val="00FE5661"/>
    <w:rPr>
      <w:sz w:val="24"/>
      <w:szCs w:val="24"/>
    </w:rPr>
  </w:style>
  <w:style w:type="character" w:styleId="UnresolvedMention">
    <w:name w:val="Unresolved Mention"/>
    <w:uiPriority w:val="99"/>
    <w:semiHidden/>
    <w:unhideWhenUsed/>
    <w:rsid w:val="002C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el.horowitz@eolianenergy.com" TargetMode="External"/><Relationship Id="rId13" Type="http://schemas.openxmlformats.org/officeDocument/2006/relationships/hyperlink" Target="https://capitol.texas.gov/tlodocs/88R/billtext/pdf/SB00007S.pdf" TargetMode="External"/><Relationship Id="rId3" Type="http://schemas.openxmlformats.org/officeDocument/2006/relationships/settings" Target="settings.xml"/><Relationship Id="rId7" Type="http://schemas.openxmlformats.org/officeDocument/2006/relationships/hyperlink" Target="https://www.ercot.com/mktrules/issues/NPRR1309" TargetMode="External"/><Relationship Id="rId12" Type="http://schemas.openxmlformats.org/officeDocument/2006/relationships/hyperlink" Target="https://statutes.capitol.texas.gov/Docs/UT/htm/UT.39.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lark@spearmintenerg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meadors@pluspower.com" TargetMode="External"/><Relationship Id="rId4" Type="http://schemas.openxmlformats.org/officeDocument/2006/relationships/webSettings" Target="webSettings.xml"/><Relationship Id="rId9" Type="http://schemas.openxmlformats.org/officeDocument/2006/relationships/hyperlink" Target="mailto:tonja.wicks@esvolta.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lcsenate.granicus.com/MediaPlayer.php?view_id=53&amp;clip_id=17610" TargetMode="External"/><Relationship Id="rId2" Type="http://schemas.openxmlformats.org/officeDocument/2006/relationships/hyperlink" Target="https://capitol.texas.gov/tlodocs/88R/amendments/pdf/SB00007S2F2.PDF" TargetMode="External"/><Relationship Id="rId1" Type="http://schemas.openxmlformats.org/officeDocument/2006/relationships/hyperlink" Target="https://tlcsenate.granicus.com/MediaPlayer.php?view_id=53&amp;clip_id=17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1107</Words>
  <Characters>6618</Characters>
  <Application>Microsoft Office Word</Application>
  <DocSecurity>0</DocSecurity>
  <Lines>140</Lines>
  <Paragraphs>45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7680</CharactersWithSpaces>
  <SharedDoc>false</SharedDoc>
  <HLinks>
    <vt:vector size="36" baseType="variant">
      <vt:variant>
        <vt:i4>5308494</vt:i4>
      </vt:variant>
      <vt:variant>
        <vt:i4>6</vt:i4>
      </vt:variant>
      <vt:variant>
        <vt:i4>0</vt:i4>
      </vt:variant>
      <vt:variant>
        <vt:i4>5</vt:i4>
      </vt:variant>
      <vt:variant>
        <vt:lpwstr>https://capitol.texas.gov/tlodocs/88R/billtext/pdf/SB00007S.pdf</vt:lpwstr>
      </vt:variant>
      <vt:variant>
        <vt:lpwstr>navpanes=0</vt:lpwstr>
      </vt:variant>
      <vt:variant>
        <vt:i4>8126567</vt:i4>
      </vt:variant>
      <vt:variant>
        <vt:i4>3</vt:i4>
      </vt:variant>
      <vt:variant>
        <vt:i4>0</vt:i4>
      </vt:variant>
      <vt:variant>
        <vt:i4>5</vt:i4>
      </vt:variant>
      <vt:variant>
        <vt:lpwstr>https://statutes.capitol.texas.gov/Docs/UT/htm/UT.39.htm</vt:lpwstr>
      </vt:variant>
      <vt:variant>
        <vt:lpwstr>39.159</vt:lpwstr>
      </vt:variant>
      <vt:variant>
        <vt:i4>6619250</vt:i4>
      </vt:variant>
      <vt:variant>
        <vt:i4>0</vt:i4>
      </vt:variant>
      <vt:variant>
        <vt:i4>0</vt:i4>
      </vt:variant>
      <vt:variant>
        <vt:i4>5</vt:i4>
      </vt:variant>
      <vt:variant>
        <vt:lpwstr>https://www.ercot.com/mktrules/issues/NPRR1309</vt:lpwstr>
      </vt:variant>
      <vt:variant>
        <vt:lpwstr/>
      </vt:variant>
      <vt:variant>
        <vt:i4>4325388</vt:i4>
      </vt:variant>
      <vt:variant>
        <vt:i4>6</vt:i4>
      </vt:variant>
      <vt:variant>
        <vt:i4>0</vt:i4>
      </vt:variant>
      <vt:variant>
        <vt:i4>5</vt:i4>
      </vt:variant>
      <vt:variant>
        <vt:lpwstr>https://tlcsenate.granicus.com/MediaPlayer.php?view_id=53&amp;clip_id=17610</vt:lpwstr>
      </vt:variant>
      <vt:variant>
        <vt:lpwstr/>
      </vt:variant>
      <vt:variant>
        <vt:i4>5636160</vt:i4>
      </vt:variant>
      <vt:variant>
        <vt:i4>3</vt:i4>
      </vt:variant>
      <vt:variant>
        <vt:i4>0</vt:i4>
      </vt:variant>
      <vt:variant>
        <vt:i4>5</vt:i4>
      </vt:variant>
      <vt:variant>
        <vt:lpwstr>https://capitol.texas.gov/tlodocs/88R/amendments/pdf/SB00007S2F2.PDF</vt:lpwstr>
      </vt:variant>
      <vt:variant>
        <vt:lpwstr/>
      </vt:variant>
      <vt:variant>
        <vt:i4>4325388</vt:i4>
      </vt:variant>
      <vt:variant>
        <vt:i4>0</vt:i4>
      </vt:variant>
      <vt:variant>
        <vt:i4>0</vt:i4>
      </vt:variant>
      <vt:variant>
        <vt:i4>5</vt:i4>
      </vt:variant>
      <vt:variant>
        <vt:lpwstr>https://tlcsenate.granicus.com/MediaPlayer.php?view_id=53&amp;clip_id=17610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2001-06-20T16:28:00Z</cp:lastPrinted>
  <dcterms:created xsi:type="dcterms:W3CDTF">2026-02-14T17:59:00Z</dcterms:created>
  <dcterms:modified xsi:type="dcterms:W3CDTF">2026-02-14T17:59:00Z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2026-02-14T17:59:39Z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78713de7-a58d-4b70-85b0-5a0505a5aaf9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