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44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900"/>
        <w:gridCol w:w="6660"/>
      </w:tblGrid>
      <w:tr w:rsidR="00082C69" w14:paraId="515C1B11" w14:textId="77777777">
        <w:tc>
          <w:tcPr>
            <w:tcW w:w="1620" w:type="dxa"/>
            <w:tcBorders>
              <w:bottom w:val="single" w:sz="4" w:space="0" w:color="000000"/>
            </w:tcBorders>
            <w:shd w:val="clear" w:color="auto" w:fill="FFFFFF"/>
            <w:vAlign w:val="center"/>
          </w:tcPr>
          <w:p w14:paraId="022418C5" w14:textId="77777777" w:rsidR="00082C69" w:rsidRDefault="00F91C59">
            <w:pPr>
              <w:pBdr>
                <w:top w:val="nil"/>
                <w:left w:val="nil"/>
                <w:bottom w:val="nil"/>
                <w:right w:val="nil"/>
                <w:between w:val="nil"/>
              </w:pBdr>
              <w:tabs>
                <w:tab w:val="center" w:pos="4320"/>
                <w:tab w:val="right" w:pos="8640"/>
              </w:tabs>
              <w:rPr>
                <w:rFonts w:ascii="Verdana" w:eastAsia="Verdana" w:hAnsi="Verdana" w:cs="Verdana"/>
                <w:b/>
                <w:bCs/>
                <w:color w:val="000000"/>
                <w:sz w:val="22"/>
                <w:szCs w:val="22"/>
              </w:rPr>
            </w:pPr>
            <w:r>
              <w:rPr>
                <w:rFonts w:ascii="Arial" w:eastAsia="Arial" w:hAnsi="Arial" w:cs="Arial"/>
                <w:b/>
                <w:bCs/>
                <w:color w:val="000000"/>
              </w:rPr>
              <w:t>NPRR Number</w:t>
            </w:r>
          </w:p>
        </w:tc>
        <w:tc>
          <w:tcPr>
            <w:tcW w:w="1260" w:type="dxa"/>
            <w:tcBorders>
              <w:bottom w:val="single" w:sz="4" w:space="0" w:color="000000"/>
            </w:tcBorders>
            <w:vAlign w:val="center"/>
          </w:tcPr>
          <w:p w14:paraId="3DD6FAA2" w14:textId="2886F3FA"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hyperlink r:id="rId6" w:history="1">
              <w:r w:rsidRPr="00F91C59">
                <w:rPr>
                  <w:rStyle w:val="Hyperlink"/>
                  <w:rFonts w:ascii="Arial" w:eastAsia="Arial" w:hAnsi="Arial" w:cs="Arial"/>
                  <w:b/>
                  <w:bCs/>
                </w:rPr>
                <w:t>1308</w:t>
              </w:r>
            </w:hyperlink>
          </w:p>
        </w:tc>
        <w:tc>
          <w:tcPr>
            <w:tcW w:w="900" w:type="dxa"/>
            <w:tcBorders>
              <w:bottom w:val="single" w:sz="4" w:space="0" w:color="000000"/>
            </w:tcBorders>
            <w:shd w:val="clear" w:color="auto" w:fill="FFFFFF"/>
            <w:vAlign w:val="center"/>
          </w:tcPr>
          <w:p w14:paraId="7B59F41D"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NPRR Title</w:t>
            </w:r>
          </w:p>
        </w:tc>
        <w:tc>
          <w:tcPr>
            <w:tcW w:w="6660" w:type="dxa"/>
            <w:tcBorders>
              <w:bottom w:val="single" w:sz="4" w:space="0" w:color="000000"/>
            </w:tcBorders>
            <w:vAlign w:val="center"/>
          </w:tcPr>
          <w:p w14:paraId="44F6F685" w14:textId="1D47AF66"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sidRPr="00F91C59">
              <w:rPr>
                <w:rFonts w:ascii="Arial" w:eastAsia="Arial" w:hAnsi="Arial" w:cs="Arial"/>
                <w:b/>
                <w:bCs/>
              </w:rPr>
              <w:t>Board Priority - Related to NOGRR282, Large Electronic Load Ride-Through Requirements</w:t>
            </w:r>
          </w:p>
        </w:tc>
      </w:tr>
      <w:tr w:rsidR="00082C69" w14:paraId="55A2DC5F" w14:textId="77777777">
        <w:trPr>
          <w:trHeight w:val="413"/>
        </w:trPr>
        <w:tc>
          <w:tcPr>
            <w:tcW w:w="2880" w:type="dxa"/>
            <w:gridSpan w:val="2"/>
            <w:tcBorders>
              <w:top w:val="nil"/>
              <w:left w:val="nil"/>
              <w:bottom w:val="single" w:sz="4" w:space="0" w:color="000000"/>
              <w:right w:val="nil"/>
            </w:tcBorders>
            <w:vAlign w:val="center"/>
          </w:tcPr>
          <w:p w14:paraId="55873158" w14:textId="77777777" w:rsidR="00082C69" w:rsidRDefault="00082C69">
            <w:pPr>
              <w:pBdr>
                <w:top w:val="nil"/>
                <w:left w:val="nil"/>
                <w:bottom w:val="nil"/>
                <w:right w:val="nil"/>
                <w:between w:val="nil"/>
              </w:pBdr>
              <w:rPr>
                <w:rFonts w:ascii="Arial" w:eastAsia="Arial" w:hAnsi="Arial" w:cs="Arial"/>
                <w:color w:val="000000"/>
              </w:rPr>
            </w:pPr>
          </w:p>
        </w:tc>
        <w:tc>
          <w:tcPr>
            <w:tcW w:w="7560" w:type="dxa"/>
            <w:gridSpan w:val="2"/>
            <w:tcBorders>
              <w:top w:val="single" w:sz="4" w:space="0" w:color="000000"/>
              <w:left w:val="nil"/>
              <w:bottom w:val="nil"/>
              <w:right w:val="nil"/>
            </w:tcBorders>
            <w:vAlign w:val="center"/>
          </w:tcPr>
          <w:p w14:paraId="3E7CD276" w14:textId="77777777" w:rsidR="00082C69" w:rsidRDefault="00082C69">
            <w:pPr>
              <w:pBdr>
                <w:top w:val="nil"/>
                <w:left w:val="nil"/>
                <w:bottom w:val="nil"/>
                <w:right w:val="nil"/>
                <w:between w:val="nil"/>
              </w:pBdr>
              <w:rPr>
                <w:rFonts w:ascii="Arial" w:eastAsia="Arial" w:hAnsi="Arial" w:cs="Arial"/>
                <w:color w:val="000000"/>
              </w:rPr>
            </w:pPr>
          </w:p>
        </w:tc>
      </w:tr>
      <w:tr w:rsidR="00082C69" w14:paraId="079C2B4C" w14:textId="77777777">
        <w:trPr>
          <w:trHeight w:val="420"/>
        </w:trPr>
        <w:tc>
          <w:tcPr>
            <w:tcW w:w="2880" w:type="dxa"/>
            <w:gridSpan w:val="2"/>
            <w:tcBorders>
              <w:top w:val="single" w:sz="4" w:space="0" w:color="000000"/>
              <w:left w:val="single" w:sz="4" w:space="0" w:color="000000"/>
              <w:bottom w:val="single" w:sz="4" w:space="0" w:color="000000"/>
              <w:right w:val="single" w:sz="4" w:space="0" w:color="000000"/>
            </w:tcBorders>
            <w:vAlign w:val="center"/>
          </w:tcPr>
          <w:p w14:paraId="63ED0ABE"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Date</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17C1F9E3" w14:textId="04015B6C" w:rsidR="00082C69" w:rsidRDefault="00F91C59">
            <w:pPr>
              <w:pBdr>
                <w:top w:val="nil"/>
                <w:left w:val="nil"/>
                <w:bottom w:val="nil"/>
                <w:right w:val="nil"/>
                <w:between w:val="nil"/>
              </w:pBdr>
              <w:rPr>
                <w:rFonts w:ascii="Arial" w:eastAsia="Arial" w:hAnsi="Arial" w:cs="Arial"/>
                <w:color w:val="000000"/>
              </w:rPr>
            </w:pPr>
            <w:r>
              <w:rPr>
                <w:rFonts w:ascii="Arial" w:eastAsia="Arial" w:hAnsi="Arial" w:cs="Arial"/>
                <w:color w:val="000000"/>
              </w:rPr>
              <w:t>February 9, 2026</w:t>
            </w:r>
          </w:p>
        </w:tc>
      </w:tr>
      <w:tr w:rsidR="00082C69" w14:paraId="0D6A7FDA" w14:textId="77777777">
        <w:trPr>
          <w:trHeight w:val="467"/>
        </w:trPr>
        <w:tc>
          <w:tcPr>
            <w:tcW w:w="2880" w:type="dxa"/>
            <w:gridSpan w:val="2"/>
            <w:tcBorders>
              <w:top w:val="single" w:sz="4" w:space="0" w:color="000000"/>
              <w:left w:val="nil"/>
              <w:bottom w:val="nil"/>
              <w:right w:val="nil"/>
            </w:tcBorders>
            <w:shd w:val="clear" w:color="auto" w:fill="FFFFFF"/>
            <w:vAlign w:val="center"/>
          </w:tcPr>
          <w:p w14:paraId="0D35AE12" w14:textId="77777777" w:rsidR="00082C69" w:rsidRDefault="00082C69">
            <w:pPr>
              <w:pBdr>
                <w:top w:val="nil"/>
                <w:left w:val="nil"/>
                <w:bottom w:val="nil"/>
                <w:right w:val="nil"/>
                <w:between w:val="nil"/>
              </w:pBdr>
              <w:rPr>
                <w:rFonts w:ascii="Arial" w:eastAsia="Arial" w:hAnsi="Arial" w:cs="Arial"/>
                <w:color w:val="000000"/>
              </w:rPr>
            </w:pPr>
          </w:p>
        </w:tc>
        <w:tc>
          <w:tcPr>
            <w:tcW w:w="7560" w:type="dxa"/>
            <w:gridSpan w:val="2"/>
            <w:tcBorders>
              <w:top w:val="nil"/>
              <w:left w:val="nil"/>
              <w:bottom w:val="nil"/>
              <w:right w:val="nil"/>
            </w:tcBorders>
            <w:vAlign w:val="center"/>
          </w:tcPr>
          <w:p w14:paraId="5F63A980" w14:textId="77777777" w:rsidR="00082C69" w:rsidRDefault="00082C69">
            <w:pPr>
              <w:pBdr>
                <w:top w:val="nil"/>
                <w:left w:val="nil"/>
                <w:bottom w:val="nil"/>
                <w:right w:val="nil"/>
                <w:between w:val="nil"/>
              </w:pBdr>
              <w:rPr>
                <w:rFonts w:ascii="Arial" w:eastAsia="Arial" w:hAnsi="Arial" w:cs="Arial"/>
                <w:color w:val="000000"/>
              </w:rPr>
            </w:pPr>
          </w:p>
        </w:tc>
      </w:tr>
      <w:tr w:rsidR="00082C69" w14:paraId="1DF6CC2E" w14:textId="77777777">
        <w:trPr>
          <w:trHeight w:val="440"/>
        </w:trPr>
        <w:tc>
          <w:tcPr>
            <w:tcW w:w="10440" w:type="dxa"/>
            <w:gridSpan w:val="4"/>
            <w:tcBorders>
              <w:top w:val="single" w:sz="4" w:space="0" w:color="000000"/>
            </w:tcBorders>
            <w:shd w:val="clear" w:color="auto" w:fill="FFFFFF"/>
            <w:vAlign w:val="center"/>
          </w:tcPr>
          <w:p w14:paraId="49B77455" w14:textId="77777777" w:rsidR="00082C69" w:rsidRDefault="00F91C59">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Submitter’s Information</w:t>
            </w:r>
          </w:p>
        </w:tc>
      </w:tr>
      <w:tr w:rsidR="00082C69" w14:paraId="33FBA071" w14:textId="77777777">
        <w:trPr>
          <w:trHeight w:val="350"/>
        </w:trPr>
        <w:tc>
          <w:tcPr>
            <w:tcW w:w="2880" w:type="dxa"/>
            <w:gridSpan w:val="2"/>
            <w:shd w:val="clear" w:color="auto" w:fill="FFFFFF"/>
            <w:vAlign w:val="center"/>
          </w:tcPr>
          <w:p w14:paraId="2003B863"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Name</w:t>
            </w:r>
          </w:p>
        </w:tc>
        <w:tc>
          <w:tcPr>
            <w:tcW w:w="7560" w:type="dxa"/>
            <w:gridSpan w:val="2"/>
            <w:vAlign w:val="center"/>
          </w:tcPr>
          <w:p w14:paraId="49C55FDE" w14:textId="77777777" w:rsidR="00082C69" w:rsidRDefault="00F91C59">
            <w:pPr>
              <w:pBdr>
                <w:top w:val="nil"/>
                <w:left w:val="nil"/>
                <w:bottom w:val="nil"/>
                <w:right w:val="nil"/>
                <w:between w:val="nil"/>
              </w:pBdr>
              <w:rPr>
                <w:rFonts w:ascii="Arial" w:eastAsia="Arial" w:hAnsi="Arial" w:cs="Arial"/>
                <w:color w:val="000000"/>
              </w:rPr>
            </w:pPr>
            <w:r>
              <w:rPr>
                <w:rFonts w:ascii="Arial" w:eastAsia="Arial" w:hAnsi="Arial" w:cs="Arial"/>
              </w:rPr>
              <w:t>Cameron Poursoltan</w:t>
            </w:r>
          </w:p>
        </w:tc>
      </w:tr>
      <w:tr w:rsidR="00082C69" w14:paraId="381BA834" w14:textId="77777777">
        <w:trPr>
          <w:trHeight w:val="350"/>
        </w:trPr>
        <w:tc>
          <w:tcPr>
            <w:tcW w:w="2880" w:type="dxa"/>
            <w:gridSpan w:val="2"/>
            <w:shd w:val="clear" w:color="auto" w:fill="FFFFFF"/>
            <w:vAlign w:val="center"/>
          </w:tcPr>
          <w:p w14:paraId="5746CBE4"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E-mail Address</w:t>
            </w:r>
          </w:p>
        </w:tc>
        <w:tc>
          <w:tcPr>
            <w:tcW w:w="7560" w:type="dxa"/>
            <w:gridSpan w:val="2"/>
            <w:vAlign w:val="center"/>
          </w:tcPr>
          <w:p w14:paraId="5208D68C" w14:textId="54C7D66B" w:rsidR="00082C69" w:rsidRDefault="00F91C59">
            <w:pPr>
              <w:pBdr>
                <w:top w:val="nil"/>
                <w:left w:val="nil"/>
                <w:bottom w:val="nil"/>
                <w:right w:val="nil"/>
                <w:between w:val="nil"/>
              </w:pBdr>
              <w:rPr>
                <w:rFonts w:ascii="Arial" w:eastAsia="Arial" w:hAnsi="Arial" w:cs="Arial"/>
                <w:color w:val="000000"/>
              </w:rPr>
            </w:pPr>
            <w:hyperlink r:id="rId7" w:history="1">
              <w:r w:rsidRPr="00237C07">
                <w:rPr>
                  <w:rStyle w:val="Hyperlink"/>
                  <w:rFonts w:ascii="Arial" w:eastAsia="Arial" w:hAnsi="Arial" w:cs="Arial"/>
                </w:rPr>
                <w:t>cameron@datacentercoalition.org</w:t>
              </w:r>
            </w:hyperlink>
          </w:p>
        </w:tc>
      </w:tr>
      <w:tr w:rsidR="00082C69" w14:paraId="7969DB49" w14:textId="77777777">
        <w:trPr>
          <w:trHeight w:val="350"/>
        </w:trPr>
        <w:tc>
          <w:tcPr>
            <w:tcW w:w="2880" w:type="dxa"/>
            <w:gridSpan w:val="2"/>
            <w:shd w:val="clear" w:color="auto" w:fill="FFFFFF"/>
            <w:vAlign w:val="center"/>
          </w:tcPr>
          <w:p w14:paraId="1810A996"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Company</w:t>
            </w:r>
          </w:p>
        </w:tc>
        <w:tc>
          <w:tcPr>
            <w:tcW w:w="7560" w:type="dxa"/>
            <w:gridSpan w:val="2"/>
            <w:vAlign w:val="center"/>
          </w:tcPr>
          <w:p w14:paraId="52469909" w14:textId="6294A738" w:rsidR="00082C69" w:rsidRDefault="00F91C59">
            <w:pPr>
              <w:pBdr>
                <w:top w:val="nil"/>
                <w:left w:val="nil"/>
                <w:bottom w:val="nil"/>
                <w:right w:val="nil"/>
                <w:between w:val="nil"/>
              </w:pBdr>
              <w:rPr>
                <w:rFonts w:ascii="Arial" w:eastAsia="Arial" w:hAnsi="Arial" w:cs="Arial"/>
                <w:color w:val="000000"/>
              </w:rPr>
            </w:pPr>
            <w:r>
              <w:rPr>
                <w:rFonts w:ascii="Arial" w:eastAsia="Arial" w:hAnsi="Arial" w:cs="Arial"/>
              </w:rPr>
              <w:t>Data Center Coalition (DCC)</w:t>
            </w:r>
          </w:p>
        </w:tc>
      </w:tr>
      <w:tr w:rsidR="00082C69" w14:paraId="64FDF7DF" w14:textId="77777777">
        <w:trPr>
          <w:trHeight w:val="350"/>
        </w:trPr>
        <w:tc>
          <w:tcPr>
            <w:tcW w:w="2880" w:type="dxa"/>
            <w:gridSpan w:val="2"/>
            <w:tcBorders>
              <w:bottom w:val="single" w:sz="4" w:space="0" w:color="000000"/>
            </w:tcBorders>
            <w:shd w:val="clear" w:color="auto" w:fill="FFFFFF"/>
            <w:vAlign w:val="center"/>
          </w:tcPr>
          <w:p w14:paraId="6D0E8ABC"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Phone Number</w:t>
            </w:r>
          </w:p>
        </w:tc>
        <w:tc>
          <w:tcPr>
            <w:tcW w:w="7560" w:type="dxa"/>
            <w:gridSpan w:val="2"/>
            <w:tcBorders>
              <w:bottom w:val="single" w:sz="4" w:space="0" w:color="000000"/>
            </w:tcBorders>
            <w:vAlign w:val="center"/>
          </w:tcPr>
          <w:p w14:paraId="61ED3B04" w14:textId="77777777" w:rsidR="00082C69" w:rsidRDefault="00F91C59">
            <w:pPr>
              <w:pBdr>
                <w:top w:val="nil"/>
                <w:left w:val="nil"/>
                <w:bottom w:val="nil"/>
                <w:right w:val="nil"/>
                <w:between w:val="nil"/>
              </w:pBdr>
              <w:rPr>
                <w:rFonts w:ascii="Arial" w:eastAsia="Arial" w:hAnsi="Arial" w:cs="Arial"/>
                <w:color w:val="000000"/>
              </w:rPr>
            </w:pPr>
            <w:r>
              <w:rPr>
                <w:rFonts w:ascii="Arial" w:eastAsia="Arial" w:hAnsi="Arial" w:cs="Arial"/>
              </w:rPr>
              <w:t>(713) 894-9933</w:t>
            </w:r>
          </w:p>
        </w:tc>
      </w:tr>
      <w:tr w:rsidR="00082C69" w14:paraId="65987989" w14:textId="77777777">
        <w:trPr>
          <w:trHeight w:val="350"/>
        </w:trPr>
        <w:tc>
          <w:tcPr>
            <w:tcW w:w="2880" w:type="dxa"/>
            <w:gridSpan w:val="2"/>
            <w:shd w:val="clear" w:color="auto" w:fill="FFFFFF"/>
            <w:vAlign w:val="center"/>
          </w:tcPr>
          <w:p w14:paraId="7E1B03AB"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Cell Number</w:t>
            </w:r>
          </w:p>
        </w:tc>
        <w:tc>
          <w:tcPr>
            <w:tcW w:w="7560" w:type="dxa"/>
            <w:gridSpan w:val="2"/>
            <w:vAlign w:val="center"/>
          </w:tcPr>
          <w:p w14:paraId="6D68B945" w14:textId="77777777" w:rsidR="00082C69" w:rsidRDefault="00F91C59">
            <w:pPr>
              <w:pBdr>
                <w:top w:val="nil"/>
                <w:left w:val="nil"/>
                <w:bottom w:val="nil"/>
                <w:right w:val="nil"/>
                <w:between w:val="nil"/>
              </w:pBdr>
              <w:rPr>
                <w:rFonts w:ascii="Arial" w:eastAsia="Arial" w:hAnsi="Arial" w:cs="Arial"/>
                <w:color w:val="000000"/>
              </w:rPr>
            </w:pPr>
            <w:r>
              <w:rPr>
                <w:rFonts w:ascii="Arial" w:eastAsia="Arial" w:hAnsi="Arial" w:cs="Arial"/>
              </w:rPr>
              <w:t>(713) 894-9933</w:t>
            </w:r>
          </w:p>
        </w:tc>
      </w:tr>
      <w:tr w:rsidR="00082C69" w14:paraId="0E5CF826" w14:textId="77777777">
        <w:trPr>
          <w:trHeight w:val="350"/>
        </w:trPr>
        <w:tc>
          <w:tcPr>
            <w:tcW w:w="2880" w:type="dxa"/>
            <w:gridSpan w:val="2"/>
            <w:tcBorders>
              <w:bottom w:val="single" w:sz="4" w:space="0" w:color="000000"/>
            </w:tcBorders>
            <w:shd w:val="clear" w:color="auto" w:fill="FFFFFF"/>
            <w:vAlign w:val="center"/>
          </w:tcPr>
          <w:p w14:paraId="257B6526" w14:textId="77777777" w:rsidR="00082C69" w:rsidRDefault="00F91C59">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Market Segment</w:t>
            </w:r>
          </w:p>
        </w:tc>
        <w:tc>
          <w:tcPr>
            <w:tcW w:w="7560" w:type="dxa"/>
            <w:gridSpan w:val="2"/>
            <w:tcBorders>
              <w:bottom w:val="single" w:sz="4" w:space="0" w:color="000000"/>
            </w:tcBorders>
            <w:vAlign w:val="center"/>
          </w:tcPr>
          <w:p w14:paraId="09E41742" w14:textId="703F9BC4" w:rsidR="00082C69" w:rsidRDefault="00F91C59">
            <w:pPr>
              <w:pBdr>
                <w:top w:val="nil"/>
                <w:left w:val="nil"/>
                <w:bottom w:val="nil"/>
                <w:right w:val="nil"/>
                <w:between w:val="nil"/>
              </w:pBdr>
              <w:rPr>
                <w:rFonts w:ascii="Arial" w:eastAsia="Arial" w:hAnsi="Arial" w:cs="Arial"/>
                <w:color w:val="000000"/>
              </w:rPr>
            </w:pPr>
            <w:r>
              <w:rPr>
                <w:rFonts w:ascii="Arial" w:eastAsia="Arial" w:hAnsi="Arial" w:cs="Arial"/>
              </w:rPr>
              <w:t>Industrial Consumer</w:t>
            </w:r>
          </w:p>
        </w:tc>
      </w:tr>
    </w:tbl>
    <w:p w14:paraId="1FA893FC" w14:textId="77777777" w:rsidR="00082C69" w:rsidRDefault="00082C69">
      <w:pPr>
        <w:pBdr>
          <w:top w:val="nil"/>
          <w:left w:val="nil"/>
          <w:bottom w:val="nil"/>
          <w:right w:val="nil"/>
          <w:between w:val="nil"/>
        </w:pBdr>
        <w:rPr>
          <w:rFonts w:ascii="Arial" w:eastAsia="Arial" w:hAnsi="Arial" w:cs="Arial"/>
          <w:color w:val="000000"/>
        </w:rPr>
      </w:pPr>
    </w:p>
    <w:tbl>
      <w:tblPr>
        <w:tblStyle w:val="a0"/>
        <w:tblW w:w="104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082C69" w14:paraId="2002DB72" w14:textId="77777777">
        <w:trPr>
          <w:trHeight w:val="422"/>
          <w:jc w:val="center"/>
        </w:trPr>
        <w:tc>
          <w:tcPr>
            <w:tcW w:w="10440" w:type="dxa"/>
            <w:vAlign w:val="center"/>
          </w:tcPr>
          <w:p w14:paraId="7BAC6746" w14:textId="77777777" w:rsidR="00082C69" w:rsidRDefault="00F91C59">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Comments</w:t>
            </w:r>
          </w:p>
        </w:tc>
      </w:tr>
    </w:tbl>
    <w:p w14:paraId="3B4F9CF8" w14:textId="6F90BF70" w:rsidR="00082C69" w:rsidRPr="00F91C59" w:rsidRDefault="00F91C59" w:rsidP="00F91C59">
      <w:pPr>
        <w:spacing w:before="120" w:after="120" w:line="276" w:lineRule="auto"/>
        <w:ind w:firstLine="720"/>
        <w:rPr>
          <w:rFonts w:ascii="Arial" w:hAnsi="Arial" w:cs="Arial"/>
        </w:rPr>
      </w:pPr>
      <w:r w:rsidRPr="00F91C59">
        <w:rPr>
          <w:rFonts w:ascii="Arial" w:hAnsi="Arial" w:cs="Arial"/>
        </w:rPr>
        <w:t>The Data Center Coalition (DCC) is the national membership association</w:t>
      </w:r>
      <w:r w:rsidRPr="00F91C59">
        <w:rPr>
          <w:rFonts w:ascii="Arial" w:hAnsi="Arial" w:cs="Arial"/>
          <w:vertAlign w:val="superscript"/>
        </w:rPr>
        <w:footnoteReference w:id="1"/>
      </w:r>
      <w:r w:rsidRPr="00F91C59">
        <w:rPr>
          <w:rFonts w:ascii="Arial" w:hAnsi="Arial" w:cs="Arial"/>
        </w:rPr>
        <w:t xml:space="preserve"> for the data center industry, representing leading data center owners and operators who maintain data center infrastructure across the country and globe, as well as companies that lease large amounts of data center capacity. DCC empowers and champions the data center community through public policy advocacy, thought leadership, stakeholder outreach, and community engagement. A vast majority of DCC member companies have teams, operations and infrastructure in the Lone Star State, and ten companies are proudly headquartered within its borders. As such, </w:t>
      </w:r>
      <w:r>
        <w:rPr>
          <w:rFonts w:ascii="Arial" w:hAnsi="Arial" w:cs="Arial"/>
        </w:rPr>
        <w:t>Nodal Protocol Revision Request (</w:t>
      </w:r>
      <w:r w:rsidRPr="00F91C59">
        <w:rPr>
          <w:rFonts w:ascii="Arial" w:hAnsi="Arial" w:cs="Arial"/>
        </w:rPr>
        <w:t>NPRR</w:t>
      </w:r>
      <w:r>
        <w:rPr>
          <w:rFonts w:ascii="Arial" w:hAnsi="Arial" w:cs="Arial"/>
        </w:rPr>
        <w:t>)</w:t>
      </w:r>
      <w:r w:rsidRPr="00F91C59">
        <w:rPr>
          <w:rFonts w:ascii="Arial" w:hAnsi="Arial" w:cs="Arial"/>
        </w:rPr>
        <w:t xml:space="preserve"> 1308, which defines “Large Electronic Load,” has a direct impact on DCC’s member companies. While DCC recognizes ERCOT’s mission of ensuring Texans have reliable, affordable energy, we believe that NPRR1308 narrowly singles out data centers and cryptocurrency mining facilities for responsibilities and requirements that should belong to all ERCOT stakeholders.</w:t>
      </w:r>
    </w:p>
    <w:p w14:paraId="235322D2" w14:textId="5781D9C3" w:rsidR="00082C69" w:rsidRPr="00F91C59" w:rsidRDefault="00F91C59" w:rsidP="00F91C59">
      <w:pPr>
        <w:spacing w:before="120" w:after="120" w:line="276" w:lineRule="auto"/>
        <w:ind w:firstLine="720"/>
        <w:rPr>
          <w:rFonts w:ascii="Arial" w:hAnsi="Arial" w:cs="Arial"/>
        </w:rPr>
      </w:pPr>
      <w:r w:rsidRPr="00F91C59">
        <w:rPr>
          <w:rFonts w:ascii="Arial" w:hAnsi="Arial" w:cs="Arial"/>
        </w:rPr>
        <w:t>NPRR1308 establishes a “Large Electronic Load” definition that serves as the foundation to establish obligations that uniquely impact data centers and cryptocurrency mining facilities, rather than being structured as a broad, industry</w:t>
      </w:r>
      <w:r w:rsidRPr="00F91C59">
        <w:rPr>
          <w:rFonts w:ascii="Cambria Math" w:hAnsi="Cambria Math" w:cs="Cambria Math"/>
        </w:rPr>
        <w:t>‑</w:t>
      </w:r>
      <w:r w:rsidRPr="00F91C59">
        <w:rPr>
          <w:rFonts w:ascii="Arial" w:hAnsi="Arial" w:cs="Arial"/>
        </w:rPr>
        <w:t xml:space="preserve">wide standard. NPRR1308 defines a Large Electronic Load (LEL) as “a Large Load in which 50% or greater of the Demand at the site consists of power electronic base load, specifically computational load, such as data centers and cryptocurrency mining facilities.” </w:t>
      </w:r>
    </w:p>
    <w:p w14:paraId="0347FE42" w14:textId="7DF98723" w:rsidR="00082C69" w:rsidRPr="00F91C59" w:rsidRDefault="00F91C59" w:rsidP="00F91C59">
      <w:pPr>
        <w:spacing w:before="120" w:after="120" w:line="276" w:lineRule="auto"/>
        <w:ind w:firstLine="720"/>
        <w:rPr>
          <w:rFonts w:ascii="Arial" w:hAnsi="Arial" w:cs="Arial"/>
        </w:rPr>
      </w:pPr>
      <w:r w:rsidRPr="00F91C59">
        <w:rPr>
          <w:rFonts w:ascii="Arial" w:hAnsi="Arial" w:cs="Arial"/>
        </w:rPr>
        <w:lastRenderedPageBreak/>
        <w:t xml:space="preserve">These industries are not the only </w:t>
      </w:r>
      <w:r>
        <w:rPr>
          <w:rFonts w:ascii="Arial" w:hAnsi="Arial" w:cs="Arial"/>
        </w:rPr>
        <w:t>L</w:t>
      </w:r>
      <w:r w:rsidRPr="00F91C59">
        <w:rPr>
          <w:rFonts w:ascii="Arial" w:hAnsi="Arial" w:cs="Arial"/>
        </w:rPr>
        <w:t xml:space="preserve">arge </w:t>
      </w:r>
      <w:r>
        <w:rPr>
          <w:rFonts w:ascii="Arial" w:hAnsi="Arial" w:cs="Arial"/>
        </w:rPr>
        <w:t>L</w:t>
      </w:r>
      <w:r w:rsidRPr="00F91C59">
        <w:rPr>
          <w:rFonts w:ascii="Arial" w:hAnsi="Arial" w:cs="Arial"/>
        </w:rPr>
        <w:t xml:space="preserve">oad customers that utilize the ERCOT grid, nor are they only large customers that could experience voltage-ride through challenges. Proposed requirements should focus on the size of a customer’s load, not its specific industry or end-use of electricity. As currently structured, ERCOT requirements will disproportionately impact both industries. However, through its evaluations, ERCOT has not demonstrated that these two industries uniquely impact grid reliability, nor has ERCOT provided any reasonable justification to single out these industries. Further, as structured, the LEL definition treats the two industries as if their operations and ability to respond to voltage ride-through requirements are the same, which they are not. </w:t>
      </w:r>
    </w:p>
    <w:p w14:paraId="08ACBE1D" w14:textId="066134E6" w:rsidR="00082C69" w:rsidRPr="00F91C59" w:rsidRDefault="00F91C59" w:rsidP="00F91C59">
      <w:pPr>
        <w:spacing w:before="120" w:after="120" w:line="276" w:lineRule="auto"/>
        <w:ind w:firstLine="720"/>
        <w:rPr>
          <w:rFonts w:ascii="Arial" w:hAnsi="Arial" w:cs="Arial"/>
        </w:rPr>
      </w:pPr>
      <w:r w:rsidRPr="00F91C59">
        <w:rPr>
          <w:rFonts w:ascii="Arial" w:hAnsi="Arial" w:cs="Arial"/>
        </w:rPr>
        <w:t xml:space="preserve">The data center industry is not a monolithic one. It is composed of different companies, company sizes, facilities, business models, computing operations, and energy configurations. Some data centers are built to support advanced large language models while others are multi-tenant facilities that host servers for several other business clients. Therefore, their operational, and legal responsibilities to their clients vary by the type of data center and they also have different designs which offer varying capabilities to ride through events as established in related ERCOT items like </w:t>
      </w:r>
      <w:r>
        <w:rPr>
          <w:rFonts w:ascii="Arial" w:hAnsi="Arial" w:cs="Arial"/>
        </w:rPr>
        <w:t>Nodal Operating Guide Revision Request (</w:t>
      </w:r>
      <w:r w:rsidRPr="00F91C59">
        <w:rPr>
          <w:rFonts w:ascii="Arial" w:hAnsi="Arial" w:cs="Arial"/>
        </w:rPr>
        <w:t>NOGRR</w:t>
      </w:r>
      <w:r>
        <w:rPr>
          <w:rFonts w:ascii="Arial" w:hAnsi="Arial" w:cs="Arial"/>
        </w:rPr>
        <w:t>)</w:t>
      </w:r>
      <w:r w:rsidRPr="00F91C59">
        <w:rPr>
          <w:rFonts w:ascii="Arial" w:hAnsi="Arial" w:cs="Arial"/>
        </w:rPr>
        <w:t xml:space="preserve"> 282</w:t>
      </w:r>
      <w:r>
        <w:rPr>
          <w:rFonts w:ascii="Arial" w:hAnsi="Arial" w:cs="Arial"/>
        </w:rPr>
        <w:t xml:space="preserve">, </w:t>
      </w:r>
      <w:r w:rsidRPr="00F91C59">
        <w:rPr>
          <w:rFonts w:ascii="Arial" w:hAnsi="Arial" w:cs="Arial"/>
        </w:rPr>
        <w:t xml:space="preserve">Board Priority - Large Electronic Load Ride-Through Requirements. While ERCOT’s language singles out these two specific industries, data centers also traditionally do not perform any differently than other industries as highlighted in ERCOT’s recent presentation on </w:t>
      </w:r>
      <w:r>
        <w:rPr>
          <w:rFonts w:ascii="Arial" w:hAnsi="Arial" w:cs="Arial"/>
        </w:rPr>
        <w:t>L</w:t>
      </w:r>
      <w:r w:rsidRPr="00F91C59">
        <w:rPr>
          <w:rFonts w:ascii="Arial" w:hAnsi="Arial" w:cs="Arial"/>
        </w:rPr>
        <w:t xml:space="preserve">arge </w:t>
      </w:r>
      <w:r>
        <w:rPr>
          <w:rFonts w:ascii="Arial" w:hAnsi="Arial" w:cs="Arial"/>
        </w:rPr>
        <w:t>L</w:t>
      </w:r>
      <w:r w:rsidRPr="00F91C59">
        <w:rPr>
          <w:rFonts w:ascii="Arial" w:hAnsi="Arial" w:cs="Arial"/>
        </w:rPr>
        <w:t>oad reduction events.</w:t>
      </w:r>
      <w:r w:rsidRPr="00F91C59">
        <w:rPr>
          <w:rFonts w:ascii="Arial" w:hAnsi="Arial" w:cs="Arial"/>
          <w:vertAlign w:val="superscript"/>
        </w:rPr>
        <w:footnoteReference w:id="2"/>
      </w:r>
      <w:r w:rsidRPr="00F91C59">
        <w:rPr>
          <w:rFonts w:ascii="Arial" w:hAnsi="Arial" w:cs="Arial"/>
        </w:rPr>
        <w:t xml:space="preserve"> </w:t>
      </w:r>
    </w:p>
    <w:p w14:paraId="0FFF6502" w14:textId="2AD42404" w:rsidR="00082C69" w:rsidRPr="00F91C59" w:rsidRDefault="00F91C59" w:rsidP="00F91C59">
      <w:pPr>
        <w:spacing w:before="120" w:after="120" w:line="276" w:lineRule="auto"/>
        <w:ind w:firstLine="720"/>
        <w:rPr>
          <w:rFonts w:ascii="Arial" w:hAnsi="Arial" w:cs="Arial"/>
        </w:rPr>
      </w:pPr>
      <w:r w:rsidRPr="00F91C59">
        <w:rPr>
          <w:rFonts w:ascii="Arial" w:hAnsi="Arial" w:cs="Arial"/>
        </w:rPr>
        <w:t xml:space="preserve">Ultimately, data centers are customers who require energy to run their operations. While DCC members recognize the importance of supporting efforts to grid reliability, it should not be the data centers industry's responsibility alone. This mission should be shared with utilities and </w:t>
      </w:r>
      <w:r>
        <w:rPr>
          <w:rFonts w:ascii="Arial" w:hAnsi="Arial" w:cs="Arial"/>
        </w:rPr>
        <w:t>T</w:t>
      </w:r>
      <w:r w:rsidRPr="00F91C59">
        <w:rPr>
          <w:rFonts w:ascii="Arial" w:hAnsi="Arial" w:cs="Arial"/>
        </w:rPr>
        <w:t>ransmission and</w:t>
      </w:r>
      <w:r>
        <w:rPr>
          <w:rFonts w:ascii="Arial" w:hAnsi="Arial" w:cs="Arial"/>
        </w:rPr>
        <w:t>/or</w:t>
      </w:r>
      <w:r w:rsidRPr="00F91C59">
        <w:rPr>
          <w:rFonts w:ascii="Arial" w:hAnsi="Arial" w:cs="Arial"/>
        </w:rPr>
        <w:t xml:space="preserve"> </w:t>
      </w:r>
      <w:r>
        <w:rPr>
          <w:rFonts w:ascii="Arial" w:hAnsi="Arial" w:cs="Arial"/>
        </w:rPr>
        <w:t>D</w:t>
      </w:r>
      <w:r w:rsidRPr="00F91C59">
        <w:rPr>
          <w:rFonts w:ascii="Arial" w:hAnsi="Arial" w:cs="Arial"/>
        </w:rPr>
        <w:t xml:space="preserve">istribution </w:t>
      </w:r>
      <w:r>
        <w:rPr>
          <w:rFonts w:ascii="Arial" w:hAnsi="Arial" w:cs="Arial"/>
        </w:rPr>
        <w:t>S</w:t>
      </w:r>
      <w:r w:rsidRPr="00F91C59">
        <w:rPr>
          <w:rFonts w:ascii="Arial" w:hAnsi="Arial" w:cs="Arial"/>
        </w:rPr>
        <w:t xml:space="preserve">ervice </w:t>
      </w:r>
      <w:r>
        <w:rPr>
          <w:rFonts w:ascii="Arial" w:hAnsi="Arial" w:cs="Arial"/>
        </w:rPr>
        <w:t>P</w:t>
      </w:r>
      <w:r w:rsidRPr="00F91C59">
        <w:rPr>
          <w:rFonts w:ascii="Arial" w:hAnsi="Arial" w:cs="Arial"/>
        </w:rPr>
        <w:t>roviders (TDSPs) whose mission is to offer affordable and reliable energy. It should also include all other Large Loads. For these reasons, we recommend removing the definition of “Large Electronic Loads” and applying any associated requirements uniformly to all Large Loads.</w:t>
      </w:r>
    </w:p>
    <w:p w14:paraId="1EAB2020" w14:textId="05DE4034" w:rsidR="00082C69" w:rsidRPr="00F91C59" w:rsidRDefault="00F91C59" w:rsidP="00F91C59">
      <w:pPr>
        <w:spacing w:before="120" w:after="120" w:line="276" w:lineRule="auto"/>
        <w:ind w:firstLine="720"/>
        <w:rPr>
          <w:rFonts w:ascii="Arial" w:hAnsi="Arial" w:cs="Arial"/>
        </w:rPr>
      </w:pPr>
      <w:r w:rsidRPr="00F91C59">
        <w:rPr>
          <w:rFonts w:ascii="Arial" w:hAnsi="Arial" w:cs="Arial"/>
        </w:rPr>
        <w:t>Our members remain committed to working with all stakeholders and ERCOT to support grid reliability. While DCC appreciates the intent of ERCOT to enhance the grid, our members believe there are more effective ways to ensure affordable, reliable energy for all Texans that do not single out two specific industries for baseless, disparate treatment. As ERCOT continues its work on NPRR1308 and related efforts like NOGRR282, DCC remains a resource to help achieve this objective.</w:t>
      </w:r>
    </w:p>
    <w:tbl>
      <w:tblPr>
        <w:tblStyle w:val="a1"/>
        <w:tblW w:w="1044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082C69" w14:paraId="553C0EDD" w14:textId="77777777">
        <w:trPr>
          <w:trHeight w:val="350"/>
        </w:trPr>
        <w:tc>
          <w:tcPr>
            <w:tcW w:w="10440" w:type="dxa"/>
            <w:tcBorders>
              <w:bottom w:val="single" w:sz="4" w:space="0" w:color="000000"/>
            </w:tcBorders>
            <w:shd w:val="clear" w:color="auto" w:fill="FFFFFF"/>
            <w:vAlign w:val="center"/>
          </w:tcPr>
          <w:p w14:paraId="25FC259F" w14:textId="77777777" w:rsidR="00082C69" w:rsidRDefault="00F91C59">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lastRenderedPageBreak/>
              <w:t>Revised Cover Page Language</w:t>
            </w:r>
          </w:p>
        </w:tc>
      </w:tr>
    </w:tbl>
    <w:p w14:paraId="5D8CE91D" w14:textId="53479887" w:rsidR="00082C69" w:rsidRPr="00F91C59" w:rsidRDefault="00F91C59" w:rsidP="00F91C59">
      <w:pPr>
        <w:pBdr>
          <w:top w:val="nil"/>
          <w:left w:val="nil"/>
          <w:bottom w:val="nil"/>
          <w:right w:val="nil"/>
          <w:between w:val="nil"/>
        </w:pBdr>
        <w:spacing w:before="120" w:after="120"/>
        <w:rPr>
          <w:rFonts w:ascii="Arial" w:eastAsia="Arial" w:hAnsi="Arial" w:cs="Arial"/>
        </w:rPr>
      </w:pPr>
      <w:r w:rsidRPr="00F91C59">
        <w:rPr>
          <w:rFonts w:ascii="Arial" w:eastAsia="Arial" w:hAnsi="Arial" w:cs="Arial"/>
        </w:rPr>
        <w:t>None</w:t>
      </w:r>
    </w:p>
    <w:tbl>
      <w:tblPr>
        <w:tblStyle w:val="a2"/>
        <w:tblW w:w="1044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082C69" w14:paraId="5015338E" w14:textId="77777777">
        <w:trPr>
          <w:trHeight w:val="350"/>
        </w:trPr>
        <w:tc>
          <w:tcPr>
            <w:tcW w:w="10440" w:type="dxa"/>
            <w:tcBorders>
              <w:bottom w:val="single" w:sz="4" w:space="0" w:color="000000"/>
            </w:tcBorders>
            <w:shd w:val="clear" w:color="auto" w:fill="FFFFFF"/>
            <w:vAlign w:val="center"/>
          </w:tcPr>
          <w:p w14:paraId="01D7D50E" w14:textId="77777777" w:rsidR="00082C69" w:rsidRDefault="00F91C59">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Revised Proposed Protocol Language</w:t>
            </w:r>
          </w:p>
        </w:tc>
      </w:tr>
    </w:tbl>
    <w:p w14:paraId="51A7BB36" w14:textId="5C0625C1" w:rsidR="00082C69" w:rsidRPr="00F91C59" w:rsidRDefault="00F91C59" w:rsidP="00F91C59">
      <w:pPr>
        <w:pBdr>
          <w:top w:val="nil"/>
          <w:left w:val="nil"/>
          <w:bottom w:val="nil"/>
          <w:right w:val="nil"/>
          <w:between w:val="nil"/>
        </w:pBdr>
        <w:spacing w:before="120" w:after="120"/>
        <w:rPr>
          <w:rFonts w:ascii="Arial" w:eastAsia="Arial" w:hAnsi="Arial" w:cs="Arial"/>
        </w:rPr>
      </w:pPr>
      <w:r w:rsidRPr="00F91C59">
        <w:rPr>
          <w:rFonts w:ascii="Arial" w:eastAsia="Arial" w:hAnsi="Arial" w:cs="Arial"/>
        </w:rPr>
        <w:t>None</w:t>
      </w:r>
    </w:p>
    <w:sectPr w:rsidR="00082C69" w:rsidRPr="00F91C59">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6C827" w14:textId="77777777" w:rsidR="00B92658" w:rsidRDefault="00B92658">
      <w:r>
        <w:separator/>
      </w:r>
    </w:p>
  </w:endnote>
  <w:endnote w:type="continuationSeparator" w:id="0">
    <w:p w14:paraId="6879A1D7" w14:textId="77777777" w:rsidR="00B92658" w:rsidRDefault="00B9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E18B092-4B51-45C5-AB02-C1F62A0CB32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7A6C3A63-4EC3-44C9-8D50-D2EB0748D37B}"/>
  </w:font>
  <w:font w:name="Cambria Math">
    <w:panose1 w:val="02040503050406030204"/>
    <w:charset w:val="00"/>
    <w:family w:val="roman"/>
    <w:pitch w:val="variable"/>
    <w:sig w:usb0="E00006FF" w:usb1="420024FF" w:usb2="02000000" w:usb3="00000000" w:csb0="0000019F" w:csb1="00000000"/>
    <w:embedRegular r:id="rId3" w:fontKey="{B0063AB3-364F-4C4C-A8E1-B0AA1ECCCEE9}"/>
  </w:font>
  <w:font w:name="Calibri">
    <w:panose1 w:val="020F0502020204030204"/>
    <w:charset w:val="00"/>
    <w:family w:val="swiss"/>
    <w:pitch w:val="variable"/>
    <w:sig w:usb0="E4002EFF" w:usb1="C200247B" w:usb2="00000009" w:usb3="00000000" w:csb0="000001FF" w:csb1="00000000"/>
    <w:embedRegular r:id="rId4" w:fontKey="{B80F84A7-D3FE-49EC-B770-FEF978322EE6}"/>
  </w:font>
  <w:font w:name="Cambria">
    <w:panose1 w:val="02040503050406030204"/>
    <w:charset w:val="00"/>
    <w:family w:val="roman"/>
    <w:pitch w:val="variable"/>
    <w:sig w:usb0="E00006FF" w:usb1="420024FF" w:usb2="02000000" w:usb3="00000000" w:csb0="0000019F" w:csb1="00000000"/>
    <w:embedRegular r:id="rId5" w:fontKey="{CC56EB0E-3687-4546-92F2-14584BED8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09C0" w14:textId="07461C57" w:rsidR="00082C69" w:rsidRDefault="00F91C59">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1308NPRR-09 Data Center Coalition Comments 020926</w:t>
    </w:r>
    <w:r>
      <w:rPr>
        <w:rFonts w:ascii="Arial" w:eastAsia="Arial" w:hAnsi="Arial" w:cs="Arial"/>
        <w:color w:val="000000"/>
        <w:sz w:val="18"/>
        <w:szCs w:val="18"/>
      </w:rPr>
      <w:tab/>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0B684B">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0B684B">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0F04DCCD" w14:textId="77777777" w:rsidR="00082C69" w:rsidRDefault="00F91C59">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5F7D0" w14:textId="77777777" w:rsidR="00B92658" w:rsidRDefault="00B92658">
      <w:r>
        <w:separator/>
      </w:r>
    </w:p>
  </w:footnote>
  <w:footnote w:type="continuationSeparator" w:id="0">
    <w:p w14:paraId="1D47F27F" w14:textId="77777777" w:rsidR="00B92658" w:rsidRDefault="00B92658">
      <w:r>
        <w:continuationSeparator/>
      </w:r>
    </w:p>
  </w:footnote>
  <w:footnote w:id="1">
    <w:p w14:paraId="19501577" w14:textId="77777777" w:rsidR="00082C69" w:rsidRDefault="00F91C59">
      <w:pPr>
        <w:rPr>
          <w:rFonts w:ascii="Arial" w:eastAsia="Arial" w:hAnsi="Arial" w:cs="Arial"/>
          <w:sz w:val="20"/>
          <w:szCs w:val="20"/>
        </w:rPr>
      </w:pPr>
      <w:r>
        <w:rPr>
          <w:vertAlign w:val="superscript"/>
        </w:rPr>
        <w:footnoteRef/>
      </w:r>
      <w:r>
        <w:rPr>
          <w:rFonts w:ascii="Arial" w:eastAsia="Arial" w:hAnsi="Arial" w:cs="Arial"/>
          <w:sz w:val="20"/>
          <w:szCs w:val="20"/>
        </w:rPr>
        <w:t xml:space="preserve"> The Data Center Coalition is a membership organization of leading data center owners and operators. Public testimony and written comments submitted by DCC do not necessarily reflect the views of each individual DCC member. A list of current DCC Members is accessible at </w:t>
      </w:r>
      <w:hyperlink r:id="rId1">
        <w:r w:rsidR="00082C69">
          <w:rPr>
            <w:rFonts w:ascii="Arial" w:eastAsia="Arial" w:hAnsi="Arial" w:cs="Arial"/>
            <w:color w:val="1155CC"/>
            <w:sz w:val="20"/>
            <w:szCs w:val="20"/>
            <w:u w:val="single"/>
          </w:rPr>
          <w:t>https://www.datacentercoalition.org/members</w:t>
        </w:r>
      </w:hyperlink>
      <w:r>
        <w:rPr>
          <w:rFonts w:ascii="Arial" w:eastAsia="Arial" w:hAnsi="Arial" w:cs="Arial"/>
          <w:sz w:val="20"/>
          <w:szCs w:val="20"/>
        </w:rPr>
        <w:t xml:space="preserve">. </w:t>
      </w:r>
    </w:p>
  </w:footnote>
  <w:footnote w:id="2">
    <w:p w14:paraId="3054309A" w14:textId="77777777" w:rsidR="00082C69" w:rsidRDefault="00F91C59">
      <w:pPr>
        <w:rPr>
          <w:sz w:val="20"/>
          <w:szCs w:val="20"/>
        </w:rPr>
      </w:pPr>
      <w:r>
        <w:rPr>
          <w:vertAlign w:val="superscript"/>
        </w:rPr>
        <w:footnoteRef/>
      </w:r>
      <w:r>
        <w:rPr>
          <w:sz w:val="20"/>
          <w:szCs w:val="20"/>
        </w:rPr>
        <w:t xml:space="preserve"> ERCOT, </w:t>
      </w:r>
      <w:r>
        <w:rPr>
          <w:i/>
          <w:iCs/>
          <w:sz w:val="21"/>
          <w:szCs w:val="21"/>
        </w:rPr>
        <w:t>ERCOT Recent Large Load Events</w:t>
      </w:r>
      <w:r>
        <w:rPr>
          <w:sz w:val="21"/>
          <w:szCs w:val="21"/>
        </w:rPr>
        <w:t xml:space="preserve">., 10.24.25. </w:t>
      </w:r>
      <w:hyperlink r:id="rId2">
        <w:r w:rsidR="00082C69">
          <w:rPr>
            <w:color w:val="1155CC"/>
            <w:sz w:val="21"/>
            <w:szCs w:val="21"/>
            <w:u w:val="single"/>
          </w:rPr>
          <w:t>https://www.ercot.com/files/docs/2025/10/22/ERCOT-Recent-Large-Load-Events_LLWG_24Oct2025.pptx</w:t>
        </w:r>
      </w:hyperlink>
      <w:r>
        <w:rPr>
          <w:sz w:val="21"/>
          <w:szCs w:val="2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51EE" w14:textId="77777777" w:rsidR="00082C69" w:rsidRDefault="00F91C59">
    <w:pPr>
      <w:pBdr>
        <w:top w:val="nil"/>
        <w:left w:val="nil"/>
        <w:bottom w:val="nil"/>
        <w:right w:val="nil"/>
        <w:between w:val="nil"/>
      </w:pBdr>
      <w:tabs>
        <w:tab w:val="center" w:pos="4320"/>
        <w:tab w:val="right" w:pos="8640"/>
      </w:tabs>
      <w:jc w:val="center"/>
      <w:rPr>
        <w:rFonts w:ascii="Arial" w:eastAsia="Arial" w:hAnsi="Arial" w:cs="Arial"/>
        <w:b/>
        <w:bCs/>
        <w:color w:val="000000"/>
        <w:sz w:val="32"/>
        <w:szCs w:val="32"/>
      </w:rPr>
    </w:pPr>
    <w:r>
      <w:rPr>
        <w:rFonts w:ascii="Arial" w:eastAsia="Arial" w:hAnsi="Arial" w:cs="Arial"/>
        <w:b/>
        <w:bCs/>
        <w:color w:val="000000"/>
        <w:sz w:val="32"/>
        <w:szCs w:val="32"/>
      </w:rPr>
      <w:t>NPRR Comments</w:t>
    </w:r>
  </w:p>
  <w:p w14:paraId="3F0FC5D8" w14:textId="77777777" w:rsidR="00082C69" w:rsidRDefault="00082C69">
    <w:pPr>
      <w:pBdr>
        <w:top w:val="nil"/>
        <w:left w:val="nil"/>
        <w:bottom w:val="nil"/>
        <w:right w:val="nil"/>
        <w:between w:val="nil"/>
      </w:pBdr>
      <w:tabs>
        <w:tab w:val="center" w:pos="4320"/>
        <w:tab w:val="right" w:pos="8640"/>
      </w:tabs>
      <w:rPr>
        <w:rFonts w:ascii="Arial" w:eastAsia="Arial" w:hAnsi="Arial" w:cs="Arial"/>
        <w:b/>
        <w:bC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C69"/>
    <w:rsid w:val="0008059E"/>
    <w:rsid w:val="00082C69"/>
    <w:rsid w:val="000B684B"/>
    <w:rsid w:val="00133BEA"/>
    <w:rsid w:val="00404E36"/>
    <w:rsid w:val="00505925"/>
    <w:rsid w:val="00801EA6"/>
    <w:rsid w:val="00A161FA"/>
    <w:rsid w:val="00B92658"/>
    <w:rsid w:val="00E24803"/>
    <w:rsid w:val="00F07ED0"/>
    <w:rsid w:val="00F91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346CB"/>
  <w15:docId w15:val="{455C0490-FC06-48FE-9A45-61F0CE65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B684B"/>
  </w:style>
  <w:style w:type="character" w:styleId="Hyperlink">
    <w:name w:val="Hyperlink"/>
    <w:basedOn w:val="DefaultParagraphFont"/>
    <w:uiPriority w:val="99"/>
    <w:unhideWhenUsed/>
    <w:rsid w:val="00F91C59"/>
    <w:rPr>
      <w:color w:val="0000FF" w:themeColor="hyperlink"/>
      <w:u w:val="single"/>
    </w:rPr>
  </w:style>
  <w:style w:type="character" w:styleId="UnresolvedMention">
    <w:name w:val="Unresolved Mention"/>
    <w:basedOn w:val="DefaultParagraphFont"/>
    <w:uiPriority w:val="99"/>
    <w:semiHidden/>
    <w:unhideWhenUsed/>
    <w:rsid w:val="00F91C59"/>
    <w:rPr>
      <w:color w:val="605E5C"/>
      <w:shd w:val="clear" w:color="auto" w:fill="E1DFDD"/>
    </w:rPr>
  </w:style>
  <w:style w:type="paragraph" w:styleId="Header">
    <w:name w:val="header"/>
    <w:basedOn w:val="Normal"/>
    <w:link w:val="HeaderChar"/>
    <w:uiPriority w:val="99"/>
    <w:unhideWhenUsed/>
    <w:rsid w:val="00F91C59"/>
    <w:pPr>
      <w:tabs>
        <w:tab w:val="center" w:pos="4680"/>
        <w:tab w:val="right" w:pos="9360"/>
      </w:tabs>
    </w:pPr>
  </w:style>
  <w:style w:type="character" w:customStyle="1" w:styleId="HeaderChar">
    <w:name w:val="Header Char"/>
    <w:basedOn w:val="DefaultParagraphFont"/>
    <w:link w:val="Header"/>
    <w:uiPriority w:val="99"/>
    <w:rsid w:val="00F91C59"/>
  </w:style>
  <w:style w:type="paragraph" w:styleId="Footer">
    <w:name w:val="footer"/>
    <w:basedOn w:val="Normal"/>
    <w:link w:val="FooterChar"/>
    <w:uiPriority w:val="99"/>
    <w:unhideWhenUsed/>
    <w:rsid w:val="00F91C59"/>
    <w:pPr>
      <w:tabs>
        <w:tab w:val="center" w:pos="4680"/>
        <w:tab w:val="right" w:pos="9360"/>
      </w:tabs>
    </w:pPr>
  </w:style>
  <w:style w:type="character" w:customStyle="1" w:styleId="FooterChar">
    <w:name w:val="Footer Char"/>
    <w:basedOn w:val="DefaultParagraphFont"/>
    <w:link w:val="Footer"/>
    <w:uiPriority w:val="99"/>
    <w:rsid w:val="00F91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ameron@datacentercoalitio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rcot.com/mktrules/issues/NPRR1308"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ercot.com/files/docs/2025/10/22/ERCOT-Recent-Large-Load-Events_LLWG_24Oct2025.pptx" TargetMode="External"/><Relationship Id="rId1" Type="http://schemas.openxmlformats.org/officeDocument/2006/relationships/hyperlink" Target="https://www.datacentercoalition.org/me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731</Words>
  <Characters>4170</Characters>
  <Application>Microsoft Office Word</Application>
  <DocSecurity>0</DocSecurity>
  <Lines>34</Lines>
  <Paragraphs>9</Paragraphs>
  <ScaleCrop>false</ScaleCrop>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Poursoltan</dc:creator>
  <cp:lastModifiedBy>C Phillips</cp:lastModifiedBy>
  <cp:revision>3</cp:revision>
  <dcterms:created xsi:type="dcterms:W3CDTF">2026-02-09T17:50:00Z</dcterms:created>
  <dcterms:modified xsi:type="dcterms:W3CDTF">2026-02-09T19:49:00Z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2026-02-09T17:50:58Z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62a1fe6b-9907-4b70-8cca-bddc8e385072</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