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rsidRPr="00C3651A" w14:paraId="161D7401" w14:textId="77777777">
        <w:tc>
          <w:tcPr>
            <w:tcW w:w="1620" w:type="dxa"/>
            <w:tcBorders>
              <w:bottom w:val="single" w:sz="4" w:space="0" w:color="auto"/>
            </w:tcBorders>
            <w:shd w:val="clear" w:color="auto" w:fill="FFFFFF"/>
            <w:vAlign w:val="center"/>
          </w:tcPr>
          <w:p w14:paraId="778113E8" w14:textId="77777777" w:rsidR="00152993" w:rsidRPr="00C3651A" w:rsidRDefault="00EE6681">
            <w:pPr>
              <w:pStyle w:val="Header"/>
              <w:rPr>
                <w:rFonts w:ascii="Verdana" w:hAnsi="Verdana"/>
                <w:sz w:val="28"/>
                <w:szCs w:val="24"/>
              </w:rPr>
            </w:pPr>
            <w:r w:rsidRPr="00C3651A">
              <w:rPr>
                <w:sz w:val="24"/>
                <w:szCs w:val="24"/>
              </w:rPr>
              <w:t>N</w:t>
            </w:r>
            <w:r w:rsidR="00152993" w:rsidRPr="00C3651A">
              <w:rPr>
                <w:sz w:val="24"/>
                <w:szCs w:val="24"/>
              </w:rPr>
              <w:t>PRR Number</w:t>
            </w:r>
          </w:p>
        </w:tc>
        <w:tc>
          <w:tcPr>
            <w:tcW w:w="1260" w:type="dxa"/>
            <w:tcBorders>
              <w:bottom w:val="single" w:sz="4" w:space="0" w:color="auto"/>
            </w:tcBorders>
            <w:vAlign w:val="center"/>
          </w:tcPr>
          <w:p w14:paraId="2DE5B347" w14:textId="7F04ACD8" w:rsidR="00152993" w:rsidRPr="00C3651A" w:rsidRDefault="00926B46">
            <w:pPr>
              <w:pStyle w:val="Header"/>
              <w:rPr>
                <w:sz w:val="24"/>
                <w:szCs w:val="24"/>
              </w:rPr>
            </w:pPr>
            <w:hyperlink r:id="rId11" w:history="1">
              <w:r w:rsidRPr="003F502C">
                <w:rPr>
                  <w:rStyle w:val="Hyperlink"/>
                  <w:sz w:val="24"/>
                  <w:szCs w:val="24"/>
                </w:rPr>
                <w:t>1310</w:t>
              </w:r>
            </w:hyperlink>
          </w:p>
        </w:tc>
        <w:tc>
          <w:tcPr>
            <w:tcW w:w="900" w:type="dxa"/>
            <w:tcBorders>
              <w:bottom w:val="single" w:sz="4" w:space="0" w:color="auto"/>
            </w:tcBorders>
            <w:shd w:val="clear" w:color="auto" w:fill="FFFFFF"/>
            <w:vAlign w:val="center"/>
          </w:tcPr>
          <w:p w14:paraId="601B7858" w14:textId="77777777" w:rsidR="00152993" w:rsidRPr="00C3651A" w:rsidRDefault="00EE6681">
            <w:pPr>
              <w:pStyle w:val="Header"/>
              <w:rPr>
                <w:sz w:val="24"/>
                <w:szCs w:val="24"/>
              </w:rPr>
            </w:pPr>
            <w:r w:rsidRPr="00C3651A">
              <w:rPr>
                <w:sz w:val="24"/>
                <w:szCs w:val="24"/>
              </w:rPr>
              <w:t>N</w:t>
            </w:r>
            <w:r w:rsidR="00152993" w:rsidRPr="00C3651A">
              <w:rPr>
                <w:sz w:val="24"/>
                <w:szCs w:val="24"/>
              </w:rPr>
              <w:t>PRR Title</w:t>
            </w:r>
          </w:p>
        </w:tc>
        <w:tc>
          <w:tcPr>
            <w:tcW w:w="6660" w:type="dxa"/>
            <w:tcBorders>
              <w:bottom w:val="single" w:sz="4" w:space="0" w:color="auto"/>
            </w:tcBorders>
            <w:vAlign w:val="center"/>
          </w:tcPr>
          <w:p w14:paraId="18E4A1BC" w14:textId="77777777" w:rsidR="00152993" w:rsidRPr="00C3651A" w:rsidRDefault="00436138">
            <w:pPr>
              <w:pStyle w:val="Header"/>
              <w:rPr>
                <w:sz w:val="24"/>
                <w:szCs w:val="24"/>
              </w:rPr>
            </w:pPr>
            <w:r w:rsidRPr="00C3651A">
              <w:rPr>
                <w:sz w:val="24"/>
                <w:szCs w:val="24"/>
              </w:rPr>
              <w:t>Dispatchable Reliability Reserve Service Plus Energy Storage Resource Participation and Release Factor</w:t>
            </w:r>
          </w:p>
        </w:tc>
      </w:tr>
      <w:tr w:rsidR="00152993" w:rsidRPr="00C3651A" w14:paraId="72D5DA53" w14:textId="77777777">
        <w:trPr>
          <w:trHeight w:val="413"/>
        </w:trPr>
        <w:tc>
          <w:tcPr>
            <w:tcW w:w="2880" w:type="dxa"/>
            <w:gridSpan w:val="2"/>
            <w:tcBorders>
              <w:top w:val="nil"/>
              <w:left w:val="nil"/>
              <w:bottom w:val="single" w:sz="4" w:space="0" w:color="auto"/>
              <w:right w:val="nil"/>
            </w:tcBorders>
            <w:vAlign w:val="center"/>
          </w:tcPr>
          <w:p w14:paraId="02F80184" w14:textId="77777777" w:rsidR="00152993" w:rsidRPr="00C3651A" w:rsidRDefault="00152993">
            <w:pPr>
              <w:pStyle w:val="NormalArial"/>
              <w:rPr>
                <w:sz w:val="24"/>
                <w:szCs w:val="24"/>
              </w:rPr>
            </w:pPr>
          </w:p>
        </w:tc>
        <w:tc>
          <w:tcPr>
            <w:tcW w:w="7560" w:type="dxa"/>
            <w:gridSpan w:val="2"/>
            <w:tcBorders>
              <w:top w:val="single" w:sz="4" w:space="0" w:color="auto"/>
              <w:left w:val="nil"/>
              <w:bottom w:val="nil"/>
              <w:right w:val="nil"/>
            </w:tcBorders>
            <w:vAlign w:val="center"/>
          </w:tcPr>
          <w:p w14:paraId="7F5ECC70" w14:textId="77777777" w:rsidR="00152993" w:rsidRPr="00C3651A" w:rsidRDefault="00152993">
            <w:pPr>
              <w:pStyle w:val="NormalArial"/>
              <w:rPr>
                <w:sz w:val="24"/>
                <w:szCs w:val="24"/>
              </w:rPr>
            </w:pPr>
          </w:p>
        </w:tc>
      </w:tr>
      <w:tr w:rsidR="00152993" w:rsidRPr="00C3651A" w14:paraId="62CAEDA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12599D1" w14:textId="77777777" w:rsidR="00152993" w:rsidRPr="00C3651A" w:rsidRDefault="00152993">
            <w:pPr>
              <w:pStyle w:val="Header"/>
              <w:rPr>
                <w:sz w:val="24"/>
                <w:szCs w:val="24"/>
              </w:rPr>
            </w:pPr>
            <w:r w:rsidRPr="00C3651A">
              <w:rPr>
                <w:sz w:val="24"/>
                <w:szCs w:val="24"/>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A8A9D8C" w14:textId="1104A1B4" w:rsidR="00152993" w:rsidRPr="00C3651A" w:rsidRDefault="003F502C">
            <w:pPr>
              <w:pStyle w:val="NormalArial"/>
              <w:rPr>
                <w:sz w:val="24"/>
                <w:szCs w:val="24"/>
              </w:rPr>
            </w:pPr>
            <w:r>
              <w:rPr>
                <w:sz w:val="24"/>
                <w:szCs w:val="24"/>
              </w:rPr>
              <w:t xml:space="preserve">February </w:t>
            </w:r>
            <w:r w:rsidR="00F805AE">
              <w:rPr>
                <w:sz w:val="24"/>
                <w:szCs w:val="24"/>
              </w:rPr>
              <w:t>4</w:t>
            </w:r>
            <w:r>
              <w:rPr>
                <w:sz w:val="24"/>
                <w:szCs w:val="24"/>
              </w:rPr>
              <w:t>, 2026</w:t>
            </w:r>
          </w:p>
        </w:tc>
      </w:tr>
      <w:tr w:rsidR="00152993" w:rsidRPr="00C3651A" w14:paraId="1E5F234A" w14:textId="77777777">
        <w:trPr>
          <w:trHeight w:val="467"/>
        </w:trPr>
        <w:tc>
          <w:tcPr>
            <w:tcW w:w="2880" w:type="dxa"/>
            <w:gridSpan w:val="2"/>
            <w:tcBorders>
              <w:top w:val="single" w:sz="4" w:space="0" w:color="auto"/>
              <w:left w:val="nil"/>
              <w:bottom w:val="nil"/>
              <w:right w:val="nil"/>
            </w:tcBorders>
            <w:shd w:val="clear" w:color="auto" w:fill="FFFFFF"/>
            <w:vAlign w:val="center"/>
          </w:tcPr>
          <w:p w14:paraId="1E0C3228" w14:textId="77777777" w:rsidR="00152993" w:rsidRPr="00C3651A" w:rsidRDefault="00152993">
            <w:pPr>
              <w:pStyle w:val="NormalArial"/>
              <w:rPr>
                <w:sz w:val="24"/>
                <w:szCs w:val="24"/>
              </w:rPr>
            </w:pPr>
          </w:p>
        </w:tc>
        <w:tc>
          <w:tcPr>
            <w:tcW w:w="7560" w:type="dxa"/>
            <w:gridSpan w:val="2"/>
            <w:tcBorders>
              <w:top w:val="nil"/>
              <w:left w:val="nil"/>
              <w:bottom w:val="nil"/>
              <w:right w:val="nil"/>
            </w:tcBorders>
            <w:vAlign w:val="center"/>
          </w:tcPr>
          <w:p w14:paraId="54ECE021" w14:textId="77777777" w:rsidR="00152993" w:rsidRPr="00C3651A" w:rsidRDefault="00152993">
            <w:pPr>
              <w:pStyle w:val="NormalArial"/>
              <w:rPr>
                <w:sz w:val="24"/>
                <w:szCs w:val="24"/>
              </w:rPr>
            </w:pPr>
          </w:p>
        </w:tc>
      </w:tr>
      <w:tr w:rsidR="00152993" w:rsidRPr="00C3651A" w14:paraId="2DBA52CB" w14:textId="77777777">
        <w:trPr>
          <w:trHeight w:val="440"/>
        </w:trPr>
        <w:tc>
          <w:tcPr>
            <w:tcW w:w="10440" w:type="dxa"/>
            <w:gridSpan w:val="4"/>
            <w:tcBorders>
              <w:top w:val="single" w:sz="4" w:space="0" w:color="auto"/>
            </w:tcBorders>
            <w:shd w:val="clear" w:color="auto" w:fill="FFFFFF"/>
            <w:vAlign w:val="center"/>
          </w:tcPr>
          <w:p w14:paraId="42D9846E" w14:textId="77777777" w:rsidR="00152993" w:rsidRPr="00C3651A" w:rsidRDefault="00152993">
            <w:pPr>
              <w:pStyle w:val="Header"/>
              <w:jc w:val="center"/>
              <w:rPr>
                <w:sz w:val="24"/>
                <w:szCs w:val="24"/>
              </w:rPr>
            </w:pPr>
            <w:r w:rsidRPr="00C3651A">
              <w:rPr>
                <w:sz w:val="24"/>
                <w:szCs w:val="24"/>
              </w:rPr>
              <w:t>Submitter’s Information</w:t>
            </w:r>
          </w:p>
        </w:tc>
      </w:tr>
      <w:tr w:rsidR="007B337C" w:rsidRPr="00C3651A" w14:paraId="40356CF0" w14:textId="77777777" w:rsidTr="007B337C">
        <w:trPr>
          <w:trHeight w:val="350"/>
        </w:trPr>
        <w:tc>
          <w:tcPr>
            <w:tcW w:w="2880" w:type="dxa"/>
            <w:gridSpan w:val="2"/>
            <w:shd w:val="clear" w:color="auto" w:fill="FFFFFF"/>
            <w:vAlign w:val="center"/>
          </w:tcPr>
          <w:p w14:paraId="6006FFA0" w14:textId="77777777" w:rsidR="007B337C" w:rsidRPr="00C3651A" w:rsidRDefault="007B337C" w:rsidP="007B337C">
            <w:pPr>
              <w:pStyle w:val="Header"/>
              <w:rPr>
                <w:sz w:val="24"/>
                <w:szCs w:val="24"/>
              </w:rPr>
            </w:pPr>
            <w:r w:rsidRPr="00C3651A">
              <w:rPr>
                <w:sz w:val="24"/>
                <w:szCs w:val="24"/>
              </w:rPr>
              <w:t>Name</w:t>
            </w:r>
          </w:p>
        </w:tc>
        <w:tc>
          <w:tcPr>
            <w:tcW w:w="7560" w:type="dxa"/>
            <w:gridSpan w:val="2"/>
            <w:vAlign w:val="center"/>
          </w:tcPr>
          <w:p w14:paraId="07897AB7" w14:textId="657EE655" w:rsidR="007B337C" w:rsidRPr="00C3651A" w:rsidRDefault="007B337C" w:rsidP="007B337C">
            <w:pPr>
              <w:pStyle w:val="NormalArial"/>
              <w:rPr>
                <w:sz w:val="24"/>
                <w:szCs w:val="24"/>
              </w:rPr>
            </w:pPr>
            <w:r w:rsidRPr="007B337C">
              <w:rPr>
                <w:sz w:val="24"/>
                <w:szCs w:val="24"/>
              </w:rPr>
              <w:t>Matt Patterson</w:t>
            </w:r>
          </w:p>
        </w:tc>
      </w:tr>
      <w:tr w:rsidR="007B337C" w:rsidRPr="00C3651A" w14:paraId="6435DFCC" w14:textId="77777777" w:rsidTr="007B337C">
        <w:trPr>
          <w:trHeight w:val="350"/>
        </w:trPr>
        <w:tc>
          <w:tcPr>
            <w:tcW w:w="2880" w:type="dxa"/>
            <w:gridSpan w:val="2"/>
            <w:shd w:val="clear" w:color="auto" w:fill="FFFFFF"/>
            <w:vAlign w:val="center"/>
          </w:tcPr>
          <w:p w14:paraId="5CA0FE57" w14:textId="77777777" w:rsidR="007B337C" w:rsidRPr="00C3651A" w:rsidRDefault="007B337C" w:rsidP="007B337C">
            <w:pPr>
              <w:pStyle w:val="Header"/>
              <w:rPr>
                <w:sz w:val="24"/>
                <w:szCs w:val="24"/>
              </w:rPr>
            </w:pPr>
            <w:r w:rsidRPr="00C3651A">
              <w:rPr>
                <w:sz w:val="24"/>
                <w:szCs w:val="24"/>
              </w:rPr>
              <w:t>E-mail Address</w:t>
            </w:r>
          </w:p>
        </w:tc>
        <w:tc>
          <w:tcPr>
            <w:tcW w:w="7560" w:type="dxa"/>
            <w:gridSpan w:val="2"/>
            <w:vAlign w:val="center"/>
          </w:tcPr>
          <w:p w14:paraId="274A3091" w14:textId="221B8637" w:rsidR="007B337C" w:rsidRPr="00C3651A" w:rsidRDefault="007B337C" w:rsidP="007B337C">
            <w:pPr>
              <w:pStyle w:val="NormalArial"/>
              <w:rPr>
                <w:sz w:val="24"/>
                <w:szCs w:val="24"/>
              </w:rPr>
            </w:pPr>
            <w:hyperlink r:id="rId12" w:history="1">
              <w:r w:rsidRPr="00CF6676">
                <w:rPr>
                  <w:rStyle w:val="Hyperlink"/>
                  <w:sz w:val="24"/>
                  <w:szCs w:val="24"/>
                </w:rPr>
                <w:t>mpatterson@txoga.org</w:t>
              </w:r>
            </w:hyperlink>
          </w:p>
        </w:tc>
      </w:tr>
      <w:tr w:rsidR="007B337C" w:rsidRPr="00C3651A" w14:paraId="177CEED4" w14:textId="77777777" w:rsidTr="007B337C">
        <w:trPr>
          <w:trHeight w:val="350"/>
        </w:trPr>
        <w:tc>
          <w:tcPr>
            <w:tcW w:w="2880" w:type="dxa"/>
            <w:gridSpan w:val="2"/>
            <w:shd w:val="clear" w:color="auto" w:fill="FFFFFF"/>
            <w:vAlign w:val="center"/>
          </w:tcPr>
          <w:p w14:paraId="01D78D00" w14:textId="77777777" w:rsidR="007B337C" w:rsidRPr="00C3651A" w:rsidRDefault="007B337C" w:rsidP="007B337C">
            <w:pPr>
              <w:pStyle w:val="Header"/>
              <w:rPr>
                <w:sz w:val="24"/>
                <w:szCs w:val="24"/>
              </w:rPr>
            </w:pPr>
            <w:r w:rsidRPr="00C3651A">
              <w:rPr>
                <w:sz w:val="24"/>
                <w:szCs w:val="24"/>
              </w:rPr>
              <w:t>Company</w:t>
            </w:r>
          </w:p>
        </w:tc>
        <w:tc>
          <w:tcPr>
            <w:tcW w:w="7560" w:type="dxa"/>
            <w:gridSpan w:val="2"/>
            <w:vAlign w:val="center"/>
          </w:tcPr>
          <w:p w14:paraId="4548DE17" w14:textId="3C561F6D" w:rsidR="007B337C" w:rsidRPr="00C3651A" w:rsidRDefault="007B337C" w:rsidP="007B337C">
            <w:pPr>
              <w:pStyle w:val="NormalArial"/>
              <w:rPr>
                <w:sz w:val="24"/>
                <w:szCs w:val="24"/>
              </w:rPr>
            </w:pPr>
            <w:r w:rsidRPr="007B337C">
              <w:rPr>
                <w:sz w:val="24"/>
                <w:szCs w:val="24"/>
              </w:rPr>
              <w:t>Texas Oil &amp; Gas Association (TXOGA)</w:t>
            </w:r>
          </w:p>
        </w:tc>
      </w:tr>
      <w:tr w:rsidR="007B337C" w:rsidRPr="00C3651A" w14:paraId="0A11E9E4" w14:textId="77777777" w:rsidTr="007B337C">
        <w:trPr>
          <w:trHeight w:val="350"/>
        </w:trPr>
        <w:tc>
          <w:tcPr>
            <w:tcW w:w="2880" w:type="dxa"/>
            <w:gridSpan w:val="2"/>
            <w:tcBorders>
              <w:bottom w:val="single" w:sz="4" w:space="0" w:color="auto"/>
            </w:tcBorders>
            <w:shd w:val="clear" w:color="auto" w:fill="FFFFFF"/>
            <w:vAlign w:val="center"/>
          </w:tcPr>
          <w:p w14:paraId="2EE2F6A9" w14:textId="77777777" w:rsidR="007B337C" w:rsidRPr="00C3651A" w:rsidRDefault="007B337C" w:rsidP="007B337C">
            <w:pPr>
              <w:pStyle w:val="Header"/>
              <w:rPr>
                <w:sz w:val="24"/>
                <w:szCs w:val="24"/>
              </w:rPr>
            </w:pPr>
            <w:r w:rsidRPr="00C3651A">
              <w:rPr>
                <w:sz w:val="24"/>
                <w:szCs w:val="24"/>
              </w:rPr>
              <w:t>Phone Number</w:t>
            </w:r>
          </w:p>
        </w:tc>
        <w:tc>
          <w:tcPr>
            <w:tcW w:w="7560" w:type="dxa"/>
            <w:gridSpan w:val="2"/>
            <w:tcBorders>
              <w:bottom w:val="single" w:sz="4" w:space="0" w:color="auto"/>
            </w:tcBorders>
            <w:vAlign w:val="center"/>
          </w:tcPr>
          <w:p w14:paraId="541D7B59" w14:textId="4F007821" w:rsidR="007B337C" w:rsidRPr="00C3651A" w:rsidRDefault="007B337C" w:rsidP="007B337C">
            <w:pPr>
              <w:pStyle w:val="NormalArial"/>
              <w:rPr>
                <w:sz w:val="24"/>
                <w:szCs w:val="24"/>
              </w:rPr>
            </w:pPr>
            <w:r w:rsidRPr="007B337C">
              <w:rPr>
                <w:sz w:val="24"/>
                <w:szCs w:val="24"/>
              </w:rPr>
              <w:t>(512) 478-6631</w:t>
            </w:r>
          </w:p>
        </w:tc>
      </w:tr>
      <w:tr w:rsidR="007B337C" w:rsidRPr="00C3651A" w14:paraId="57C5C474" w14:textId="77777777" w:rsidTr="007B337C">
        <w:trPr>
          <w:trHeight w:val="350"/>
        </w:trPr>
        <w:tc>
          <w:tcPr>
            <w:tcW w:w="2880" w:type="dxa"/>
            <w:gridSpan w:val="2"/>
            <w:shd w:val="clear" w:color="auto" w:fill="FFFFFF"/>
            <w:vAlign w:val="center"/>
          </w:tcPr>
          <w:p w14:paraId="6C467A29" w14:textId="77777777" w:rsidR="007B337C" w:rsidRPr="00C3651A" w:rsidRDefault="007B337C" w:rsidP="007B337C">
            <w:pPr>
              <w:pStyle w:val="Header"/>
              <w:rPr>
                <w:sz w:val="24"/>
                <w:szCs w:val="24"/>
              </w:rPr>
            </w:pPr>
            <w:r w:rsidRPr="00C3651A">
              <w:rPr>
                <w:sz w:val="24"/>
                <w:szCs w:val="24"/>
              </w:rPr>
              <w:t>Cell Number</w:t>
            </w:r>
          </w:p>
        </w:tc>
        <w:tc>
          <w:tcPr>
            <w:tcW w:w="7560" w:type="dxa"/>
            <w:gridSpan w:val="2"/>
            <w:vAlign w:val="center"/>
          </w:tcPr>
          <w:p w14:paraId="66C968C9" w14:textId="7D5AAD20" w:rsidR="007B337C" w:rsidRPr="00C3651A" w:rsidRDefault="007B337C" w:rsidP="007B337C">
            <w:pPr>
              <w:pStyle w:val="NormalArial"/>
              <w:rPr>
                <w:sz w:val="24"/>
                <w:szCs w:val="24"/>
              </w:rPr>
            </w:pPr>
          </w:p>
        </w:tc>
      </w:tr>
      <w:tr w:rsidR="007B337C" w:rsidRPr="00C3651A" w14:paraId="6F58E9A1" w14:textId="77777777" w:rsidTr="007B337C">
        <w:trPr>
          <w:trHeight w:val="350"/>
        </w:trPr>
        <w:tc>
          <w:tcPr>
            <w:tcW w:w="2880" w:type="dxa"/>
            <w:gridSpan w:val="2"/>
            <w:tcBorders>
              <w:bottom w:val="single" w:sz="4" w:space="0" w:color="auto"/>
            </w:tcBorders>
            <w:shd w:val="clear" w:color="auto" w:fill="FFFFFF"/>
            <w:vAlign w:val="center"/>
          </w:tcPr>
          <w:p w14:paraId="590E8363" w14:textId="77777777" w:rsidR="007B337C" w:rsidRPr="00C3651A" w:rsidDel="00075A94" w:rsidRDefault="007B337C" w:rsidP="007B337C">
            <w:pPr>
              <w:pStyle w:val="Header"/>
              <w:rPr>
                <w:sz w:val="24"/>
                <w:szCs w:val="24"/>
              </w:rPr>
            </w:pPr>
            <w:r w:rsidRPr="00C3651A">
              <w:rPr>
                <w:sz w:val="24"/>
                <w:szCs w:val="24"/>
              </w:rPr>
              <w:t>Market Segment</w:t>
            </w:r>
          </w:p>
        </w:tc>
        <w:tc>
          <w:tcPr>
            <w:tcW w:w="7560" w:type="dxa"/>
            <w:gridSpan w:val="2"/>
            <w:tcBorders>
              <w:bottom w:val="single" w:sz="4" w:space="0" w:color="auto"/>
            </w:tcBorders>
            <w:vAlign w:val="center"/>
          </w:tcPr>
          <w:p w14:paraId="1CD3405D" w14:textId="63BBC111" w:rsidR="007B337C" w:rsidRPr="00C3651A" w:rsidRDefault="007B337C" w:rsidP="007B337C">
            <w:pPr>
              <w:pStyle w:val="NormalArial"/>
              <w:rPr>
                <w:sz w:val="24"/>
                <w:szCs w:val="24"/>
              </w:rPr>
            </w:pPr>
            <w:r w:rsidRPr="007B337C">
              <w:rPr>
                <w:sz w:val="24"/>
                <w:szCs w:val="24"/>
              </w:rPr>
              <w:t>Industrial C</w:t>
            </w:r>
            <w:r>
              <w:rPr>
                <w:sz w:val="24"/>
                <w:szCs w:val="24"/>
              </w:rPr>
              <w:t>onsumer</w:t>
            </w:r>
          </w:p>
        </w:tc>
      </w:tr>
    </w:tbl>
    <w:p w14:paraId="4107A805" w14:textId="77777777" w:rsidR="00152993" w:rsidRPr="00C3651A" w:rsidRDefault="00152993">
      <w:pPr>
        <w:pStyle w:val="NormalArial"/>
        <w:rPr>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C3651A" w14:paraId="3EE3B9A7" w14:textId="77777777" w:rsidTr="00B5080A">
        <w:trPr>
          <w:trHeight w:val="422"/>
          <w:jc w:val="center"/>
        </w:trPr>
        <w:tc>
          <w:tcPr>
            <w:tcW w:w="10440" w:type="dxa"/>
            <w:vAlign w:val="center"/>
          </w:tcPr>
          <w:p w14:paraId="01088505" w14:textId="77777777" w:rsidR="00075A94" w:rsidRPr="00C3651A" w:rsidRDefault="00075A94" w:rsidP="00B5080A">
            <w:pPr>
              <w:pStyle w:val="Header"/>
              <w:jc w:val="center"/>
              <w:rPr>
                <w:sz w:val="24"/>
                <w:szCs w:val="24"/>
              </w:rPr>
            </w:pPr>
            <w:r w:rsidRPr="00C3651A">
              <w:rPr>
                <w:sz w:val="24"/>
                <w:szCs w:val="24"/>
              </w:rPr>
              <w:t>Comments</w:t>
            </w:r>
          </w:p>
        </w:tc>
      </w:tr>
    </w:tbl>
    <w:p w14:paraId="2DE8C903" w14:textId="35C680BD" w:rsidR="007B337C" w:rsidRPr="007B337C" w:rsidRDefault="007B337C" w:rsidP="007B337C">
      <w:pPr>
        <w:spacing w:before="120" w:after="120"/>
        <w:rPr>
          <w:rFonts w:ascii="Arial" w:eastAsia="Arial" w:hAnsi="Arial" w:cs="Arial"/>
          <w:sz w:val="24"/>
          <w:szCs w:val="24"/>
          <w:lang w:val="en"/>
        </w:rPr>
      </w:pPr>
      <w:r w:rsidRPr="007B337C">
        <w:rPr>
          <w:rFonts w:ascii="Arial" w:eastAsia="Arial" w:hAnsi="Arial" w:cs="Arial"/>
          <w:sz w:val="24"/>
          <w:szCs w:val="24"/>
          <w:lang w:val="en"/>
        </w:rPr>
        <w:t xml:space="preserve">TXOGA appreciates the opportunity to comment on </w:t>
      </w:r>
      <w:r w:rsidR="006B0372">
        <w:rPr>
          <w:rFonts w:ascii="Arial" w:eastAsia="Arial" w:hAnsi="Arial" w:cs="Arial"/>
          <w:sz w:val="24"/>
          <w:szCs w:val="24"/>
          <w:lang w:val="en"/>
        </w:rPr>
        <w:t>Nodal Protocol Revision Request (</w:t>
      </w:r>
      <w:r w:rsidRPr="007B337C">
        <w:rPr>
          <w:rFonts w:ascii="Arial" w:eastAsia="Arial" w:hAnsi="Arial" w:cs="Arial"/>
          <w:sz w:val="24"/>
          <w:szCs w:val="24"/>
          <w:lang w:val="en"/>
        </w:rPr>
        <w:t>NPRR</w:t>
      </w:r>
      <w:r w:rsidR="006B0372">
        <w:rPr>
          <w:rFonts w:ascii="Arial" w:eastAsia="Arial" w:hAnsi="Arial" w:cs="Arial"/>
          <w:sz w:val="24"/>
          <w:szCs w:val="24"/>
          <w:lang w:val="en"/>
        </w:rPr>
        <w:t xml:space="preserve">) </w:t>
      </w:r>
      <w:r w:rsidRPr="007B337C">
        <w:rPr>
          <w:rFonts w:ascii="Arial" w:eastAsia="Arial" w:hAnsi="Arial" w:cs="Arial"/>
          <w:sz w:val="24"/>
          <w:szCs w:val="24"/>
          <w:lang w:val="en"/>
        </w:rPr>
        <w:t>1310 and its market implications.</w:t>
      </w:r>
    </w:p>
    <w:p w14:paraId="56744A96" w14:textId="2A187803" w:rsidR="007B337C" w:rsidRPr="007B337C" w:rsidRDefault="007B337C" w:rsidP="007B337C">
      <w:pPr>
        <w:spacing w:before="120" w:after="120"/>
        <w:rPr>
          <w:rFonts w:ascii="Arial" w:eastAsia="Arial" w:hAnsi="Arial" w:cs="Arial"/>
          <w:sz w:val="24"/>
          <w:szCs w:val="24"/>
          <w:lang w:val="en"/>
        </w:rPr>
      </w:pPr>
      <w:r w:rsidRPr="007B337C">
        <w:rPr>
          <w:rFonts w:ascii="Arial" w:eastAsia="Arial" w:hAnsi="Arial" w:cs="Arial"/>
          <w:sz w:val="24"/>
          <w:szCs w:val="24"/>
          <w:lang w:val="en"/>
        </w:rPr>
        <w:t>TXOGA strongly opposes continued consideration of NPRR1310 and requests that ERCOT withdraw this NPRR to allow expedited stakeholder review and approval of NPRR1309</w:t>
      </w:r>
      <w:r w:rsidR="006B0372">
        <w:rPr>
          <w:rFonts w:ascii="Arial" w:eastAsia="Arial" w:hAnsi="Arial" w:cs="Arial"/>
          <w:sz w:val="24"/>
          <w:szCs w:val="24"/>
          <w:lang w:val="en"/>
        </w:rPr>
        <w:t xml:space="preserve">, </w:t>
      </w:r>
      <w:r w:rsidR="006B0372" w:rsidRPr="006B0372">
        <w:rPr>
          <w:rFonts w:ascii="Arial" w:eastAsia="Arial" w:hAnsi="Arial" w:cs="Arial"/>
          <w:sz w:val="24"/>
          <w:szCs w:val="24"/>
          <w:lang w:val="en"/>
        </w:rPr>
        <w:t>Board Priority - Dispatchable Reliability Reserve Service Ancillary Service</w:t>
      </w:r>
      <w:r w:rsidRPr="007B337C">
        <w:rPr>
          <w:rFonts w:ascii="Arial" w:eastAsia="Arial" w:hAnsi="Arial" w:cs="Arial"/>
          <w:sz w:val="24"/>
          <w:szCs w:val="24"/>
          <w:lang w:val="en"/>
        </w:rPr>
        <w:t xml:space="preserve">. Considering NPRR1310 at this time wastes stakeholder and ERCOT resources to design a product that will hurt reliability, conflicts with the statutory requirements and legislative history of </w:t>
      </w:r>
      <w:r w:rsidR="0032497C" w:rsidRPr="0032497C">
        <w:rPr>
          <w:rFonts w:ascii="Arial" w:eastAsia="Arial" w:hAnsi="Arial" w:cs="Arial"/>
          <w:sz w:val="24"/>
          <w:szCs w:val="24"/>
          <w:lang w:val="en"/>
        </w:rPr>
        <w:t>Dispatchable Reliability Reserve Service</w:t>
      </w:r>
      <w:r w:rsidR="0032497C" w:rsidRPr="0032497C">
        <w:rPr>
          <w:rFonts w:ascii="Arial" w:eastAsia="Arial" w:hAnsi="Arial" w:cs="Arial"/>
          <w:sz w:val="24"/>
          <w:szCs w:val="24"/>
          <w:lang w:val="en"/>
        </w:rPr>
        <w:t xml:space="preserve"> </w:t>
      </w:r>
      <w:r w:rsidR="0032497C">
        <w:rPr>
          <w:rFonts w:ascii="Arial" w:eastAsia="Arial" w:hAnsi="Arial" w:cs="Arial"/>
          <w:sz w:val="24"/>
          <w:szCs w:val="24"/>
          <w:lang w:val="en"/>
        </w:rPr>
        <w:t>(</w:t>
      </w:r>
      <w:r w:rsidRPr="007B337C">
        <w:rPr>
          <w:rFonts w:ascii="Arial" w:eastAsia="Arial" w:hAnsi="Arial" w:cs="Arial"/>
          <w:sz w:val="24"/>
          <w:szCs w:val="24"/>
          <w:lang w:val="en"/>
        </w:rPr>
        <w:t>DRRS</w:t>
      </w:r>
      <w:r w:rsidR="0032497C">
        <w:rPr>
          <w:rFonts w:ascii="Arial" w:eastAsia="Arial" w:hAnsi="Arial" w:cs="Arial"/>
          <w:sz w:val="24"/>
          <w:szCs w:val="24"/>
          <w:lang w:val="en"/>
        </w:rPr>
        <w:t>)</w:t>
      </w:r>
      <w:r w:rsidRPr="007B337C">
        <w:rPr>
          <w:rFonts w:ascii="Arial" w:eastAsia="Arial" w:hAnsi="Arial" w:cs="Arial"/>
          <w:sz w:val="24"/>
          <w:szCs w:val="24"/>
          <w:lang w:val="en"/>
        </w:rPr>
        <w:t>, and could delay the implementation of NPRR1309.</w:t>
      </w:r>
    </w:p>
    <w:p w14:paraId="465E35CF" w14:textId="636E9CDD" w:rsidR="007B337C" w:rsidRPr="007B337C" w:rsidRDefault="007B337C" w:rsidP="007B337C">
      <w:pPr>
        <w:spacing w:before="120" w:after="120"/>
        <w:rPr>
          <w:rFonts w:ascii="Arial" w:eastAsia="Arial" w:hAnsi="Arial" w:cs="Arial"/>
          <w:sz w:val="24"/>
          <w:szCs w:val="24"/>
          <w:lang w:val="en"/>
        </w:rPr>
      </w:pPr>
      <w:r w:rsidRPr="007B337C">
        <w:rPr>
          <w:rFonts w:ascii="Arial" w:eastAsia="Arial" w:hAnsi="Arial" w:cs="Arial"/>
          <w:sz w:val="24"/>
          <w:szCs w:val="24"/>
          <w:lang w:val="en"/>
        </w:rPr>
        <w:t xml:space="preserve">TXOGA objects to both the establishment of a payment mechanism to certain </w:t>
      </w:r>
      <w:r w:rsidR="006B0372">
        <w:rPr>
          <w:rFonts w:ascii="Arial" w:eastAsia="Arial" w:hAnsi="Arial" w:cs="Arial"/>
          <w:sz w:val="24"/>
          <w:szCs w:val="24"/>
          <w:lang w:val="en"/>
        </w:rPr>
        <w:t>R</w:t>
      </w:r>
      <w:r w:rsidRPr="007B337C">
        <w:rPr>
          <w:rFonts w:ascii="Arial" w:eastAsia="Arial" w:hAnsi="Arial" w:cs="Arial"/>
          <w:sz w:val="24"/>
          <w:szCs w:val="24"/>
          <w:lang w:val="en"/>
        </w:rPr>
        <w:t xml:space="preserve">esources outside of any operational reliability need, and the coopting of the </w:t>
      </w:r>
      <w:r w:rsidR="006B0372">
        <w:rPr>
          <w:rFonts w:ascii="Arial" w:eastAsia="Arial" w:hAnsi="Arial" w:cs="Arial"/>
          <w:sz w:val="24"/>
          <w:szCs w:val="24"/>
          <w:lang w:val="en"/>
        </w:rPr>
        <w:t>A</w:t>
      </w:r>
      <w:r w:rsidRPr="007B337C">
        <w:rPr>
          <w:rFonts w:ascii="Arial" w:eastAsia="Arial" w:hAnsi="Arial" w:cs="Arial"/>
          <w:sz w:val="24"/>
          <w:szCs w:val="24"/>
          <w:lang w:val="en"/>
        </w:rPr>
        <w:t xml:space="preserve">ncillary </w:t>
      </w:r>
      <w:r w:rsidR="006B0372">
        <w:rPr>
          <w:rFonts w:ascii="Arial" w:eastAsia="Arial" w:hAnsi="Arial" w:cs="Arial"/>
          <w:sz w:val="24"/>
          <w:szCs w:val="24"/>
          <w:lang w:val="en"/>
        </w:rPr>
        <w:t>S</w:t>
      </w:r>
      <w:r w:rsidRPr="007B337C">
        <w:rPr>
          <w:rFonts w:ascii="Arial" w:eastAsia="Arial" w:hAnsi="Arial" w:cs="Arial"/>
          <w:sz w:val="24"/>
          <w:szCs w:val="24"/>
          <w:lang w:val="en"/>
        </w:rPr>
        <w:t xml:space="preserve">ervice program (which as designed is intended to procure the minimum level of reserves in </w:t>
      </w:r>
      <w:r w:rsidR="006B0372">
        <w:rPr>
          <w:rFonts w:ascii="Arial" w:eastAsia="Arial" w:hAnsi="Arial" w:cs="Arial"/>
          <w:sz w:val="24"/>
          <w:szCs w:val="24"/>
          <w:lang w:val="en"/>
        </w:rPr>
        <w:t>R</w:t>
      </w:r>
      <w:r w:rsidRPr="007B337C">
        <w:rPr>
          <w:rFonts w:ascii="Arial" w:eastAsia="Arial" w:hAnsi="Arial" w:cs="Arial"/>
          <w:sz w:val="24"/>
          <w:szCs w:val="24"/>
          <w:lang w:val="en"/>
        </w:rPr>
        <w:t>eal-</w:t>
      </w:r>
      <w:r w:rsidR="006B0372">
        <w:rPr>
          <w:rFonts w:ascii="Arial" w:eastAsia="Arial" w:hAnsi="Arial" w:cs="Arial"/>
          <w:sz w:val="24"/>
          <w:szCs w:val="24"/>
          <w:lang w:val="en"/>
        </w:rPr>
        <w:t>T</w:t>
      </w:r>
      <w:r w:rsidRPr="007B337C">
        <w:rPr>
          <w:rFonts w:ascii="Arial" w:eastAsia="Arial" w:hAnsi="Arial" w:cs="Arial"/>
          <w:sz w:val="24"/>
          <w:szCs w:val="24"/>
          <w:lang w:val="en"/>
        </w:rPr>
        <w:t>ime operations to maintain grid reliability) to serve as the vehicle for these out-of-market payments.</w:t>
      </w:r>
    </w:p>
    <w:p w14:paraId="27430D75" w14:textId="0D271222" w:rsidR="007B337C" w:rsidRPr="007B337C" w:rsidRDefault="007B337C" w:rsidP="007B337C">
      <w:pPr>
        <w:spacing w:before="120" w:after="120"/>
        <w:rPr>
          <w:rFonts w:ascii="Arial" w:eastAsia="Arial" w:hAnsi="Arial" w:cs="Arial"/>
          <w:sz w:val="24"/>
          <w:szCs w:val="24"/>
          <w:lang w:val="en"/>
        </w:rPr>
      </w:pPr>
      <w:r w:rsidRPr="007B337C">
        <w:rPr>
          <w:rFonts w:ascii="Arial" w:eastAsia="Arial" w:hAnsi="Arial" w:cs="Arial"/>
          <w:sz w:val="24"/>
          <w:szCs w:val="24"/>
          <w:lang w:val="en"/>
        </w:rPr>
        <w:t xml:space="preserve">TXOGA believes that the likely outcome of any out-of-market payment mechanism such as contemplated in DRRS+ is a dilution of the incentive for </w:t>
      </w:r>
      <w:r w:rsidR="0032497C">
        <w:rPr>
          <w:rFonts w:ascii="Arial" w:eastAsia="Arial" w:hAnsi="Arial" w:cs="Arial"/>
          <w:sz w:val="24"/>
          <w:szCs w:val="24"/>
          <w:lang w:val="en"/>
        </w:rPr>
        <w:t>R</w:t>
      </w:r>
      <w:r w:rsidRPr="007B337C">
        <w:rPr>
          <w:rFonts w:ascii="Arial" w:eastAsia="Arial" w:hAnsi="Arial" w:cs="Arial"/>
          <w:sz w:val="24"/>
          <w:szCs w:val="24"/>
          <w:lang w:val="en"/>
        </w:rPr>
        <w:t>esources to be available during infrequent and unpredictable grid scarcity events, which has been the defining strength of the ERCOT wholesale electricity market for 25 years.</w:t>
      </w:r>
    </w:p>
    <w:p w14:paraId="3A74D95A" w14:textId="0F5C79B0" w:rsidR="007B337C" w:rsidRPr="007B337C" w:rsidRDefault="007B337C" w:rsidP="007B337C">
      <w:pPr>
        <w:spacing w:before="120" w:after="120"/>
        <w:rPr>
          <w:rFonts w:ascii="Arial" w:eastAsia="Arial" w:hAnsi="Arial" w:cs="Arial"/>
          <w:sz w:val="24"/>
          <w:szCs w:val="24"/>
          <w:lang w:val="en"/>
        </w:rPr>
      </w:pPr>
      <w:r w:rsidRPr="007B337C">
        <w:rPr>
          <w:rFonts w:ascii="Arial" w:eastAsia="Arial" w:hAnsi="Arial" w:cs="Arial"/>
          <w:sz w:val="24"/>
          <w:szCs w:val="24"/>
          <w:lang w:val="en"/>
        </w:rPr>
        <w:t xml:space="preserve">Following several years of stakeholder discussions questioning the efficiency of ERCOT’s Ancillary Service Methodology, TXOGA is opposed to proposed </w:t>
      </w:r>
      <w:r w:rsidR="0032497C">
        <w:rPr>
          <w:rFonts w:ascii="Arial" w:eastAsia="Arial" w:hAnsi="Arial" w:cs="Arial"/>
          <w:sz w:val="24"/>
          <w:szCs w:val="24"/>
          <w:lang w:val="en"/>
        </w:rPr>
        <w:t>P</w:t>
      </w:r>
      <w:r w:rsidRPr="007B337C">
        <w:rPr>
          <w:rFonts w:ascii="Arial" w:eastAsia="Arial" w:hAnsi="Arial" w:cs="Arial"/>
          <w:sz w:val="24"/>
          <w:szCs w:val="24"/>
          <w:lang w:val="en"/>
        </w:rPr>
        <w:t>rotocol language that would</w:t>
      </w:r>
      <w:r>
        <w:rPr>
          <w:rFonts w:ascii="Arial" w:eastAsia="Arial" w:hAnsi="Arial" w:cs="Arial"/>
          <w:sz w:val="24"/>
          <w:szCs w:val="24"/>
          <w:lang w:val="en"/>
        </w:rPr>
        <w:t xml:space="preserve"> </w:t>
      </w:r>
      <w:r w:rsidRPr="007B337C">
        <w:rPr>
          <w:rFonts w:ascii="Arial" w:eastAsia="Arial" w:hAnsi="Arial" w:cs="Arial"/>
          <w:sz w:val="24"/>
          <w:szCs w:val="24"/>
          <w:lang w:val="en"/>
        </w:rPr>
        <w:t xml:space="preserve">allow ERCOT to extend arbitrary levels of </w:t>
      </w:r>
      <w:r w:rsidR="0032497C">
        <w:rPr>
          <w:rFonts w:ascii="Arial" w:eastAsia="Arial" w:hAnsi="Arial" w:cs="Arial"/>
          <w:sz w:val="24"/>
          <w:szCs w:val="24"/>
          <w:lang w:val="en"/>
        </w:rPr>
        <w:t>A</w:t>
      </w:r>
      <w:r w:rsidRPr="007B337C">
        <w:rPr>
          <w:rFonts w:ascii="Arial" w:eastAsia="Arial" w:hAnsi="Arial" w:cs="Arial"/>
          <w:sz w:val="24"/>
          <w:szCs w:val="24"/>
          <w:lang w:val="en"/>
        </w:rPr>
        <w:t xml:space="preserve">ncillary </w:t>
      </w:r>
      <w:r w:rsidR="0032497C">
        <w:rPr>
          <w:rFonts w:ascii="Arial" w:eastAsia="Arial" w:hAnsi="Arial" w:cs="Arial"/>
          <w:sz w:val="24"/>
          <w:szCs w:val="24"/>
          <w:lang w:val="en"/>
        </w:rPr>
        <w:t>S</w:t>
      </w:r>
      <w:r w:rsidRPr="007B337C">
        <w:rPr>
          <w:rFonts w:ascii="Arial" w:eastAsia="Arial" w:hAnsi="Arial" w:cs="Arial"/>
          <w:sz w:val="24"/>
          <w:szCs w:val="24"/>
          <w:lang w:val="en"/>
        </w:rPr>
        <w:t xml:space="preserve">ervice revenues to units that are not meeting any quantified </w:t>
      </w:r>
      <w:r w:rsidR="0032497C">
        <w:rPr>
          <w:rFonts w:ascii="Arial" w:eastAsia="Arial" w:hAnsi="Arial" w:cs="Arial"/>
          <w:sz w:val="24"/>
          <w:szCs w:val="24"/>
          <w:lang w:val="en"/>
        </w:rPr>
        <w:t>R</w:t>
      </w:r>
      <w:r w:rsidRPr="007B337C">
        <w:rPr>
          <w:rFonts w:ascii="Arial" w:eastAsia="Arial" w:hAnsi="Arial" w:cs="Arial"/>
          <w:sz w:val="24"/>
          <w:szCs w:val="24"/>
          <w:lang w:val="en"/>
        </w:rPr>
        <w:t>eal-</w:t>
      </w:r>
      <w:r w:rsidR="0032497C">
        <w:rPr>
          <w:rFonts w:ascii="Arial" w:eastAsia="Arial" w:hAnsi="Arial" w:cs="Arial"/>
          <w:sz w:val="24"/>
          <w:szCs w:val="24"/>
          <w:lang w:val="en"/>
        </w:rPr>
        <w:t>T</w:t>
      </w:r>
      <w:r w:rsidRPr="007B337C">
        <w:rPr>
          <w:rFonts w:ascii="Arial" w:eastAsia="Arial" w:hAnsi="Arial" w:cs="Arial"/>
          <w:sz w:val="24"/>
          <w:szCs w:val="24"/>
          <w:lang w:val="en"/>
        </w:rPr>
        <w:t xml:space="preserve">ime operational need, during periods in which there are no grid reliability concerns, and providing this revenue to megawatts of </w:t>
      </w:r>
      <w:r w:rsidR="0032497C">
        <w:rPr>
          <w:rFonts w:ascii="Arial" w:eastAsia="Arial" w:hAnsi="Arial" w:cs="Arial"/>
          <w:sz w:val="24"/>
          <w:szCs w:val="24"/>
          <w:lang w:val="en"/>
        </w:rPr>
        <w:t>R</w:t>
      </w:r>
      <w:r w:rsidRPr="007B337C">
        <w:rPr>
          <w:rFonts w:ascii="Arial" w:eastAsia="Arial" w:hAnsi="Arial" w:cs="Arial"/>
          <w:sz w:val="24"/>
          <w:szCs w:val="24"/>
          <w:lang w:val="en"/>
        </w:rPr>
        <w:t xml:space="preserve">esources that are already being compensated for energy or another </w:t>
      </w:r>
      <w:r w:rsidR="0032497C">
        <w:rPr>
          <w:rFonts w:ascii="Arial" w:eastAsia="Arial" w:hAnsi="Arial" w:cs="Arial"/>
          <w:sz w:val="24"/>
          <w:szCs w:val="24"/>
          <w:lang w:val="en"/>
        </w:rPr>
        <w:lastRenderedPageBreak/>
        <w:t>A</w:t>
      </w:r>
      <w:r w:rsidRPr="007B337C">
        <w:rPr>
          <w:rFonts w:ascii="Arial" w:eastAsia="Arial" w:hAnsi="Arial" w:cs="Arial"/>
          <w:sz w:val="24"/>
          <w:szCs w:val="24"/>
          <w:lang w:val="en"/>
        </w:rPr>
        <w:t xml:space="preserve">ncillary </w:t>
      </w:r>
      <w:r w:rsidR="0032497C">
        <w:rPr>
          <w:rFonts w:ascii="Arial" w:eastAsia="Arial" w:hAnsi="Arial" w:cs="Arial"/>
          <w:sz w:val="24"/>
          <w:szCs w:val="24"/>
          <w:lang w:val="en"/>
        </w:rPr>
        <w:t>S</w:t>
      </w:r>
      <w:r w:rsidRPr="007B337C">
        <w:rPr>
          <w:rFonts w:ascii="Arial" w:eastAsia="Arial" w:hAnsi="Arial" w:cs="Arial"/>
          <w:sz w:val="24"/>
          <w:szCs w:val="24"/>
          <w:lang w:val="en"/>
        </w:rPr>
        <w:t>ervice. These arbitrary out-of-market payments seem specifically inconsistent with the requirement in HB1500 (88th Regular Session) that procurement of DRRS must “…reduce the amount of reliability unit commitment by the amount of dispatchable reliability reserve services procured under this section.” [HB1500 Section 22].</w:t>
      </w:r>
    </w:p>
    <w:p w14:paraId="2FC32577" w14:textId="431DFFBF" w:rsidR="007B337C" w:rsidRPr="007B337C" w:rsidRDefault="007B337C" w:rsidP="007B337C">
      <w:pPr>
        <w:spacing w:before="120" w:after="120"/>
        <w:rPr>
          <w:rFonts w:ascii="Arial" w:eastAsia="Arial" w:hAnsi="Arial" w:cs="Arial"/>
          <w:sz w:val="24"/>
          <w:szCs w:val="24"/>
          <w:lang w:val="en"/>
        </w:rPr>
      </w:pPr>
      <w:r w:rsidRPr="007B337C">
        <w:rPr>
          <w:rFonts w:ascii="Arial" w:eastAsia="Arial" w:hAnsi="Arial" w:cs="Arial"/>
          <w:sz w:val="24"/>
          <w:szCs w:val="24"/>
          <w:lang w:val="en"/>
        </w:rPr>
        <w:t xml:space="preserve">TXOGA would remind ERCOT and stakeholders of the legislative history of </w:t>
      </w:r>
      <w:r w:rsidR="0032497C">
        <w:rPr>
          <w:rFonts w:ascii="Arial" w:eastAsia="Arial" w:hAnsi="Arial" w:cs="Arial"/>
          <w:sz w:val="24"/>
          <w:szCs w:val="24"/>
          <w:lang w:val="en"/>
        </w:rPr>
        <w:t>DRRS</w:t>
      </w:r>
      <w:r w:rsidRPr="007B337C">
        <w:rPr>
          <w:rFonts w:ascii="Arial" w:eastAsia="Arial" w:hAnsi="Arial" w:cs="Arial"/>
          <w:sz w:val="24"/>
          <w:szCs w:val="24"/>
          <w:lang w:val="en"/>
        </w:rPr>
        <w:t>.</w:t>
      </w:r>
    </w:p>
    <w:p w14:paraId="6C8122EA" w14:textId="44E3CBA6" w:rsidR="007B337C" w:rsidRPr="007B337C" w:rsidRDefault="007B337C" w:rsidP="007B337C">
      <w:pPr>
        <w:spacing w:before="120" w:after="120"/>
        <w:rPr>
          <w:rFonts w:ascii="Arial" w:eastAsia="Arial" w:hAnsi="Arial" w:cs="Arial"/>
          <w:sz w:val="24"/>
          <w:szCs w:val="24"/>
          <w:lang w:val="en"/>
        </w:rPr>
      </w:pPr>
      <w:r w:rsidRPr="007B337C">
        <w:rPr>
          <w:rFonts w:ascii="Arial" w:eastAsia="Arial" w:hAnsi="Arial" w:cs="Arial"/>
          <w:sz w:val="24"/>
          <w:szCs w:val="24"/>
          <w:lang w:val="en"/>
        </w:rPr>
        <w:t>The Texas Legislature included DRRS, which was not intended to be a resource adequacy tool, as a requirement in HB1500 (88[R]) because there was broad stakeholder consensus (including consumers) that the extensive use of Reliability Unit Commitment (RUC) by ERCOT to maintain real-time reliability was a clear indication of a gap in the wholesale market design. A DRRS-like product was recommended by the ERCOT Independent Market Monitor</w:t>
      </w:r>
      <w:r w:rsidR="0032497C">
        <w:rPr>
          <w:rFonts w:ascii="Arial" w:eastAsia="Arial" w:hAnsi="Arial" w:cs="Arial"/>
          <w:sz w:val="24"/>
          <w:szCs w:val="24"/>
          <w:lang w:val="en"/>
        </w:rPr>
        <w:t xml:space="preserve"> (IMM)</w:t>
      </w:r>
      <w:r w:rsidRPr="007B337C">
        <w:rPr>
          <w:rFonts w:ascii="Arial" w:eastAsia="Arial" w:hAnsi="Arial" w:cs="Arial"/>
          <w:sz w:val="24"/>
          <w:szCs w:val="24"/>
          <w:lang w:val="en"/>
        </w:rPr>
        <w:t>.</w:t>
      </w:r>
    </w:p>
    <w:p w14:paraId="32F080BE" w14:textId="3978E0D7" w:rsidR="007B337C" w:rsidRPr="007B337C" w:rsidRDefault="007B337C" w:rsidP="007B337C">
      <w:pPr>
        <w:spacing w:before="120" w:after="120"/>
        <w:rPr>
          <w:rFonts w:ascii="Arial" w:eastAsia="Arial" w:hAnsi="Arial" w:cs="Arial"/>
          <w:sz w:val="24"/>
          <w:szCs w:val="24"/>
        </w:rPr>
      </w:pPr>
      <w:r w:rsidRPr="007B337C">
        <w:rPr>
          <w:rFonts w:ascii="Arial" w:eastAsia="Arial" w:hAnsi="Arial" w:cs="Arial"/>
          <w:sz w:val="24"/>
          <w:szCs w:val="24"/>
          <w:lang w:val="en"/>
        </w:rPr>
        <w:t>The Texas Legislature included an aggressive deadline for completion of DRRS in HB1500 (December 1, 2024) showing the clear legislative intent was that DRRS be implemented first, and then other market design changes could be considered after the market impacts of DRRS</w:t>
      </w:r>
      <w:r>
        <w:rPr>
          <w:rFonts w:ascii="Arial" w:eastAsia="Arial" w:hAnsi="Arial" w:cs="Arial"/>
          <w:sz w:val="24"/>
          <w:szCs w:val="24"/>
          <w:lang w:val="en"/>
        </w:rPr>
        <w:t xml:space="preserve"> </w:t>
      </w:r>
      <w:r w:rsidRPr="007B337C">
        <w:rPr>
          <w:rFonts w:ascii="Arial" w:eastAsia="Arial" w:hAnsi="Arial" w:cs="Arial"/>
          <w:sz w:val="24"/>
          <w:szCs w:val="24"/>
        </w:rPr>
        <w:t xml:space="preserve">had been determined. </w:t>
      </w:r>
    </w:p>
    <w:p w14:paraId="4F87B87D" w14:textId="6629DD45" w:rsidR="007B337C" w:rsidRPr="007B337C" w:rsidRDefault="007B337C" w:rsidP="007B337C">
      <w:pPr>
        <w:spacing w:before="120" w:after="120"/>
        <w:rPr>
          <w:rFonts w:ascii="Arial" w:eastAsia="Arial" w:hAnsi="Arial" w:cs="Arial"/>
          <w:sz w:val="24"/>
          <w:szCs w:val="24"/>
        </w:rPr>
      </w:pPr>
      <w:r w:rsidRPr="007B337C">
        <w:rPr>
          <w:rFonts w:ascii="Arial" w:eastAsia="Arial" w:hAnsi="Arial" w:cs="Arial"/>
          <w:sz w:val="24"/>
          <w:szCs w:val="24"/>
        </w:rPr>
        <w:t xml:space="preserve">With NPRR1310, ERCOT would further complicate and delay DRRS implementation by adding a type of capacity payment to the DRRS proposal that could be extended broadly to some or even all </w:t>
      </w:r>
      <w:r w:rsidR="0032497C">
        <w:rPr>
          <w:rFonts w:ascii="Arial" w:eastAsia="Arial" w:hAnsi="Arial" w:cs="Arial"/>
          <w:sz w:val="24"/>
          <w:szCs w:val="24"/>
        </w:rPr>
        <w:t>R</w:t>
      </w:r>
      <w:r w:rsidRPr="007B337C">
        <w:rPr>
          <w:rFonts w:ascii="Arial" w:eastAsia="Arial" w:hAnsi="Arial" w:cs="Arial"/>
          <w:sz w:val="24"/>
          <w:szCs w:val="24"/>
        </w:rPr>
        <w:t xml:space="preserve">esources that meet specific DRRS qualification requirements. Although ERCOT has estimated the same implementation time for both NPRR1309 (DRRS generally as intended by HB1500) and NPRR1310, it is difficult to see how the NPRR1310 proposal, which is likely to face extended stakeholder discussions, followed by Commission review and possible remand, and even possible appellate court review, could be implemented in the same timeline as a proposal that is specifically required in current statute. </w:t>
      </w:r>
    </w:p>
    <w:p w14:paraId="0B3F2A33" w14:textId="6F1A8D62" w:rsidR="00F805AE" w:rsidRPr="00F805AE" w:rsidRDefault="007B337C" w:rsidP="007B337C">
      <w:pPr>
        <w:spacing w:before="120" w:after="120"/>
        <w:rPr>
          <w:rFonts w:ascii="Arial" w:eastAsia="Arial" w:hAnsi="Arial" w:cs="Arial"/>
          <w:sz w:val="24"/>
          <w:szCs w:val="24"/>
          <w:lang w:val="en"/>
        </w:rPr>
      </w:pPr>
      <w:r w:rsidRPr="007B337C">
        <w:rPr>
          <w:rFonts w:ascii="Arial" w:eastAsia="Arial" w:hAnsi="Arial" w:cs="Arial"/>
          <w:sz w:val="24"/>
          <w:szCs w:val="24"/>
        </w:rPr>
        <w:t>TXOGA asks that ERCOT withdraw NPRR1310 and instead focus its efforts, and the efforts of stakeholders, on the clear legislative language of HB1500 requiring them to expeditiously implement a 2-hour advance reserve product.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3651A" w14:paraId="3AA8BB2B" w14:textId="77777777" w:rsidTr="00B5080A">
        <w:trPr>
          <w:trHeight w:val="350"/>
        </w:trPr>
        <w:tc>
          <w:tcPr>
            <w:tcW w:w="10440" w:type="dxa"/>
            <w:tcBorders>
              <w:bottom w:val="single" w:sz="4" w:space="0" w:color="auto"/>
            </w:tcBorders>
            <w:shd w:val="clear" w:color="auto" w:fill="FFFFFF"/>
            <w:vAlign w:val="center"/>
          </w:tcPr>
          <w:p w14:paraId="472D948D" w14:textId="77777777" w:rsidR="00BD7258" w:rsidRPr="00C3651A" w:rsidRDefault="00BD7258" w:rsidP="00B5080A">
            <w:pPr>
              <w:pStyle w:val="Header"/>
              <w:jc w:val="center"/>
              <w:rPr>
                <w:sz w:val="24"/>
                <w:szCs w:val="24"/>
              </w:rPr>
            </w:pPr>
            <w:r w:rsidRPr="00C3651A">
              <w:rPr>
                <w:sz w:val="24"/>
                <w:szCs w:val="24"/>
              </w:rPr>
              <w:t>Revised Cover Page Language</w:t>
            </w:r>
          </w:p>
        </w:tc>
      </w:tr>
    </w:tbl>
    <w:p w14:paraId="30E26E02" w14:textId="6FA4E7E6" w:rsidR="003D41BE" w:rsidRPr="00C3651A" w:rsidRDefault="003F502C" w:rsidP="003F502C">
      <w:pPr>
        <w:pStyle w:val="NormalArial"/>
        <w:spacing w:before="120" w:after="120"/>
        <w:rPr>
          <w:sz w:val="24"/>
          <w:szCs w:val="24"/>
        </w:rPr>
      </w:pPr>
      <w:r>
        <w:rPr>
          <w:sz w:val="24"/>
          <w:szCs w:val="24"/>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3651A" w14:paraId="1F7BD14B" w14:textId="77777777">
        <w:trPr>
          <w:trHeight w:val="350"/>
        </w:trPr>
        <w:tc>
          <w:tcPr>
            <w:tcW w:w="10440" w:type="dxa"/>
            <w:tcBorders>
              <w:bottom w:val="single" w:sz="4" w:space="0" w:color="auto"/>
            </w:tcBorders>
            <w:shd w:val="clear" w:color="auto" w:fill="FFFFFF"/>
            <w:vAlign w:val="center"/>
          </w:tcPr>
          <w:p w14:paraId="763662DE" w14:textId="77777777" w:rsidR="00152993" w:rsidRPr="00C3651A" w:rsidRDefault="00152993">
            <w:pPr>
              <w:pStyle w:val="Header"/>
              <w:jc w:val="center"/>
              <w:rPr>
                <w:sz w:val="24"/>
                <w:szCs w:val="24"/>
              </w:rPr>
            </w:pPr>
            <w:r w:rsidRPr="00C3651A">
              <w:rPr>
                <w:sz w:val="24"/>
                <w:szCs w:val="24"/>
              </w:rPr>
              <w:t>Revised Proposed Protocol Language</w:t>
            </w:r>
          </w:p>
        </w:tc>
      </w:tr>
    </w:tbl>
    <w:p w14:paraId="10805993" w14:textId="60B08FCA" w:rsidR="00152993" w:rsidRPr="003F502C" w:rsidRDefault="003F502C" w:rsidP="003F502C">
      <w:pPr>
        <w:pStyle w:val="NormalArial"/>
        <w:spacing w:before="120" w:after="120"/>
        <w:rPr>
          <w:sz w:val="24"/>
          <w:szCs w:val="24"/>
        </w:rPr>
      </w:pPr>
      <w:r>
        <w:rPr>
          <w:sz w:val="24"/>
          <w:szCs w:val="24"/>
        </w:rPr>
        <w:t>None.</w:t>
      </w:r>
    </w:p>
    <w:sectPr w:rsidR="00152993" w:rsidRPr="003F502C"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9934" w14:textId="77777777" w:rsidR="00F25619" w:rsidRDefault="00F25619">
      <w:r>
        <w:separator/>
      </w:r>
    </w:p>
  </w:endnote>
  <w:endnote w:type="continuationSeparator" w:id="0">
    <w:p w14:paraId="58C879ED" w14:textId="77777777" w:rsidR="00F25619" w:rsidRDefault="00F2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EDEB" w14:textId="5B56342F"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7B337C">
      <w:rPr>
        <w:rFonts w:ascii="Arial" w:hAnsi="Arial"/>
        <w:noProof/>
        <w:sz w:val="18"/>
      </w:rPr>
      <w:t>1310NPRR-14 TXOGA Comments 020426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49AB295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9BB2" w14:textId="77777777" w:rsidR="00F25619" w:rsidRDefault="00F25619">
      <w:r>
        <w:separator/>
      </w:r>
    </w:p>
  </w:footnote>
  <w:footnote w:type="continuationSeparator" w:id="0">
    <w:p w14:paraId="2602FFB9" w14:textId="77777777" w:rsidR="00F25619" w:rsidRDefault="00F2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6A83" w14:textId="77777777" w:rsidR="00EE6681" w:rsidRDefault="00EE6681">
    <w:pPr>
      <w:pStyle w:val="Header"/>
      <w:jc w:val="center"/>
      <w:rPr>
        <w:sz w:val="32"/>
      </w:rPr>
    </w:pPr>
    <w:r>
      <w:rPr>
        <w:sz w:val="32"/>
      </w:rPr>
      <w:t>NPRR Comments</w:t>
    </w:r>
  </w:p>
  <w:p w14:paraId="43F5073F"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6A11B0"/>
    <w:multiLevelType w:val="hybridMultilevel"/>
    <w:tmpl w:val="11880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42765"/>
    <w:multiLevelType w:val="hybridMultilevel"/>
    <w:tmpl w:val="2A4ADAD2"/>
    <w:lvl w:ilvl="0" w:tplc="91E6954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5477F"/>
    <w:multiLevelType w:val="hybridMultilevel"/>
    <w:tmpl w:val="4C20B4B6"/>
    <w:lvl w:ilvl="0" w:tplc="3F4E0A4E">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41012"/>
    <w:multiLevelType w:val="hybridMultilevel"/>
    <w:tmpl w:val="264ED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D3AC0"/>
    <w:multiLevelType w:val="hybridMultilevel"/>
    <w:tmpl w:val="15B6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557DB"/>
    <w:multiLevelType w:val="hybridMultilevel"/>
    <w:tmpl w:val="8526788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D2BCB"/>
    <w:multiLevelType w:val="hybridMultilevel"/>
    <w:tmpl w:val="723A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A4486"/>
    <w:multiLevelType w:val="hybridMultilevel"/>
    <w:tmpl w:val="06BE287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196EF7"/>
    <w:multiLevelType w:val="hybridMultilevel"/>
    <w:tmpl w:val="9F5C3DF6"/>
    <w:lvl w:ilvl="0" w:tplc="FFFFFFFF">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6A6CF5"/>
    <w:multiLevelType w:val="hybridMultilevel"/>
    <w:tmpl w:val="86E8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129F0"/>
    <w:multiLevelType w:val="hybridMultilevel"/>
    <w:tmpl w:val="239A54E8"/>
    <w:lvl w:ilvl="0" w:tplc="65D632D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1540D"/>
    <w:multiLevelType w:val="hybridMultilevel"/>
    <w:tmpl w:val="5B9AB7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E6C6E"/>
    <w:multiLevelType w:val="hybridMultilevel"/>
    <w:tmpl w:val="0484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93119"/>
    <w:multiLevelType w:val="hybridMultilevel"/>
    <w:tmpl w:val="5C885A2C"/>
    <w:lvl w:ilvl="0" w:tplc="0409000F">
      <w:start w:val="1"/>
      <w:numFmt w:val="decimal"/>
      <w:lvlText w:val="%1."/>
      <w:lvlJc w:val="left"/>
      <w:pPr>
        <w:ind w:left="720" w:hanging="360"/>
      </w:pPr>
      <w:rPr>
        <w:rFonts w:hint="default"/>
      </w:rPr>
    </w:lvl>
    <w:lvl w:ilvl="1" w:tplc="9C8890C0">
      <w:start w:val="1"/>
      <w:numFmt w:val="lowerLetter"/>
      <w:lvlText w:val="%2."/>
      <w:lvlJc w:val="left"/>
      <w:pPr>
        <w:ind w:left="144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B2881"/>
    <w:multiLevelType w:val="hybridMultilevel"/>
    <w:tmpl w:val="45D2FBEC"/>
    <w:lvl w:ilvl="0" w:tplc="FFFFFFFF">
      <w:start w:val="2"/>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F15135"/>
    <w:multiLevelType w:val="hybridMultilevel"/>
    <w:tmpl w:val="264ED26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732B5A"/>
    <w:multiLevelType w:val="hybridMultilevel"/>
    <w:tmpl w:val="D83E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E87459"/>
    <w:multiLevelType w:val="hybridMultilevel"/>
    <w:tmpl w:val="85267880"/>
    <w:lvl w:ilvl="0" w:tplc="F22C1C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606467">
    <w:abstractNumId w:val="0"/>
  </w:num>
  <w:num w:numId="2" w16cid:durableId="868565627">
    <w:abstractNumId w:val="18"/>
  </w:num>
  <w:num w:numId="3" w16cid:durableId="893198454">
    <w:abstractNumId w:val="10"/>
  </w:num>
  <w:num w:numId="4" w16cid:durableId="450444779">
    <w:abstractNumId w:val="5"/>
  </w:num>
  <w:num w:numId="5" w16cid:durableId="144205582">
    <w:abstractNumId w:val="13"/>
  </w:num>
  <w:num w:numId="6" w16cid:durableId="174733428">
    <w:abstractNumId w:val="17"/>
  </w:num>
  <w:num w:numId="7" w16cid:durableId="1109740463">
    <w:abstractNumId w:val="12"/>
  </w:num>
  <w:num w:numId="8" w16cid:durableId="2029524219">
    <w:abstractNumId w:val="1"/>
  </w:num>
  <w:num w:numId="9" w16cid:durableId="60952975">
    <w:abstractNumId w:val="14"/>
  </w:num>
  <w:num w:numId="10" w16cid:durableId="1135098730">
    <w:abstractNumId w:val="4"/>
  </w:num>
  <w:num w:numId="11" w16cid:durableId="1555389229">
    <w:abstractNumId w:val="19"/>
  </w:num>
  <w:num w:numId="12" w16cid:durableId="294944624">
    <w:abstractNumId w:val="8"/>
  </w:num>
  <w:num w:numId="13" w16cid:durableId="769197804">
    <w:abstractNumId w:val="16"/>
  </w:num>
  <w:num w:numId="14" w16cid:durableId="1933539264">
    <w:abstractNumId w:val="11"/>
  </w:num>
  <w:num w:numId="15" w16cid:durableId="571544925">
    <w:abstractNumId w:val="3"/>
  </w:num>
  <w:num w:numId="16" w16cid:durableId="627704237">
    <w:abstractNumId w:val="15"/>
  </w:num>
  <w:num w:numId="17" w16cid:durableId="193463215">
    <w:abstractNumId w:val="2"/>
  </w:num>
  <w:num w:numId="18" w16cid:durableId="1389571406">
    <w:abstractNumId w:val="9"/>
  </w:num>
  <w:num w:numId="19" w16cid:durableId="1757285871">
    <w:abstractNumId w:val="7"/>
  </w:num>
  <w:num w:numId="20" w16cid:durableId="991524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0E9"/>
    <w:rsid w:val="000014E9"/>
    <w:rsid w:val="00001D6A"/>
    <w:rsid w:val="00002498"/>
    <w:rsid w:val="000037EE"/>
    <w:rsid w:val="00004725"/>
    <w:rsid w:val="00005204"/>
    <w:rsid w:val="00006202"/>
    <w:rsid w:val="00006AF8"/>
    <w:rsid w:val="00010B55"/>
    <w:rsid w:val="00020A8B"/>
    <w:rsid w:val="00021A47"/>
    <w:rsid w:val="00021D73"/>
    <w:rsid w:val="00023B6C"/>
    <w:rsid w:val="00031D18"/>
    <w:rsid w:val="00032E0F"/>
    <w:rsid w:val="00037668"/>
    <w:rsid w:val="0003770E"/>
    <w:rsid w:val="0004119C"/>
    <w:rsid w:val="0004776C"/>
    <w:rsid w:val="00053F60"/>
    <w:rsid w:val="00062D59"/>
    <w:rsid w:val="00067E14"/>
    <w:rsid w:val="00070096"/>
    <w:rsid w:val="0007021E"/>
    <w:rsid w:val="00075A94"/>
    <w:rsid w:val="0008140B"/>
    <w:rsid w:val="000830C2"/>
    <w:rsid w:val="00085601"/>
    <w:rsid w:val="00090722"/>
    <w:rsid w:val="000A357B"/>
    <w:rsid w:val="000B005E"/>
    <w:rsid w:val="000B2E02"/>
    <w:rsid w:val="000B49E7"/>
    <w:rsid w:val="000C2D58"/>
    <w:rsid w:val="000C39CA"/>
    <w:rsid w:val="000C4AF3"/>
    <w:rsid w:val="000D6CA5"/>
    <w:rsid w:val="000E2F28"/>
    <w:rsid w:val="000E5389"/>
    <w:rsid w:val="000E6D06"/>
    <w:rsid w:val="001061D8"/>
    <w:rsid w:val="00110E09"/>
    <w:rsid w:val="00111B5F"/>
    <w:rsid w:val="00116DD8"/>
    <w:rsid w:val="001209D8"/>
    <w:rsid w:val="00122C0D"/>
    <w:rsid w:val="00123D41"/>
    <w:rsid w:val="001242E2"/>
    <w:rsid w:val="0012436B"/>
    <w:rsid w:val="001318EE"/>
    <w:rsid w:val="00132465"/>
    <w:rsid w:val="00132855"/>
    <w:rsid w:val="00133186"/>
    <w:rsid w:val="00134840"/>
    <w:rsid w:val="001357A4"/>
    <w:rsid w:val="00135F70"/>
    <w:rsid w:val="00136252"/>
    <w:rsid w:val="00140572"/>
    <w:rsid w:val="001405AA"/>
    <w:rsid w:val="00141A7F"/>
    <w:rsid w:val="00144058"/>
    <w:rsid w:val="00152993"/>
    <w:rsid w:val="0015322D"/>
    <w:rsid w:val="00154A7D"/>
    <w:rsid w:val="00156746"/>
    <w:rsid w:val="00156B9E"/>
    <w:rsid w:val="00156F4F"/>
    <w:rsid w:val="001606A7"/>
    <w:rsid w:val="001644FB"/>
    <w:rsid w:val="00164670"/>
    <w:rsid w:val="00164A27"/>
    <w:rsid w:val="001654FB"/>
    <w:rsid w:val="00167559"/>
    <w:rsid w:val="00170297"/>
    <w:rsid w:val="00172EBD"/>
    <w:rsid w:val="00173F0F"/>
    <w:rsid w:val="00180FAE"/>
    <w:rsid w:val="001927DA"/>
    <w:rsid w:val="001A0DA8"/>
    <w:rsid w:val="001A227D"/>
    <w:rsid w:val="001A55E4"/>
    <w:rsid w:val="001A58B1"/>
    <w:rsid w:val="001A5B2D"/>
    <w:rsid w:val="001B1091"/>
    <w:rsid w:val="001B476B"/>
    <w:rsid w:val="001B505C"/>
    <w:rsid w:val="001B5DD5"/>
    <w:rsid w:val="001B688A"/>
    <w:rsid w:val="001C002B"/>
    <w:rsid w:val="001C43F6"/>
    <w:rsid w:val="001C47FE"/>
    <w:rsid w:val="001D004F"/>
    <w:rsid w:val="001D250C"/>
    <w:rsid w:val="001D38C9"/>
    <w:rsid w:val="001D776B"/>
    <w:rsid w:val="001D7ED6"/>
    <w:rsid w:val="001E068A"/>
    <w:rsid w:val="001E1625"/>
    <w:rsid w:val="001E2032"/>
    <w:rsid w:val="001E23F4"/>
    <w:rsid w:val="001E6876"/>
    <w:rsid w:val="001F25C7"/>
    <w:rsid w:val="001F3598"/>
    <w:rsid w:val="001F5CCB"/>
    <w:rsid w:val="001F6196"/>
    <w:rsid w:val="001F6DD0"/>
    <w:rsid w:val="002019D7"/>
    <w:rsid w:val="002161B6"/>
    <w:rsid w:val="002201E1"/>
    <w:rsid w:val="0022067F"/>
    <w:rsid w:val="00221669"/>
    <w:rsid w:val="00221924"/>
    <w:rsid w:val="00224126"/>
    <w:rsid w:val="00230B7E"/>
    <w:rsid w:val="00231DF5"/>
    <w:rsid w:val="00232724"/>
    <w:rsid w:val="00233EB2"/>
    <w:rsid w:val="0023763A"/>
    <w:rsid w:val="00237F2B"/>
    <w:rsid w:val="00244F61"/>
    <w:rsid w:val="0025181A"/>
    <w:rsid w:val="002548ED"/>
    <w:rsid w:val="002607F2"/>
    <w:rsid w:val="00261B57"/>
    <w:rsid w:val="00264339"/>
    <w:rsid w:val="00275E56"/>
    <w:rsid w:val="002806A6"/>
    <w:rsid w:val="0028393B"/>
    <w:rsid w:val="00284915"/>
    <w:rsid w:val="002934FE"/>
    <w:rsid w:val="002A0B56"/>
    <w:rsid w:val="002A5AE5"/>
    <w:rsid w:val="002A65CE"/>
    <w:rsid w:val="002B04D3"/>
    <w:rsid w:val="002B6443"/>
    <w:rsid w:val="002C204E"/>
    <w:rsid w:val="002C281C"/>
    <w:rsid w:val="002C3B72"/>
    <w:rsid w:val="002C57BD"/>
    <w:rsid w:val="002C69B3"/>
    <w:rsid w:val="002D26FA"/>
    <w:rsid w:val="002D2DBC"/>
    <w:rsid w:val="002D7C20"/>
    <w:rsid w:val="002E12D6"/>
    <w:rsid w:val="002F3511"/>
    <w:rsid w:val="002F4F46"/>
    <w:rsid w:val="00300D42"/>
    <w:rsid w:val="0030106B"/>
    <w:rsid w:val="003010C0"/>
    <w:rsid w:val="00303813"/>
    <w:rsid w:val="00304B17"/>
    <w:rsid w:val="00305135"/>
    <w:rsid w:val="00305E5E"/>
    <w:rsid w:val="00311225"/>
    <w:rsid w:val="00312B16"/>
    <w:rsid w:val="00312E1D"/>
    <w:rsid w:val="003133C8"/>
    <w:rsid w:val="003147A1"/>
    <w:rsid w:val="0031559C"/>
    <w:rsid w:val="00321130"/>
    <w:rsid w:val="0032497C"/>
    <w:rsid w:val="00325818"/>
    <w:rsid w:val="00332A97"/>
    <w:rsid w:val="003403F4"/>
    <w:rsid w:val="00340679"/>
    <w:rsid w:val="00344F2F"/>
    <w:rsid w:val="00350C00"/>
    <w:rsid w:val="00351EAF"/>
    <w:rsid w:val="00352D17"/>
    <w:rsid w:val="00356FEA"/>
    <w:rsid w:val="00360CE5"/>
    <w:rsid w:val="00360F18"/>
    <w:rsid w:val="00361CFC"/>
    <w:rsid w:val="00363BFE"/>
    <w:rsid w:val="00364300"/>
    <w:rsid w:val="00366113"/>
    <w:rsid w:val="00372658"/>
    <w:rsid w:val="003741CE"/>
    <w:rsid w:val="00396E65"/>
    <w:rsid w:val="003A726C"/>
    <w:rsid w:val="003A758C"/>
    <w:rsid w:val="003B760C"/>
    <w:rsid w:val="003C0574"/>
    <w:rsid w:val="003C26A5"/>
    <w:rsid w:val="003C270C"/>
    <w:rsid w:val="003D0994"/>
    <w:rsid w:val="003D172A"/>
    <w:rsid w:val="003D41BE"/>
    <w:rsid w:val="003D5186"/>
    <w:rsid w:val="003D65B7"/>
    <w:rsid w:val="003D731C"/>
    <w:rsid w:val="003D7EBF"/>
    <w:rsid w:val="003E1192"/>
    <w:rsid w:val="003E205E"/>
    <w:rsid w:val="003E2082"/>
    <w:rsid w:val="003E3AC8"/>
    <w:rsid w:val="003F2F50"/>
    <w:rsid w:val="003F460D"/>
    <w:rsid w:val="003F502C"/>
    <w:rsid w:val="003F5891"/>
    <w:rsid w:val="003F6135"/>
    <w:rsid w:val="003F78B9"/>
    <w:rsid w:val="004018F3"/>
    <w:rsid w:val="00407AD1"/>
    <w:rsid w:val="00412DF8"/>
    <w:rsid w:val="004140C1"/>
    <w:rsid w:val="00414C37"/>
    <w:rsid w:val="004155A0"/>
    <w:rsid w:val="00415B0A"/>
    <w:rsid w:val="00416851"/>
    <w:rsid w:val="004201D5"/>
    <w:rsid w:val="00423824"/>
    <w:rsid w:val="00426462"/>
    <w:rsid w:val="0043567D"/>
    <w:rsid w:val="00436138"/>
    <w:rsid w:val="004469AD"/>
    <w:rsid w:val="00447E9F"/>
    <w:rsid w:val="00461E43"/>
    <w:rsid w:val="00463180"/>
    <w:rsid w:val="0046555F"/>
    <w:rsid w:val="00470EB1"/>
    <w:rsid w:val="004746DE"/>
    <w:rsid w:val="0047513F"/>
    <w:rsid w:val="004915D3"/>
    <w:rsid w:val="00492C2F"/>
    <w:rsid w:val="00493E86"/>
    <w:rsid w:val="0049766E"/>
    <w:rsid w:val="00497750"/>
    <w:rsid w:val="004A626D"/>
    <w:rsid w:val="004A703F"/>
    <w:rsid w:val="004B0855"/>
    <w:rsid w:val="004B3B93"/>
    <w:rsid w:val="004B7B90"/>
    <w:rsid w:val="004C27FA"/>
    <w:rsid w:val="004C3FB7"/>
    <w:rsid w:val="004C58AF"/>
    <w:rsid w:val="004D0A0B"/>
    <w:rsid w:val="004D312A"/>
    <w:rsid w:val="004D7B43"/>
    <w:rsid w:val="004E1DB4"/>
    <w:rsid w:val="004E2C19"/>
    <w:rsid w:val="004E4BB9"/>
    <w:rsid w:val="004E4F64"/>
    <w:rsid w:val="004E761E"/>
    <w:rsid w:val="004F1915"/>
    <w:rsid w:val="00503658"/>
    <w:rsid w:val="00512186"/>
    <w:rsid w:val="0051253A"/>
    <w:rsid w:val="005207FD"/>
    <w:rsid w:val="00520F8A"/>
    <w:rsid w:val="0052345B"/>
    <w:rsid w:val="005267F7"/>
    <w:rsid w:val="00526AFA"/>
    <w:rsid w:val="00535600"/>
    <w:rsid w:val="00536C37"/>
    <w:rsid w:val="00542F0F"/>
    <w:rsid w:val="00545A63"/>
    <w:rsid w:val="00551278"/>
    <w:rsid w:val="0055515B"/>
    <w:rsid w:val="00560153"/>
    <w:rsid w:val="005601E0"/>
    <w:rsid w:val="00562E4F"/>
    <w:rsid w:val="00563449"/>
    <w:rsid w:val="005640DA"/>
    <w:rsid w:val="00564580"/>
    <w:rsid w:val="005660AD"/>
    <w:rsid w:val="00596102"/>
    <w:rsid w:val="005A3293"/>
    <w:rsid w:val="005A4C09"/>
    <w:rsid w:val="005B21C2"/>
    <w:rsid w:val="005B3701"/>
    <w:rsid w:val="005B4639"/>
    <w:rsid w:val="005B7DFA"/>
    <w:rsid w:val="005C0930"/>
    <w:rsid w:val="005C3B03"/>
    <w:rsid w:val="005C3E2D"/>
    <w:rsid w:val="005D20F1"/>
    <w:rsid w:val="005D284C"/>
    <w:rsid w:val="005D5594"/>
    <w:rsid w:val="005D75C0"/>
    <w:rsid w:val="005E3D33"/>
    <w:rsid w:val="005E75C8"/>
    <w:rsid w:val="005F08F0"/>
    <w:rsid w:val="005F1B3B"/>
    <w:rsid w:val="00602699"/>
    <w:rsid w:val="00604512"/>
    <w:rsid w:val="00605F19"/>
    <w:rsid w:val="00613830"/>
    <w:rsid w:val="00614D0D"/>
    <w:rsid w:val="00623450"/>
    <w:rsid w:val="00633C1B"/>
    <w:rsid w:val="00633E23"/>
    <w:rsid w:val="006344DE"/>
    <w:rsid w:val="006376FC"/>
    <w:rsid w:val="00645D07"/>
    <w:rsid w:val="00650713"/>
    <w:rsid w:val="006529DF"/>
    <w:rsid w:val="00655591"/>
    <w:rsid w:val="00661368"/>
    <w:rsid w:val="006649A0"/>
    <w:rsid w:val="00665C28"/>
    <w:rsid w:val="00671899"/>
    <w:rsid w:val="00673B94"/>
    <w:rsid w:val="006808AC"/>
    <w:rsid w:val="00680AC6"/>
    <w:rsid w:val="00682087"/>
    <w:rsid w:val="006835D8"/>
    <w:rsid w:val="006841E6"/>
    <w:rsid w:val="00685453"/>
    <w:rsid w:val="00693818"/>
    <w:rsid w:val="00694578"/>
    <w:rsid w:val="00694CBF"/>
    <w:rsid w:val="006A666B"/>
    <w:rsid w:val="006B0372"/>
    <w:rsid w:val="006B11B8"/>
    <w:rsid w:val="006B55F9"/>
    <w:rsid w:val="006B68E7"/>
    <w:rsid w:val="006C0A50"/>
    <w:rsid w:val="006C316E"/>
    <w:rsid w:val="006C56BF"/>
    <w:rsid w:val="006C59A9"/>
    <w:rsid w:val="006D0AEF"/>
    <w:rsid w:val="006D0F7C"/>
    <w:rsid w:val="006D3D53"/>
    <w:rsid w:val="006D42CE"/>
    <w:rsid w:val="006D616F"/>
    <w:rsid w:val="006D7E8F"/>
    <w:rsid w:val="006E0B2A"/>
    <w:rsid w:val="006E3DFC"/>
    <w:rsid w:val="006E5077"/>
    <w:rsid w:val="006F0681"/>
    <w:rsid w:val="006F1AD4"/>
    <w:rsid w:val="006F365B"/>
    <w:rsid w:val="006F49D6"/>
    <w:rsid w:val="006F6574"/>
    <w:rsid w:val="006F6CBC"/>
    <w:rsid w:val="007047DA"/>
    <w:rsid w:val="00705135"/>
    <w:rsid w:val="007100A6"/>
    <w:rsid w:val="007131AB"/>
    <w:rsid w:val="00721DBF"/>
    <w:rsid w:val="00722923"/>
    <w:rsid w:val="007269C4"/>
    <w:rsid w:val="00730A9B"/>
    <w:rsid w:val="007318EE"/>
    <w:rsid w:val="00733A32"/>
    <w:rsid w:val="00735FC2"/>
    <w:rsid w:val="00736528"/>
    <w:rsid w:val="00736C4C"/>
    <w:rsid w:val="007375D4"/>
    <w:rsid w:val="0074063A"/>
    <w:rsid w:val="00740C88"/>
    <w:rsid w:val="0074209E"/>
    <w:rsid w:val="00743E2A"/>
    <w:rsid w:val="00744591"/>
    <w:rsid w:val="007450A3"/>
    <w:rsid w:val="007458A3"/>
    <w:rsid w:val="0075143D"/>
    <w:rsid w:val="007516B1"/>
    <w:rsid w:val="00752ACB"/>
    <w:rsid w:val="00755D71"/>
    <w:rsid w:val="00756C24"/>
    <w:rsid w:val="007607F1"/>
    <w:rsid w:val="00762F13"/>
    <w:rsid w:val="007674B5"/>
    <w:rsid w:val="00782353"/>
    <w:rsid w:val="00782DC7"/>
    <w:rsid w:val="007862BB"/>
    <w:rsid w:val="00786FCD"/>
    <w:rsid w:val="00787024"/>
    <w:rsid w:val="007871B5"/>
    <w:rsid w:val="00791A8A"/>
    <w:rsid w:val="00791F1E"/>
    <w:rsid w:val="0079631B"/>
    <w:rsid w:val="007A2704"/>
    <w:rsid w:val="007A3DF0"/>
    <w:rsid w:val="007A6414"/>
    <w:rsid w:val="007B0A42"/>
    <w:rsid w:val="007B337C"/>
    <w:rsid w:val="007B6E3D"/>
    <w:rsid w:val="007C0CE0"/>
    <w:rsid w:val="007C0FFA"/>
    <w:rsid w:val="007C794B"/>
    <w:rsid w:val="007D72A5"/>
    <w:rsid w:val="007D7B17"/>
    <w:rsid w:val="007E1C0F"/>
    <w:rsid w:val="007E34D1"/>
    <w:rsid w:val="007E5780"/>
    <w:rsid w:val="007E5F43"/>
    <w:rsid w:val="007E70B2"/>
    <w:rsid w:val="007F12F5"/>
    <w:rsid w:val="007F24B2"/>
    <w:rsid w:val="007F2CA8"/>
    <w:rsid w:val="007F7161"/>
    <w:rsid w:val="007F7849"/>
    <w:rsid w:val="00803E4D"/>
    <w:rsid w:val="00804EAB"/>
    <w:rsid w:val="00806E8D"/>
    <w:rsid w:val="0080784D"/>
    <w:rsid w:val="00812244"/>
    <w:rsid w:val="00814413"/>
    <w:rsid w:val="00823E38"/>
    <w:rsid w:val="0082429B"/>
    <w:rsid w:val="008375B7"/>
    <w:rsid w:val="00837A43"/>
    <w:rsid w:val="008476FF"/>
    <w:rsid w:val="00847D47"/>
    <w:rsid w:val="0085498A"/>
    <w:rsid w:val="00854FD2"/>
    <w:rsid w:val="0085559E"/>
    <w:rsid w:val="008559AD"/>
    <w:rsid w:val="0086208D"/>
    <w:rsid w:val="008648F7"/>
    <w:rsid w:val="00867183"/>
    <w:rsid w:val="00867BD5"/>
    <w:rsid w:val="00871214"/>
    <w:rsid w:val="008724E4"/>
    <w:rsid w:val="0087631D"/>
    <w:rsid w:val="00881A9A"/>
    <w:rsid w:val="008866CE"/>
    <w:rsid w:val="008869CE"/>
    <w:rsid w:val="00886FAF"/>
    <w:rsid w:val="0089350F"/>
    <w:rsid w:val="0089495D"/>
    <w:rsid w:val="00896B1B"/>
    <w:rsid w:val="00896FE4"/>
    <w:rsid w:val="008A1B0A"/>
    <w:rsid w:val="008A3307"/>
    <w:rsid w:val="008A50D4"/>
    <w:rsid w:val="008B18F6"/>
    <w:rsid w:val="008C19BB"/>
    <w:rsid w:val="008C2D72"/>
    <w:rsid w:val="008C471B"/>
    <w:rsid w:val="008C5B68"/>
    <w:rsid w:val="008C5EEE"/>
    <w:rsid w:val="008D3C1C"/>
    <w:rsid w:val="008D4705"/>
    <w:rsid w:val="008D544C"/>
    <w:rsid w:val="008D6F20"/>
    <w:rsid w:val="008E3BC0"/>
    <w:rsid w:val="008E559E"/>
    <w:rsid w:val="008E70B3"/>
    <w:rsid w:val="008F02AF"/>
    <w:rsid w:val="008F164D"/>
    <w:rsid w:val="008F189E"/>
    <w:rsid w:val="008F5FB1"/>
    <w:rsid w:val="008F6C59"/>
    <w:rsid w:val="009020AA"/>
    <w:rsid w:val="00902303"/>
    <w:rsid w:val="009039EF"/>
    <w:rsid w:val="00914E95"/>
    <w:rsid w:val="00915014"/>
    <w:rsid w:val="00916080"/>
    <w:rsid w:val="00921A68"/>
    <w:rsid w:val="0092317F"/>
    <w:rsid w:val="009257AC"/>
    <w:rsid w:val="00926B46"/>
    <w:rsid w:val="0093187A"/>
    <w:rsid w:val="00934679"/>
    <w:rsid w:val="009348F7"/>
    <w:rsid w:val="00940747"/>
    <w:rsid w:val="00941143"/>
    <w:rsid w:val="0094373D"/>
    <w:rsid w:val="00946228"/>
    <w:rsid w:val="00950B2E"/>
    <w:rsid w:val="00951B21"/>
    <w:rsid w:val="00956E9D"/>
    <w:rsid w:val="00957A95"/>
    <w:rsid w:val="00957C87"/>
    <w:rsid w:val="00971E36"/>
    <w:rsid w:val="0097581C"/>
    <w:rsid w:val="00982A8A"/>
    <w:rsid w:val="00990989"/>
    <w:rsid w:val="00997A89"/>
    <w:rsid w:val="009A3225"/>
    <w:rsid w:val="009A5940"/>
    <w:rsid w:val="009A7615"/>
    <w:rsid w:val="009B0B5B"/>
    <w:rsid w:val="009B2FA8"/>
    <w:rsid w:val="009B33B9"/>
    <w:rsid w:val="009B6F56"/>
    <w:rsid w:val="009B704B"/>
    <w:rsid w:val="009C5673"/>
    <w:rsid w:val="009C56B3"/>
    <w:rsid w:val="009D22C6"/>
    <w:rsid w:val="009E4E48"/>
    <w:rsid w:val="009E7035"/>
    <w:rsid w:val="009F023F"/>
    <w:rsid w:val="009F14BB"/>
    <w:rsid w:val="009F2886"/>
    <w:rsid w:val="009F702A"/>
    <w:rsid w:val="00A015C4"/>
    <w:rsid w:val="00A05819"/>
    <w:rsid w:val="00A150FE"/>
    <w:rsid w:val="00A15172"/>
    <w:rsid w:val="00A15607"/>
    <w:rsid w:val="00A16944"/>
    <w:rsid w:val="00A24019"/>
    <w:rsid w:val="00A27EEB"/>
    <w:rsid w:val="00A35D5C"/>
    <w:rsid w:val="00A50860"/>
    <w:rsid w:val="00A523BF"/>
    <w:rsid w:val="00A613F4"/>
    <w:rsid w:val="00A62CBC"/>
    <w:rsid w:val="00A6626A"/>
    <w:rsid w:val="00A75957"/>
    <w:rsid w:val="00A8406B"/>
    <w:rsid w:val="00A862CB"/>
    <w:rsid w:val="00A932BA"/>
    <w:rsid w:val="00A9595A"/>
    <w:rsid w:val="00A96D81"/>
    <w:rsid w:val="00A96FDF"/>
    <w:rsid w:val="00AA1B2F"/>
    <w:rsid w:val="00AA3A24"/>
    <w:rsid w:val="00AB0C2A"/>
    <w:rsid w:val="00AB39F8"/>
    <w:rsid w:val="00AB5463"/>
    <w:rsid w:val="00AB550C"/>
    <w:rsid w:val="00AB5E9F"/>
    <w:rsid w:val="00AC201A"/>
    <w:rsid w:val="00AC3833"/>
    <w:rsid w:val="00AC4280"/>
    <w:rsid w:val="00AC773C"/>
    <w:rsid w:val="00AD173B"/>
    <w:rsid w:val="00AD5E80"/>
    <w:rsid w:val="00AE67CB"/>
    <w:rsid w:val="00AE7FC1"/>
    <w:rsid w:val="00AF151F"/>
    <w:rsid w:val="00AF4679"/>
    <w:rsid w:val="00AF66DC"/>
    <w:rsid w:val="00B014BB"/>
    <w:rsid w:val="00B03591"/>
    <w:rsid w:val="00B04F09"/>
    <w:rsid w:val="00B04F5D"/>
    <w:rsid w:val="00B05F29"/>
    <w:rsid w:val="00B075BF"/>
    <w:rsid w:val="00B1528B"/>
    <w:rsid w:val="00B217FF"/>
    <w:rsid w:val="00B2412B"/>
    <w:rsid w:val="00B2443A"/>
    <w:rsid w:val="00B24E66"/>
    <w:rsid w:val="00B2644E"/>
    <w:rsid w:val="00B312FE"/>
    <w:rsid w:val="00B32689"/>
    <w:rsid w:val="00B32E13"/>
    <w:rsid w:val="00B37522"/>
    <w:rsid w:val="00B416AF"/>
    <w:rsid w:val="00B44431"/>
    <w:rsid w:val="00B4547C"/>
    <w:rsid w:val="00B5080A"/>
    <w:rsid w:val="00B50C1A"/>
    <w:rsid w:val="00B51119"/>
    <w:rsid w:val="00B55549"/>
    <w:rsid w:val="00B619F6"/>
    <w:rsid w:val="00B61AAB"/>
    <w:rsid w:val="00B665E6"/>
    <w:rsid w:val="00B71836"/>
    <w:rsid w:val="00B72D4C"/>
    <w:rsid w:val="00B7683D"/>
    <w:rsid w:val="00B779B6"/>
    <w:rsid w:val="00B8038E"/>
    <w:rsid w:val="00B831EC"/>
    <w:rsid w:val="00B847E8"/>
    <w:rsid w:val="00B905D4"/>
    <w:rsid w:val="00B93E2E"/>
    <w:rsid w:val="00B943AE"/>
    <w:rsid w:val="00BA053F"/>
    <w:rsid w:val="00BA43EF"/>
    <w:rsid w:val="00BA4AA8"/>
    <w:rsid w:val="00BB3C88"/>
    <w:rsid w:val="00BB6111"/>
    <w:rsid w:val="00BC2FFF"/>
    <w:rsid w:val="00BC4FF8"/>
    <w:rsid w:val="00BD0F57"/>
    <w:rsid w:val="00BD3DAD"/>
    <w:rsid w:val="00BD5AEE"/>
    <w:rsid w:val="00BD7258"/>
    <w:rsid w:val="00BE1A1F"/>
    <w:rsid w:val="00BE287B"/>
    <w:rsid w:val="00BE3EED"/>
    <w:rsid w:val="00BF13EB"/>
    <w:rsid w:val="00BF49A1"/>
    <w:rsid w:val="00C045E0"/>
    <w:rsid w:val="00C0598D"/>
    <w:rsid w:val="00C10AC3"/>
    <w:rsid w:val="00C11956"/>
    <w:rsid w:val="00C1229B"/>
    <w:rsid w:val="00C178ED"/>
    <w:rsid w:val="00C242C5"/>
    <w:rsid w:val="00C27670"/>
    <w:rsid w:val="00C33C91"/>
    <w:rsid w:val="00C35F27"/>
    <w:rsid w:val="00C3651A"/>
    <w:rsid w:val="00C36D8E"/>
    <w:rsid w:val="00C37557"/>
    <w:rsid w:val="00C43641"/>
    <w:rsid w:val="00C46E26"/>
    <w:rsid w:val="00C50019"/>
    <w:rsid w:val="00C513F6"/>
    <w:rsid w:val="00C56D60"/>
    <w:rsid w:val="00C602E5"/>
    <w:rsid w:val="00C620B7"/>
    <w:rsid w:val="00C705F8"/>
    <w:rsid w:val="00C721BF"/>
    <w:rsid w:val="00C748FD"/>
    <w:rsid w:val="00C75F91"/>
    <w:rsid w:val="00C81DC3"/>
    <w:rsid w:val="00C84ACB"/>
    <w:rsid w:val="00C8681F"/>
    <w:rsid w:val="00C915CB"/>
    <w:rsid w:val="00C92341"/>
    <w:rsid w:val="00C977AA"/>
    <w:rsid w:val="00CA4975"/>
    <w:rsid w:val="00CB16F9"/>
    <w:rsid w:val="00CB439C"/>
    <w:rsid w:val="00CC032C"/>
    <w:rsid w:val="00CC3D95"/>
    <w:rsid w:val="00CC520F"/>
    <w:rsid w:val="00CD1A91"/>
    <w:rsid w:val="00CE6F08"/>
    <w:rsid w:val="00CF018C"/>
    <w:rsid w:val="00CF1834"/>
    <w:rsid w:val="00CF3479"/>
    <w:rsid w:val="00CF438C"/>
    <w:rsid w:val="00D038F0"/>
    <w:rsid w:val="00D04376"/>
    <w:rsid w:val="00D061CF"/>
    <w:rsid w:val="00D171CB"/>
    <w:rsid w:val="00D20CB2"/>
    <w:rsid w:val="00D213A6"/>
    <w:rsid w:val="00D2193C"/>
    <w:rsid w:val="00D246E0"/>
    <w:rsid w:val="00D2536B"/>
    <w:rsid w:val="00D268C5"/>
    <w:rsid w:val="00D27CC4"/>
    <w:rsid w:val="00D3531C"/>
    <w:rsid w:val="00D3651A"/>
    <w:rsid w:val="00D4046E"/>
    <w:rsid w:val="00D41D75"/>
    <w:rsid w:val="00D4362F"/>
    <w:rsid w:val="00D438C5"/>
    <w:rsid w:val="00D46F5B"/>
    <w:rsid w:val="00D475AB"/>
    <w:rsid w:val="00D50018"/>
    <w:rsid w:val="00D51882"/>
    <w:rsid w:val="00D52B27"/>
    <w:rsid w:val="00D557F2"/>
    <w:rsid w:val="00D70A16"/>
    <w:rsid w:val="00D70E1F"/>
    <w:rsid w:val="00D723F6"/>
    <w:rsid w:val="00D73C4B"/>
    <w:rsid w:val="00D76853"/>
    <w:rsid w:val="00D8383C"/>
    <w:rsid w:val="00D85A8E"/>
    <w:rsid w:val="00D91A4E"/>
    <w:rsid w:val="00D96C28"/>
    <w:rsid w:val="00DA5549"/>
    <w:rsid w:val="00DA5712"/>
    <w:rsid w:val="00DC59AE"/>
    <w:rsid w:val="00DC6234"/>
    <w:rsid w:val="00DD3580"/>
    <w:rsid w:val="00DD4739"/>
    <w:rsid w:val="00DD734D"/>
    <w:rsid w:val="00DD7A1D"/>
    <w:rsid w:val="00DE0AB2"/>
    <w:rsid w:val="00DE16BF"/>
    <w:rsid w:val="00DE179B"/>
    <w:rsid w:val="00DE2E02"/>
    <w:rsid w:val="00DE5F33"/>
    <w:rsid w:val="00DF1427"/>
    <w:rsid w:val="00DF4013"/>
    <w:rsid w:val="00DF51CC"/>
    <w:rsid w:val="00E01164"/>
    <w:rsid w:val="00E065C4"/>
    <w:rsid w:val="00E07B54"/>
    <w:rsid w:val="00E11F78"/>
    <w:rsid w:val="00E13E31"/>
    <w:rsid w:val="00E14237"/>
    <w:rsid w:val="00E207A0"/>
    <w:rsid w:val="00E22E6B"/>
    <w:rsid w:val="00E27A50"/>
    <w:rsid w:val="00E3654F"/>
    <w:rsid w:val="00E40DA4"/>
    <w:rsid w:val="00E452FE"/>
    <w:rsid w:val="00E57AE4"/>
    <w:rsid w:val="00E621E1"/>
    <w:rsid w:val="00E62965"/>
    <w:rsid w:val="00E70E98"/>
    <w:rsid w:val="00E71346"/>
    <w:rsid w:val="00E729FB"/>
    <w:rsid w:val="00E83BD1"/>
    <w:rsid w:val="00E959F1"/>
    <w:rsid w:val="00E97CD9"/>
    <w:rsid w:val="00EA2518"/>
    <w:rsid w:val="00EA477F"/>
    <w:rsid w:val="00EB0148"/>
    <w:rsid w:val="00EB5F3B"/>
    <w:rsid w:val="00EB5FF4"/>
    <w:rsid w:val="00EC55B3"/>
    <w:rsid w:val="00EC5674"/>
    <w:rsid w:val="00ED15B9"/>
    <w:rsid w:val="00ED60A5"/>
    <w:rsid w:val="00ED616C"/>
    <w:rsid w:val="00EE0D93"/>
    <w:rsid w:val="00EE37F2"/>
    <w:rsid w:val="00EE5607"/>
    <w:rsid w:val="00EE6681"/>
    <w:rsid w:val="00EE74AB"/>
    <w:rsid w:val="00EF5E38"/>
    <w:rsid w:val="00F00FE6"/>
    <w:rsid w:val="00F02493"/>
    <w:rsid w:val="00F024EB"/>
    <w:rsid w:val="00F045C6"/>
    <w:rsid w:val="00F06A6E"/>
    <w:rsid w:val="00F23004"/>
    <w:rsid w:val="00F25619"/>
    <w:rsid w:val="00F25DCE"/>
    <w:rsid w:val="00F27739"/>
    <w:rsid w:val="00F278D4"/>
    <w:rsid w:val="00F312AC"/>
    <w:rsid w:val="00F34C68"/>
    <w:rsid w:val="00F37663"/>
    <w:rsid w:val="00F42E53"/>
    <w:rsid w:val="00F46665"/>
    <w:rsid w:val="00F469DD"/>
    <w:rsid w:val="00F47710"/>
    <w:rsid w:val="00F54267"/>
    <w:rsid w:val="00F56176"/>
    <w:rsid w:val="00F562D1"/>
    <w:rsid w:val="00F57362"/>
    <w:rsid w:val="00F630D5"/>
    <w:rsid w:val="00F63927"/>
    <w:rsid w:val="00F67B1F"/>
    <w:rsid w:val="00F70200"/>
    <w:rsid w:val="00F712B1"/>
    <w:rsid w:val="00F75C7C"/>
    <w:rsid w:val="00F805AE"/>
    <w:rsid w:val="00F86227"/>
    <w:rsid w:val="00F86A29"/>
    <w:rsid w:val="00F86B3B"/>
    <w:rsid w:val="00F87F5F"/>
    <w:rsid w:val="00F90330"/>
    <w:rsid w:val="00F90FC4"/>
    <w:rsid w:val="00F91144"/>
    <w:rsid w:val="00F95B7B"/>
    <w:rsid w:val="00F966A2"/>
    <w:rsid w:val="00F96FB2"/>
    <w:rsid w:val="00F97378"/>
    <w:rsid w:val="00F9748F"/>
    <w:rsid w:val="00FA12E6"/>
    <w:rsid w:val="00FA29F1"/>
    <w:rsid w:val="00FA78C9"/>
    <w:rsid w:val="00FB267A"/>
    <w:rsid w:val="00FB51D8"/>
    <w:rsid w:val="00FB58B6"/>
    <w:rsid w:val="00FD08E8"/>
    <w:rsid w:val="00FD299F"/>
    <w:rsid w:val="00FD4400"/>
    <w:rsid w:val="00FD747C"/>
    <w:rsid w:val="00FE1322"/>
    <w:rsid w:val="00FE3619"/>
    <w:rsid w:val="00FF0DFA"/>
    <w:rsid w:val="00FF0EED"/>
    <w:rsid w:val="00FF12AC"/>
    <w:rsid w:val="00FF2A58"/>
    <w:rsid w:val="00FF4832"/>
    <w:rsid w:val="00FF6A82"/>
    <w:rsid w:val="6309DD8A"/>
    <w:rsid w:val="7642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3665B"/>
  <w15:chartTrackingRefBased/>
  <w15:docId w15:val="{75708DD8-3665-4876-AA8F-FDA1E228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qFormat/>
    <w:pPr>
      <w:keepNext/>
      <w:numPr>
        <w:numId w:val="1"/>
      </w:numPr>
      <w:spacing w:after="240"/>
      <w:outlineLvl w:val="0"/>
    </w:pPr>
    <w:rPr>
      <w:b/>
      <w:caps/>
    </w:rPr>
  </w:style>
  <w:style w:type="paragraph" w:styleId="Heading2">
    <w:name w:val="heading 2"/>
    <w:aliases w:val="h2"/>
    <w:basedOn w:val="Normal"/>
    <w:next w:val="Normal"/>
    <w:qFormat/>
    <w:pPr>
      <w:keepNext/>
      <w:numPr>
        <w:ilvl w:val="1"/>
        <w:numId w:val="1"/>
      </w:numPr>
      <w:spacing w:before="240" w:after="240"/>
      <w:outlineLvl w:val="1"/>
    </w:pPr>
    <w:rPr>
      <w:b/>
    </w:rPr>
  </w:style>
  <w:style w:type="paragraph" w:styleId="Heading3">
    <w:name w:val="heading 3"/>
    <w:aliases w:val="h3"/>
    <w:basedOn w:val="Normal"/>
    <w:next w:val="Normal"/>
    <w:qFormat/>
    <w:pPr>
      <w:keepNext/>
      <w:numPr>
        <w:ilvl w:val="2"/>
        <w:numId w:val="1"/>
      </w:numPr>
      <w:spacing w:before="120" w:after="120"/>
      <w:outlineLvl w:val="2"/>
    </w:pPr>
    <w:rPr>
      <w:b/>
      <w:bCs/>
      <w:i/>
      <w:iCs/>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rPr>
  </w:style>
  <w:style w:type="paragraph" w:styleId="Heading5">
    <w:name w:val="heading 5"/>
    <w:aliases w:val="h5"/>
    <w:basedOn w:val="Normal"/>
    <w:next w:val="Normal"/>
    <w:qFormat/>
    <w:pPr>
      <w:spacing w:before="240" w:after="60"/>
      <w:outlineLvl w:val="4"/>
    </w:pPr>
    <w:rPr>
      <w:b/>
      <w:i/>
      <w:sz w:val="26"/>
    </w:rPr>
  </w:style>
  <w:style w:type="paragraph" w:styleId="Heading6">
    <w:name w:val="heading 6"/>
    <w:aliases w:val="h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2C281C"/>
    <w:rPr>
      <w:sz w:val="24"/>
      <w:szCs w:val="24"/>
    </w:rPr>
  </w:style>
  <w:style w:type="paragraph" w:styleId="ListParagraph">
    <w:name w:val="List Paragraph"/>
    <w:basedOn w:val="Normal"/>
    <w:uiPriority w:val="34"/>
    <w:qFormat/>
    <w:rsid w:val="00CC520F"/>
    <w:pPr>
      <w:ind w:left="720"/>
      <w:contextualSpacing/>
    </w:pPr>
  </w:style>
  <w:style w:type="paragraph" w:styleId="NormalWeb">
    <w:name w:val="Normal (Web)"/>
    <w:basedOn w:val="Normal"/>
    <w:uiPriority w:val="99"/>
    <w:unhideWhenUsed/>
    <w:rsid w:val="00CC520F"/>
    <w:pPr>
      <w:spacing w:before="100" w:beforeAutospacing="1" w:after="100" w:afterAutospacing="1"/>
    </w:pPr>
    <w:rPr>
      <w:sz w:val="24"/>
      <w:szCs w:val="24"/>
    </w:rPr>
  </w:style>
  <w:style w:type="character" w:styleId="Strong">
    <w:name w:val="Strong"/>
    <w:basedOn w:val="DefaultParagraphFont"/>
    <w:uiPriority w:val="22"/>
    <w:qFormat/>
    <w:rsid w:val="00CC520F"/>
    <w:rPr>
      <w:b/>
      <w:bCs/>
    </w:rPr>
  </w:style>
  <w:style w:type="paragraph" w:styleId="FootnoteText">
    <w:name w:val="footnote text"/>
    <w:basedOn w:val="Normal"/>
    <w:link w:val="FootnoteTextChar"/>
    <w:rsid w:val="00304B17"/>
  </w:style>
  <w:style w:type="character" w:customStyle="1" w:styleId="FootnoteTextChar">
    <w:name w:val="Footnote Text Char"/>
    <w:basedOn w:val="DefaultParagraphFont"/>
    <w:link w:val="FootnoteText"/>
    <w:rsid w:val="00304B17"/>
  </w:style>
  <w:style w:type="character" w:styleId="FootnoteReference">
    <w:name w:val="footnote reference"/>
    <w:basedOn w:val="DefaultParagraphFont"/>
    <w:rsid w:val="00304B17"/>
    <w:rPr>
      <w:vertAlign w:val="superscript"/>
    </w:rPr>
  </w:style>
  <w:style w:type="character" w:styleId="UnresolvedMention">
    <w:name w:val="Unresolved Mention"/>
    <w:basedOn w:val="DefaultParagraphFont"/>
    <w:uiPriority w:val="99"/>
    <w:semiHidden/>
    <w:unhideWhenUsed/>
    <w:rsid w:val="003F5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atterson@txog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EC4A72CAB0D64D9F7E9682FD2192C4" ma:contentTypeVersion="15" ma:contentTypeDescription="Create a new document." ma:contentTypeScope="" ma:versionID="7675757bd1bb0a76ba4e5ec95231aaa4">
  <xsd:schema xmlns:xsd="http://www.w3.org/2001/XMLSchema" xmlns:xs="http://www.w3.org/2001/XMLSchema" xmlns:p="http://schemas.microsoft.com/office/2006/metadata/properties" xmlns:ns2="b74bb770-530c-43db-868c-470100b04b21" xmlns:ns3="937cce53-552a-4e6c-8bb2-bd9caca87b17" targetNamespace="http://schemas.microsoft.com/office/2006/metadata/properties" ma:root="true" ma:fieldsID="208da01ec2d0db66eedf9cf27e0bcecc" ns2:_="" ns3:_="">
    <xsd:import namespace="b74bb770-530c-43db-868c-470100b04b21"/>
    <xsd:import namespace="937cce53-552a-4e6c-8bb2-bd9caca8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b770-530c-43db-868c-470100b0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2c33fb-773d-4c7f-af06-7655ec8c41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cce53-552a-4e6c-8bb2-bd9caca87b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2b1ae2-937c-401e-b607-a9cafcc47ee4}" ma:internalName="TaxCatchAll" ma:showField="CatchAllData" ma:web="937cce53-552a-4e6c-8bb2-bd9caca8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4bb770-530c-43db-868c-470100b04b21">
      <Terms xmlns="http://schemas.microsoft.com/office/infopath/2007/PartnerControls"/>
    </lcf76f155ced4ddcb4097134ff3c332f>
    <TaxCatchAll xmlns="937cce53-552a-4e6c-8bb2-bd9caca87b17"/>
  </documentManagement>
</p:properties>
</file>

<file path=customXml/itemProps1.xml><?xml version="1.0" encoding="utf-8"?>
<ds:datastoreItem xmlns:ds="http://schemas.openxmlformats.org/officeDocument/2006/customXml" ds:itemID="{15A100CC-C4EE-4EE6-852B-F7B31257FE3F}">
  <ds:schemaRefs>
    <ds:schemaRef ds:uri="http://schemas.microsoft.com/sharepoint/v3/contenttype/forms"/>
  </ds:schemaRefs>
</ds:datastoreItem>
</file>

<file path=customXml/itemProps2.xml><?xml version="1.0" encoding="utf-8"?>
<ds:datastoreItem xmlns:ds="http://schemas.openxmlformats.org/officeDocument/2006/customXml" ds:itemID="{B49BFD0E-2F86-4192-82B0-EFC3DC5D0B0C}">
  <ds:schemaRefs>
    <ds:schemaRef ds:uri="http://schemas.openxmlformats.org/officeDocument/2006/bibliography"/>
  </ds:schemaRefs>
</ds:datastoreItem>
</file>

<file path=customXml/itemProps3.xml><?xml version="1.0" encoding="utf-8"?>
<ds:datastoreItem xmlns:ds="http://schemas.openxmlformats.org/officeDocument/2006/customXml" ds:itemID="{35171935-2F38-4098-AF45-C9E081FE6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b770-530c-43db-868c-470100b04b21"/>
    <ds:schemaRef ds:uri="937cce53-552a-4e6c-8bb2-bd9caca8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3005A-B9A7-4351-9B01-C850428D35AF}">
  <ds:schemaRefs>
    <ds:schemaRef ds:uri="http://schemas.microsoft.com/office/2006/metadata/properties"/>
    <ds:schemaRef ds:uri="http://schemas.microsoft.com/office/infopath/2007/PartnerControls"/>
    <ds:schemaRef ds:uri="b74bb770-530c-43db-868c-470100b04b21"/>
    <ds:schemaRef ds:uri="937cce53-552a-4e6c-8bb2-bd9caca87b17"/>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626</Words>
  <Characters>3818</Characters>
  <Application>Microsoft Office Word</Application>
  <DocSecurity>0</DocSecurity>
  <Lines>109</Lines>
  <Paragraphs>45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4399</CharactersWithSpaces>
  <SharedDoc>false</SharedDoc>
  <HLinks>
    <vt:vector size="6" baseType="variant">
      <vt:variant>
        <vt:i4>2686991</vt:i4>
      </vt:variant>
      <vt:variant>
        <vt:i4>0</vt:i4>
      </vt:variant>
      <vt:variant>
        <vt:i4>0</vt:i4>
      </vt:variant>
      <vt:variant>
        <vt:i4>5</vt:i4>
      </vt:variant>
      <vt:variant>
        <vt:lpwstr>mailto:areimers@potomaceconomics.com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4</cp:revision>
  <cp:lastPrinted>2026-02-02T17:31:00Z</cp:lastPrinted>
  <dcterms:created xsi:type="dcterms:W3CDTF">2026-02-04T16:28:00Z</dcterms:created>
  <dcterms:modified xsi:type="dcterms:W3CDTF">2026-02-04T16:42:00Z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0x010100BEEC4A72CAB0D64D9F7E9682FD2192C4</vt:lpwstr>
  </property>
  <property fmtid="{D5CDD505-2E9C-101B-9397-08002B2CF9AE}" pid="4" name="docLang">
    <vt:lpwstr>en</vt:lpwstr>
  </property>
  <property fmtid="{D5CDD505-2E9C-101B-9397-08002B2CF9AE}" pid="5" name="MSIP_Label_7084cbda-52b8-46fb-a7b7-cb5bd465ed85_Enabled">
    <vt:lpwstr>true</vt:lpwstr>
  </property>
  <property fmtid="{D5CDD505-2E9C-101B-9397-08002B2CF9AE}" pid="6" name="MSIP_Label_7084cbda-52b8-46fb-a7b7-cb5bd465ed85_SetDate">
    <vt:lpwstr>2026-02-03T19:20:16Z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deebfc7c-c47f-4fba-8442-c56e8f1077e4</vt:lpwstr>
  </property>
  <property fmtid="{D5CDD505-2E9C-101B-9397-08002B2CF9AE}" pid="11" name="MSIP_Label_7084cbda-52b8-46fb-a7b7-cb5bd465ed85_ContentBits">
    <vt:lpwstr>0</vt:lpwstr>
  </property>
  <property fmtid="{D5CDD505-2E9C-101B-9397-08002B2CF9AE}" pid="12" name="MSIP_Label_7084cbda-52b8-46fb-a7b7-cb5bd465ed85_Tag">
    <vt:lpwstr>10, 3, 0, 1</vt:lpwstr>
  </property>
</Properties>
</file>