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rsidRPr="00C3651A" w14:paraId="161D7401" w14:textId="77777777">
        <w:tc>
          <w:tcPr>
            <w:tcW w:w="1620" w:type="dxa"/>
            <w:tcBorders>
              <w:bottom w:val="single" w:sz="4" w:space="0" w:color="auto"/>
            </w:tcBorders>
            <w:shd w:val="clear" w:color="auto" w:fill="FFFFFF"/>
            <w:vAlign w:val="center"/>
          </w:tcPr>
          <w:p w14:paraId="778113E8" w14:textId="77777777" w:rsidR="00152993" w:rsidRPr="00C3651A" w:rsidRDefault="00EE6681">
            <w:pPr>
              <w:pStyle w:val="Header"/>
              <w:rPr>
                <w:rFonts w:ascii="Verdana" w:hAnsi="Verdana"/>
                <w:sz w:val="28"/>
                <w:szCs w:val="24"/>
              </w:rPr>
            </w:pPr>
            <w:r w:rsidRPr="00C3651A">
              <w:rPr>
                <w:sz w:val="24"/>
                <w:szCs w:val="24"/>
              </w:rPr>
              <w:t>N</w:t>
            </w:r>
            <w:r w:rsidR="00152993" w:rsidRPr="00C3651A">
              <w:rPr>
                <w:sz w:val="24"/>
                <w:szCs w:val="24"/>
              </w:rPr>
              <w:t>PRR Number</w:t>
            </w:r>
          </w:p>
        </w:tc>
        <w:tc>
          <w:tcPr>
            <w:tcW w:w="1260" w:type="dxa"/>
            <w:tcBorders>
              <w:bottom w:val="single" w:sz="4" w:space="0" w:color="auto"/>
            </w:tcBorders>
            <w:vAlign w:val="center"/>
          </w:tcPr>
          <w:p w14:paraId="2DE5B347" w14:textId="7F04ACD8" w:rsidR="00152993" w:rsidRPr="00C3651A" w:rsidRDefault="003F502C">
            <w:pPr>
              <w:pStyle w:val="Header"/>
              <w:rPr>
                <w:sz w:val="24"/>
                <w:szCs w:val="24"/>
              </w:rPr>
            </w:pPr>
            <w:hyperlink r:id="rId11" w:history="1">
              <w:r w:rsidR="00926B46" w:rsidRPr="003F502C">
                <w:rPr>
                  <w:rStyle w:val="Hyperlink"/>
                  <w:sz w:val="24"/>
                  <w:szCs w:val="24"/>
                </w:rPr>
                <w:t>1310</w:t>
              </w:r>
            </w:hyperlink>
          </w:p>
        </w:tc>
        <w:tc>
          <w:tcPr>
            <w:tcW w:w="900" w:type="dxa"/>
            <w:tcBorders>
              <w:bottom w:val="single" w:sz="4" w:space="0" w:color="auto"/>
            </w:tcBorders>
            <w:shd w:val="clear" w:color="auto" w:fill="FFFFFF"/>
            <w:vAlign w:val="center"/>
          </w:tcPr>
          <w:p w14:paraId="601B7858" w14:textId="77777777" w:rsidR="00152993" w:rsidRPr="00C3651A" w:rsidRDefault="00EE6681">
            <w:pPr>
              <w:pStyle w:val="Header"/>
              <w:rPr>
                <w:sz w:val="24"/>
                <w:szCs w:val="24"/>
              </w:rPr>
            </w:pPr>
            <w:r w:rsidRPr="00C3651A">
              <w:rPr>
                <w:sz w:val="24"/>
                <w:szCs w:val="24"/>
              </w:rPr>
              <w:t>N</w:t>
            </w:r>
            <w:r w:rsidR="00152993" w:rsidRPr="00C3651A">
              <w:rPr>
                <w:sz w:val="24"/>
                <w:szCs w:val="24"/>
              </w:rPr>
              <w:t>PRR Title</w:t>
            </w:r>
          </w:p>
        </w:tc>
        <w:tc>
          <w:tcPr>
            <w:tcW w:w="6660" w:type="dxa"/>
            <w:tcBorders>
              <w:bottom w:val="single" w:sz="4" w:space="0" w:color="auto"/>
            </w:tcBorders>
            <w:vAlign w:val="center"/>
          </w:tcPr>
          <w:p w14:paraId="18E4A1BC" w14:textId="77777777" w:rsidR="00152993" w:rsidRPr="00C3651A" w:rsidRDefault="00436138">
            <w:pPr>
              <w:pStyle w:val="Header"/>
              <w:rPr>
                <w:sz w:val="24"/>
                <w:szCs w:val="24"/>
              </w:rPr>
            </w:pPr>
            <w:r w:rsidRPr="00C3651A">
              <w:rPr>
                <w:sz w:val="24"/>
                <w:szCs w:val="24"/>
              </w:rPr>
              <w:t>Dispatchable Reliability Reserve Service Plus Energy Storage Resource Participation and Release Factor</w:t>
            </w:r>
          </w:p>
        </w:tc>
      </w:tr>
      <w:tr w:rsidR="00152993" w:rsidRPr="00C3651A" w14:paraId="72D5DA53" w14:textId="77777777">
        <w:trPr>
          <w:trHeight w:val="413"/>
        </w:trPr>
        <w:tc>
          <w:tcPr>
            <w:tcW w:w="2880" w:type="dxa"/>
            <w:gridSpan w:val="2"/>
            <w:tcBorders>
              <w:top w:val="nil"/>
              <w:left w:val="nil"/>
              <w:bottom w:val="single" w:sz="4" w:space="0" w:color="auto"/>
              <w:right w:val="nil"/>
            </w:tcBorders>
            <w:vAlign w:val="center"/>
          </w:tcPr>
          <w:p w14:paraId="02F80184" w14:textId="77777777" w:rsidR="00152993" w:rsidRPr="00C3651A" w:rsidRDefault="00152993">
            <w:pPr>
              <w:pStyle w:val="NormalArial"/>
              <w:rPr>
                <w:sz w:val="24"/>
                <w:szCs w:val="24"/>
              </w:rPr>
            </w:pPr>
          </w:p>
        </w:tc>
        <w:tc>
          <w:tcPr>
            <w:tcW w:w="7560" w:type="dxa"/>
            <w:gridSpan w:val="2"/>
            <w:tcBorders>
              <w:top w:val="single" w:sz="4" w:space="0" w:color="auto"/>
              <w:left w:val="nil"/>
              <w:bottom w:val="nil"/>
              <w:right w:val="nil"/>
            </w:tcBorders>
            <w:vAlign w:val="center"/>
          </w:tcPr>
          <w:p w14:paraId="7F5ECC70" w14:textId="77777777" w:rsidR="00152993" w:rsidRPr="00C3651A" w:rsidRDefault="00152993">
            <w:pPr>
              <w:pStyle w:val="NormalArial"/>
              <w:rPr>
                <w:sz w:val="24"/>
                <w:szCs w:val="24"/>
              </w:rPr>
            </w:pPr>
          </w:p>
        </w:tc>
      </w:tr>
      <w:tr w:rsidR="00152993" w:rsidRPr="00C3651A" w14:paraId="62CAEDA8"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112599D1" w14:textId="77777777" w:rsidR="00152993" w:rsidRPr="00C3651A" w:rsidRDefault="00152993">
            <w:pPr>
              <w:pStyle w:val="Header"/>
              <w:rPr>
                <w:sz w:val="24"/>
                <w:szCs w:val="24"/>
              </w:rPr>
            </w:pPr>
            <w:r w:rsidRPr="00C3651A">
              <w:rPr>
                <w:sz w:val="24"/>
                <w:szCs w:val="24"/>
              </w:rP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A8A9D8C" w14:textId="3E4538B0" w:rsidR="00152993" w:rsidRPr="00C3651A" w:rsidRDefault="003F502C">
            <w:pPr>
              <w:pStyle w:val="NormalArial"/>
              <w:rPr>
                <w:sz w:val="24"/>
                <w:szCs w:val="24"/>
              </w:rPr>
            </w:pPr>
            <w:r>
              <w:rPr>
                <w:sz w:val="24"/>
                <w:szCs w:val="24"/>
              </w:rPr>
              <w:t>February 3, 2026</w:t>
            </w:r>
          </w:p>
        </w:tc>
      </w:tr>
      <w:tr w:rsidR="00152993" w:rsidRPr="00C3651A" w14:paraId="1E5F234A" w14:textId="77777777">
        <w:trPr>
          <w:trHeight w:val="467"/>
        </w:trPr>
        <w:tc>
          <w:tcPr>
            <w:tcW w:w="2880" w:type="dxa"/>
            <w:gridSpan w:val="2"/>
            <w:tcBorders>
              <w:top w:val="single" w:sz="4" w:space="0" w:color="auto"/>
              <w:left w:val="nil"/>
              <w:bottom w:val="nil"/>
              <w:right w:val="nil"/>
            </w:tcBorders>
            <w:shd w:val="clear" w:color="auto" w:fill="FFFFFF"/>
            <w:vAlign w:val="center"/>
          </w:tcPr>
          <w:p w14:paraId="1E0C3228" w14:textId="77777777" w:rsidR="00152993" w:rsidRPr="00C3651A" w:rsidRDefault="00152993">
            <w:pPr>
              <w:pStyle w:val="NormalArial"/>
              <w:rPr>
                <w:sz w:val="24"/>
                <w:szCs w:val="24"/>
              </w:rPr>
            </w:pPr>
          </w:p>
        </w:tc>
        <w:tc>
          <w:tcPr>
            <w:tcW w:w="7560" w:type="dxa"/>
            <w:gridSpan w:val="2"/>
            <w:tcBorders>
              <w:top w:val="nil"/>
              <w:left w:val="nil"/>
              <w:bottom w:val="nil"/>
              <w:right w:val="nil"/>
            </w:tcBorders>
            <w:vAlign w:val="center"/>
          </w:tcPr>
          <w:p w14:paraId="54ECE021" w14:textId="77777777" w:rsidR="00152993" w:rsidRPr="00C3651A" w:rsidRDefault="00152993">
            <w:pPr>
              <w:pStyle w:val="NormalArial"/>
              <w:rPr>
                <w:sz w:val="24"/>
                <w:szCs w:val="24"/>
              </w:rPr>
            </w:pPr>
          </w:p>
        </w:tc>
      </w:tr>
      <w:tr w:rsidR="00152993" w:rsidRPr="00C3651A" w14:paraId="2DBA52CB" w14:textId="77777777">
        <w:trPr>
          <w:trHeight w:val="440"/>
        </w:trPr>
        <w:tc>
          <w:tcPr>
            <w:tcW w:w="10440" w:type="dxa"/>
            <w:gridSpan w:val="4"/>
            <w:tcBorders>
              <w:top w:val="single" w:sz="4" w:space="0" w:color="auto"/>
            </w:tcBorders>
            <w:shd w:val="clear" w:color="auto" w:fill="FFFFFF"/>
            <w:vAlign w:val="center"/>
          </w:tcPr>
          <w:p w14:paraId="42D9846E" w14:textId="77777777" w:rsidR="00152993" w:rsidRPr="00C3651A" w:rsidRDefault="00152993">
            <w:pPr>
              <w:pStyle w:val="Header"/>
              <w:jc w:val="center"/>
              <w:rPr>
                <w:sz w:val="24"/>
                <w:szCs w:val="24"/>
              </w:rPr>
            </w:pPr>
            <w:r w:rsidRPr="00C3651A">
              <w:rPr>
                <w:sz w:val="24"/>
                <w:szCs w:val="24"/>
              </w:rPr>
              <w:t>Submitter’s Information</w:t>
            </w:r>
          </w:p>
        </w:tc>
      </w:tr>
      <w:tr w:rsidR="00926B46" w:rsidRPr="00C3651A" w14:paraId="40356CF0" w14:textId="77777777">
        <w:trPr>
          <w:trHeight w:val="350"/>
        </w:trPr>
        <w:tc>
          <w:tcPr>
            <w:tcW w:w="2880" w:type="dxa"/>
            <w:gridSpan w:val="2"/>
            <w:shd w:val="clear" w:color="auto" w:fill="FFFFFF"/>
            <w:vAlign w:val="center"/>
          </w:tcPr>
          <w:p w14:paraId="6006FFA0" w14:textId="77777777" w:rsidR="00926B46" w:rsidRPr="00C3651A" w:rsidRDefault="00926B46" w:rsidP="00926B46">
            <w:pPr>
              <w:pStyle w:val="Header"/>
              <w:rPr>
                <w:sz w:val="24"/>
                <w:szCs w:val="24"/>
              </w:rPr>
            </w:pPr>
            <w:r w:rsidRPr="00C3651A">
              <w:rPr>
                <w:sz w:val="24"/>
                <w:szCs w:val="24"/>
              </w:rPr>
              <w:t>Name</w:t>
            </w:r>
          </w:p>
        </w:tc>
        <w:tc>
          <w:tcPr>
            <w:tcW w:w="7560" w:type="dxa"/>
            <w:gridSpan w:val="2"/>
            <w:vAlign w:val="center"/>
          </w:tcPr>
          <w:p w14:paraId="07897AB7" w14:textId="77777777" w:rsidR="00926B46" w:rsidRPr="00C3651A" w:rsidRDefault="00926B46" w:rsidP="00926B46">
            <w:pPr>
              <w:pStyle w:val="NormalArial"/>
              <w:rPr>
                <w:sz w:val="24"/>
                <w:szCs w:val="24"/>
              </w:rPr>
            </w:pPr>
            <w:r w:rsidRPr="00C3651A">
              <w:rPr>
                <w:sz w:val="24"/>
                <w:szCs w:val="24"/>
              </w:rPr>
              <w:t>Andrew Reimers</w:t>
            </w:r>
          </w:p>
        </w:tc>
      </w:tr>
      <w:tr w:rsidR="00926B46" w:rsidRPr="00C3651A" w14:paraId="6435DFCC" w14:textId="77777777">
        <w:trPr>
          <w:trHeight w:val="350"/>
        </w:trPr>
        <w:tc>
          <w:tcPr>
            <w:tcW w:w="2880" w:type="dxa"/>
            <w:gridSpan w:val="2"/>
            <w:shd w:val="clear" w:color="auto" w:fill="FFFFFF"/>
            <w:vAlign w:val="center"/>
          </w:tcPr>
          <w:p w14:paraId="5CA0FE57" w14:textId="77777777" w:rsidR="00926B46" w:rsidRPr="00C3651A" w:rsidRDefault="00926B46" w:rsidP="00926B46">
            <w:pPr>
              <w:pStyle w:val="Header"/>
              <w:rPr>
                <w:sz w:val="24"/>
                <w:szCs w:val="24"/>
              </w:rPr>
            </w:pPr>
            <w:r w:rsidRPr="00C3651A">
              <w:rPr>
                <w:sz w:val="24"/>
                <w:szCs w:val="24"/>
              </w:rPr>
              <w:t>E-mail Address</w:t>
            </w:r>
          </w:p>
        </w:tc>
        <w:tc>
          <w:tcPr>
            <w:tcW w:w="7560" w:type="dxa"/>
            <w:gridSpan w:val="2"/>
            <w:vAlign w:val="center"/>
          </w:tcPr>
          <w:p w14:paraId="274A3091" w14:textId="77777777" w:rsidR="00926B46" w:rsidRPr="00C3651A" w:rsidRDefault="00926B46" w:rsidP="00926B46">
            <w:pPr>
              <w:pStyle w:val="NormalArial"/>
              <w:rPr>
                <w:sz w:val="24"/>
                <w:szCs w:val="24"/>
              </w:rPr>
            </w:pPr>
            <w:hyperlink r:id="rId12" w:history="1">
              <w:r w:rsidRPr="00C3651A">
                <w:rPr>
                  <w:rStyle w:val="Hyperlink"/>
                  <w:sz w:val="24"/>
                  <w:szCs w:val="24"/>
                </w:rPr>
                <w:t>areimers@potomaceconomics.com</w:t>
              </w:r>
            </w:hyperlink>
          </w:p>
        </w:tc>
      </w:tr>
      <w:tr w:rsidR="00926B46" w:rsidRPr="00C3651A" w14:paraId="177CEED4" w14:textId="77777777">
        <w:trPr>
          <w:trHeight w:val="350"/>
        </w:trPr>
        <w:tc>
          <w:tcPr>
            <w:tcW w:w="2880" w:type="dxa"/>
            <w:gridSpan w:val="2"/>
            <w:shd w:val="clear" w:color="auto" w:fill="FFFFFF"/>
            <w:vAlign w:val="center"/>
          </w:tcPr>
          <w:p w14:paraId="01D78D00" w14:textId="77777777" w:rsidR="00926B46" w:rsidRPr="00C3651A" w:rsidRDefault="00926B46" w:rsidP="00926B46">
            <w:pPr>
              <w:pStyle w:val="Header"/>
              <w:rPr>
                <w:sz w:val="24"/>
                <w:szCs w:val="24"/>
              </w:rPr>
            </w:pPr>
            <w:r w:rsidRPr="00C3651A">
              <w:rPr>
                <w:sz w:val="24"/>
                <w:szCs w:val="24"/>
              </w:rPr>
              <w:t>Company</w:t>
            </w:r>
          </w:p>
        </w:tc>
        <w:tc>
          <w:tcPr>
            <w:tcW w:w="7560" w:type="dxa"/>
            <w:gridSpan w:val="2"/>
            <w:vAlign w:val="center"/>
          </w:tcPr>
          <w:p w14:paraId="4548DE17" w14:textId="121879FC" w:rsidR="00926B46" w:rsidRPr="00C3651A" w:rsidRDefault="00926B46" w:rsidP="00926B46">
            <w:pPr>
              <w:pStyle w:val="NormalArial"/>
              <w:rPr>
                <w:sz w:val="24"/>
                <w:szCs w:val="24"/>
              </w:rPr>
            </w:pPr>
            <w:r w:rsidRPr="00C3651A">
              <w:rPr>
                <w:sz w:val="24"/>
                <w:szCs w:val="24"/>
              </w:rPr>
              <w:t>Potomac Economics</w:t>
            </w:r>
            <w:r w:rsidR="003F502C">
              <w:rPr>
                <w:sz w:val="24"/>
                <w:szCs w:val="24"/>
              </w:rPr>
              <w:t xml:space="preserve">, </w:t>
            </w:r>
            <w:r w:rsidR="003F502C" w:rsidRPr="003F502C">
              <w:rPr>
                <w:sz w:val="24"/>
                <w:szCs w:val="24"/>
              </w:rPr>
              <w:t>Independent Market Monitor (IMM)</w:t>
            </w:r>
          </w:p>
        </w:tc>
      </w:tr>
      <w:tr w:rsidR="00926B46" w:rsidRPr="00C3651A" w14:paraId="0A11E9E4" w14:textId="77777777">
        <w:trPr>
          <w:trHeight w:val="350"/>
        </w:trPr>
        <w:tc>
          <w:tcPr>
            <w:tcW w:w="2880" w:type="dxa"/>
            <w:gridSpan w:val="2"/>
            <w:tcBorders>
              <w:bottom w:val="single" w:sz="4" w:space="0" w:color="auto"/>
            </w:tcBorders>
            <w:shd w:val="clear" w:color="auto" w:fill="FFFFFF"/>
            <w:vAlign w:val="center"/>
          </w:tcPr>
          <w:p w14:paraId="2EE2F6A9" w14:textId="77777777" w:rsidR="00926B46" w:rsidRPr="00C3651A" w:rsidRDefault="00926B46" w:rsidP="00926B46">
            <w:pPr>
              <w:pStyle w:val="Header"/>
              <w:rPr>
                <w:sz w:val="24"/>
                <w:szCs w:val="24"/>
              </w:rPr>
            </w:pPr>
            <w:r w:rsidRPr="00C3651A">
              <w:rPr>
                <w:sz w:val="24"/>
                <w:szCs w:val="24"/>
              </w:rPr>
              <w:t>Phone Number</w:t>
            </w:r>
          </w:p>
        </w:tc>
        <w:tc>
          <w:tcPr>
            <w:tcW w:w="7560" w:type="dxa"/>
            <w:gridSpan w:val="2"/>
            <w:tcBorders>
              <w:bottom w:val="single" w:sz="4" w:space="0" w:color="auto"/>
            </w:tcBorders>
            <w:vAlign w:val="center"/>
          </w:tcPr>
          <w:p w14:paraId="541D7B59" w14:textId="77777777" w:rsidR="00926B46" w:rsidRPr="00C3651A" w:rsidRDefault="00926B46" w:rsidP="00926B46">
            <w:pPr>
              <w:pStyle w:val="NormalArial"/>
              <w:rPr>
                <w:sz w:val="24"/>
                <w:szCs w:val="24"/>
              </w:rPr>
            </w:pPr>
            <w:r w:rsidRPr="00C3651A">
              <w:rPr>
                <w:sz w:val="24"/>
                <w:szCs w:val="24"/>
              </w:rPr>
              <w:t>409-656-4403</w:t>
            </w:r>
          </w:p>
        </w:tc>
      </w:tr>
      <w:tr w:rsidR="00926B46" w:rsidRPr="00C3651A" w14:paraId="57C5C474" w14:textId="77777777">
        <w:trPr>
          <w:trHeight w:val="350"/>
        </w:trPr>
        <w:tc>
          <w:tcPr>
            <w:tcW w:w="2880" w:type="dxa"/>
            <w:gridSpan w:val="2"/>
            <w:shd w:val="clear" w:color="auto" w:fill="FFFFFF"/>
            <w:vAlign w:val="center"/>
          </w:tcPr>
          <w:p w14:paraId="6C467A29" w14:textId="77777777" w:rsidR="00926B46" w:rsidRPr="00C3651A" w:rsidRDefault="00926B46" w:rsidP="00926B46">
            <w:pPr>
              <w:pStyle w:val="Header"/>
              <w:rPr>
                <w:sz w:val="24"/>
                <w:szCs w:val="24"/>
              </w:rPr>
            </w:pPr>
            <w:r w:rsidRPr="00C3651A">
              <w:rPr>
                <w:sz w:val="24"/>
                <w:szCs w:val="24"/>
              </w:rPr>
              <w:t>Cell Number</w:t>
            </w:r>
          </w:p>
        </w:tc>
        <w:tc>
          <w:tcPr>
            <w:tcW w:w="7560" w:type="dxa"/>
            <w:gridSpan w:val="2"/>
            <w:vAlign w:val="center"/>
          </w:tcPr>
          <w:p w14:paraId="66C968C9" w14:textId="77777777" w:rsidR="00926B46" w:rsidRPr="00C3651A" w:rsidRDefault="00926B46" w:rsidP="00926B46">
            <w:pPr>
              <w:pStyle w:val="NormalArial"/>
              <w:rPr>
                <w:sz w:val="24"/>
                <w:szCs w:val="24"/>
              </w:rPr>
            </w:pPr>
          </w:p>
        </w:tc>
      </w:tr>
      <w:tr w:rsidR="00926B46" w:rsidRPr="00C3651A" w14:paraId="6F58E9A1" w14:textId="77777777">
        <w:trPr>
          <w:trHeight w:val="350"/>
        </w:trPr>
        <w:tc>
          <w:tcPr>
            <w:tcW w:w="2880" w:type="dxa"/>
            <w:gridSpan w:val="2"/>
            <w:tcBorders>
              <w:bottom w:val="single" w:sz="4" w:space="0" w:color="auto"/>
            </w:tcBorders>
            <w:shd w:val="clear" w:color="auto" w:fill="FFFFFF"/>
            <w:vAlign w:val="center"/>
          </w:tcPr>
          <w:p w14:paraId="590E8363" w14:textId="77777777" w:rsidR="00926B46" w:rsidRPr="00C3651A" w:rsidDel="00075A94" w:rsidRDefault="00926B46" w:rsidP="00926B46">
            <w:pPr>
              <w:pStyle w:val="Header"/>
              <w:rPr>
                <w:sz w:val="24"/>
                <w:szCs w:val="24"/>
              </w:rPr>
            </w:pPr>
            <w:r w:rsidRPr="00C3651A">
              <w:rPr>
                <w:sz w:val="24"/>
                <w:szCs w:val="24"/>
              </w:rPr>
              <w:t>Market Segment</w:t>
            </w:r>
          </w:p>
        </w:tc>
        <w:tc>
          <w:tcPr>
            <w:tcW w:w="7560" w:type="dxa"/>
            <w:gridSpan w:val="2"/>
            <w:tcBorders>
              <w:bottom w:val="single" w:sz="4" w:space="0" w:color="auto"/>
            </w:tcBorders>
            <w:vAlign w:val="center"/>
          </w:tcPr>
          <w:p w14:paraId="1CD3405D" w14:textId="1E8F7C30" w:rsidR="00926B46" w:rsidRPr="00C3651A" w:rsidRDefault="003F502C" w:rsidP="00926B46">
            <w:pPr>
              <w:pStyle w:val="NormalArial"/>
              <w:rPr>
                <w:sz w:val="24"/>
                <w:szCs w:val="24"/>
              </w:rPr>
            </w:pPr>
            <w:r>
              <w:rPr>
                <w:sz w:val="24"/>
                <w:szCs w:val="24"/>
              </w:rPr>
              <w:t>Not applicable</w:t>
            </w:r>
          </w:p>
        </w:tc>
      </w:tr>
    </w:tbl>
    <w:p w14:paraId="4107A805" w14:textId="77777777" w:rsidR="00152993" w:rsidRPr="00C3651A" w:rsidRDefault="00152993">
      <w:pPr>
        <w:pStyle w:val="NormalArial"/>
        <w:rPr>
          <w:sz w:val="24"/>
          <w:szCs w:val="24"/>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C3651A" w14:paraId="3EE3B9A7" w14:textId="77777777" w:rsidTr="00B5080A">
        <w:trPr>
          <w:trHeight w:val="422"/>
          <w:jc w:val="center"/>
        </w:trPr>
        <w:tc>
          <w:tcPr>
            <w:tcW w:w="10440" w:type="dxa"/>
            <w:vAlign w:val="center"/>
          </w:tcPr>
          <w:p w14:paraId="01088505" w14:textId="77777777" w:rsidR="00075A94" w:rsidRPr="00C3651A" w:rsidRDefault="00075A94" w:rsidP="00B5080A">
            <w:pPr>
              <w:pStyle w:val="Header"/>
              <w:jc w:val="center"/>
              <w:rPr>
                <w:sz w:val="24"/>
                <w:szCs w:val="24"/>
              </w:rPr>
            </w:pPr>
            <w:r w:rsidRPr="00C3651A">
              <w:rPr>
                <w:sz w:val="24"/>
                <w:szCs w:val="24"/>
              </w:rPr>
              <w:t>Comments</w:t>
            </w:r>
          </w:p>
        </w:tc>
      </w:tr>
    </w:tbl>
    <w:p w14:paraId="4CD633EE" w14:textId="77777777" w:rsidR="002E12D6" w:rsidRDefault="002E12D6">
      <w:pPr>
        <w:pStyle w:val="NormalArial"/>
        <w:rPr>
          <w:sz w:val="24"/>
          <w:szCs w:val="24"/>
        </w:rPr>
      </w:pPr>
    </w:p>
    <w:p w14:paraId="5AB67CC7" w14:textId="5D0E799D" w:rsidR="00B61AAB" w:rsidRDefault="00B61AAB" w:rsidP="00B61AAB">
      <w:pPr>
        <w:pStyle w:val="NormalArial"/>
        <w:rPr>
          <w:rFonts w:cs="Arial"/>
          <w:sz w:val="24"/>
          <w:szCs w:val="24"/>
        </w:rPr>
      </w:pPr>
      <w:r w:rsidRPr="00B61AAB">
        <w:rPr>
          <w:rFonts w:cs="Arial"/>
          <w:sz w:val="24"/>
          <w:szCs w:val="24"/>
        </w:rPr>
        <w:t xml:space="preserve">The IMM appreciates the opportunity to comment on </w:t>
      </w:r>
      <w:r w:rsidR="003F502C">
        <w:rPr>
          <w:rFonts w:cs="Arial"/>
          <w:sz w:val="24"/>
          <w:szCs w:val="24"/>
        </w:rPr>
        <w:t>Nodal Protocol Revision Request (</w:t>
      </w:r>
      <w:r w:rsidRPr="00B61AAB">
        <w:rPr>
          <w:rFonts w:cs="Arial"/>
          <w:sz w:val="24"/>
          <w:szCs w:val="24"/>
        </w:rPr>
        <w:t>NPRR</w:t>
      </w:r>
      <w:r w:rsidR="003F502C">
        <w:rPr>
          <w:rFonts w:cs="Arial"/>
          <w:sz w:val="24"/>
          <w:szCs w:val="24"/>
        </w:rPr>
        <w:t>)</w:t>
      </w:r>
      <w:r w:rsidRPr="00B61AAB">
        <w:rPr>
          <w:rFonts w:cs="Arial"/>
          <w:sz w:val="24"/>
          <w:szCs w:val="24"/>
        </w:rPr>
        <w:t xml:space="preserve"> 1310, which proposes an augmentation of the Dispatchable Reserve Reliability Service (DRRS) product proposed by NPRR1309</w:t>
      </w:r>
      <w:r w:rsidR="003F502C">
        <w:rPr>
          <w:rFonts w:cs="Arial"/>
          <w:sz w:val="24"/>
          <w:szCs w:val="24"/>
        </w:rPr>
        <w:t xml:space="preserve">, </w:t>
      </w:r>
      <w:r w:rsidR="003F502C" w:rsidRPr="003F502C">
        <w:rPr>
          <w:rFonts w:cs="Arial"/>
          <w:sz w:val="24"/>
          <w:szCs w:val="24"/>
        </w:rPr>
        <w:t>Board Priority - Dispatchable Reliability Reserve Service Ancillary Service</w:t>
      </w:r>
      <w:r w:rsidR="003F502C">
        <w:rPr>
          <w:rFonts w:cs="Arial"/>
          <w:sz w:val="24"/>
          <w:szCs w:val="24"/>
        </w:rPr>
        <w:t>,</w:t>
      </w:r>
      <w:r w:rsidRPr="00B61AAB">
        <w:rPr>
          <w:rFonts w:cs="Arial"/>
          <w:sz w:val="24"/>
          <w:szCs w:val="24"/>
        </w:rPr>
        <w:t xml:space="preserve"> to include an hourly capacity product with the </w:t>
      </w:r>
      <w:r w:rsidR="00062D59">
        <w:rPr>
          <w:rFonts w:cs="Arial"/>
          <w:sz w:val="24"/>
          <w:szCs w:val="24"/>
        </w:rPr>
        <w:t>objective</w:t>
      </w:r>
      <w:r w:rsidRPr="00B61AAB">
        <w:rPr>
          <w:rFonts w:cs="Arial"/>
          <w:sz w:val="24"/>
          <w:szCs w:val="24"/>
        </w:rPr>
        <w:t xml:space="preserve"> of supporting resource adequacy. Whereas we offered qualified support for DRRS as an operating reserve product as proposed by NPRR1309, we</w:t>
      </w:r>
      <w:r w:rsidR="003D5186">
        <w:rPr>
          <w:rFonts w:cs="Arial"/>
          <w:sz w:val="24"/>
          <w:szCs w:val="24"/>
        </w:rPr>
        <w:t xml:space="preserve"> oppose</w:t>
      </w:r>
      <w:r w:rsidRPr="00B61AAB">
        <w:rPr>
          <w:rFonts w:cs="Arial"/>
          <w:sz w:val="24"/>
          <w:szCs w:val="24"/>
        </w:rPr>
        <w:t xml:space="preserve"> the resource adequacy features proposed by NPRR1310, subsequently referred to as DRRS+, and recommend that it be rejected.</w:t>
      </w:r>
    </w:p>
    <w:p w14:paraId="6C55DA1F" w14:textId="77777777" w:rsidR="00090722" w:rsidRDefault="00090722" w:rsidP="00B61AAB">
      <w:pPr>
        <w:pStyle w:val="NormalArial"/>
        <w:rPr>
          <w:rFonts w:cs="Arial"/>
          <w:sz w:val="24"/>
          <w:szCs w:val="24"/>
        </w:rPr>
      </w:pPr>
    </w:p>
    <w:p w14:paraId="3F3DD5D0" w14:textId="2C22AF64" w:rsidR="00090722" w:rsidRPr="00B61AAB" w:rsidRDefault="00090722" w:rsidP="00B61AAB">
      <w:pPr>
        <w:pStyle w:val="NormalArial"/>
        <w:rPr>
          <w:rFonts w:cs="Arial"/>
          <w:sz w:val="24"/>
          <w:szCs w:val="24"/>
        </w:rPr>
      </w:pPr>
      <w:r>
        <w:rPr>
          <w:rFonts w:cs="Arial"/>
          <w:sz w:val="24"/>
          <w:szCs w:val="24"/>
        </w:rPr>
        <w:t xml:space="preserve">The structure of these comments is as follows: 1) fundamental features of DRRS+, 2) implications for reliability and market performance, and 3) next steps. </w:t>
      </w:r>
    </w:p>
    <w:p w14:paraId="241A9C57" w14:textId="77777777" w:rsidR="003403F4" w:rsidRDefault="003403F4" w:rsidP="00EB5FF4">
      <w:pPr>
        <w:rPr>
          <w:rFonts w:ascii="Arial" w:hAnsi="Arial" w:cs="Arial"/>
          <w:sz w:val="24"/>
          <w:szCs w:val="24"/>
        </w:rPr>
      </w:pPr>
    </w:p>
    <w:p w14:paraId="41B9658D" w14:textId="377E9BA6" w:rsidR="00D438C5" w:rsidRPr="0079631B" w:rsidRDefault="00AD5E80" w:rsidP="00D438C5">
      <w:pPr>
        <w:pStyle w:val="ListParagraph"/>
        <w:keepNext/>
        <w:numPr>
          <w:ilvl w:val="0"/>
          <w:numId w:val="14"/>
        </w:numPr>
        <w:spacing w:after="240"/>
        <w:contextualSpacing w:val="0"/>
        <w:rPr>
          <w:rFonts w:ascii="Arial" w:hAnsi="Arial" w:cs="Arial"/>
          <w:b/>
          <w:color w:val="215E99" w:themeColor="text2" w:themeTint="BF"/>
          <w:sz w:val="28"/>
          <w:szCs w:val="28"/>
        </w:rPr>
      </w:pPr>
      <w:r>
        <w:rPr>
          <w:rFonts w:ascii="Arial" w:hAnsi="Arial" w:cs="Arial"/>
          <w:b/>
          <w:bCs/>
          <w:color w:val="215E99" w:themeColor="text2" w:themeTint="BF"/>
          <w:sz w:val="28"/>
          <w:szCs w:val="28"/>
        </w:rPr>
        <w:t xml:space="preserve">Fundamental Features of </w:t>
      </w:r>
      <w:r w:rsidR="00062D59">
        <w:rPr>
          <w:rFonts w:ascii="Arial" w:hAnsi="Arial" w:cs="Arial"/>
          <w:b/>
          <w:bCs/>
          <w:color w:val="215E99" w:themeColor="text2" w:themeTint="BF"/>
          <w:sz w:val="28"/>
          <w:szCs w:val="28"/>
        </w:rPr>
        <w:t>DRRS+</w:t>
      </w:r>
      <w:r w:rsidRPr="00AB1FBD" w:rsidDel="00B51119">
        <w:rPr>
          <w:rFonts w:ascii="Arial" w:hAnsi="Arial" w:cs="Arial"/>
          <w:b/>
          <w:bCs/>
          <w:color w:val="215E99" w:themeColor="text2" w:themeTint="BF"/>
          <w:sz w:val="28"/>
          <w:szCs w:val="28"/>
        </w:rPr>
        <w:t xml:space="preserve"> </w:t>
      </w:r>
    </w:p>
    <w:p w14:paraId="0FA7B995" w14:textId="33621D58" w:rsidR="005B3701" w:rsidRPr="00ED15B9" w:rsidRDefault="004E4F64" w:rsidP="00ED15B9">
      <w:pPr>
        <w:rPr>
          <w:rFonts w:ascii="Arial" w:hAnsi="Arial" w:cs="Arial"/>
          <w:sz w:val="24"/>
          <w:szCs w:val="24"/>
        </w:rPr>
      </w:pPr>
      <w:r>
        <w:rPr>
          <w:rFonts w:ascii="Arial" w:hAnsi="Arial" w:cs="Arial"/>
          <w:sz w:val="24"/>
          <w:szCs w:val="24"/>
        </w:rPr>
        <w:t>Th</w:t>
      </w:r>
      <w:r w:rsidR="007516B1">
        <w:rPr>
          <w:rFonts w:ascii="Arial" w:hAnsi="Arial" w:cs="Arial"/>
          <w:sz w:val="24"/>
          <w:szCs w:val="24"/>
        </w:rPr>
        <w:t xml:space="preserve">is section summarizes the fundamental features of DRRS+ that reflect the objective to promote resource adequacy but that have implications that undermine reliability and market performance. </w:t>
      </w:r>
    </w:p>
    <w:p w14:paraId="3FF8F209" w14:textId="71141FE9" w:rsidR="00D51882" w:rsidRPr="00A7030E" w:rsidRDefault="00D51882" w:rsidP="00693818">
      <w:pPr>
        <w:rPr>
          <w:rFonts w:ascii="Arial" w:hAnsi="Arial" w:cs="Arial"/>
          <w:sz w:val="24"/>
          <w:szCs w:val="24"/>
        </w:rPr>
      </w:pPr>
    </w:p>
    <w:p w14:paraId="5BEB416E" w14:textId="7DF75396" w:rsidR="00693818" w:rsidRPr="00AB1FBD" w:rsidRDefault="00412DF8" w:rsidP="00693818">
      <w:pPr>
        <w:pStyle w:val="ListParagraph"/>
        <w:numPr>
          <w:ilvl w:val="0"/>
          <w:numId w:val="11"/>
        </w:numPr>
        <w:spacing w:after="160"/>
        <w:rPr>
          <w:rFonts w:ascii="Arial" w:hAnsi="Arial" w:cs="Arial"/>
          <w:b/>
          <w:bCs/>
          <w:sz w:val="24"/>
          <w:szCs w:val="24"/>
        </w:rPr>
      </w:pPr>
      <w:bookmarkStart w:id="0" w:name="_Hlk220680850"/>
      <w:r>
        <w:rPr>
          <w:rFonts w:ascii="Arial" w:hAnsi="Arial" w:cs="Arial"/>
          <w:b/>
          <w:bCs/>
          <w:sz w:val="24"/>
          <w:szCs w:val="24"/>
        </w:rPr>
        <w:t>“Overlapping”</w:t>
      </w:r>
      <w:r w:rsidR="004C27FA">
        <w:rPr>
          <w:rFonts w:ascii="Arial" w:hAnsi="Arial" w:cs="Arial"/>
          <w:b/>
          <w:bCs/>
          <w:sz w:val="24"/>
          <w:szCs w:val="24"/>
        </w:rPr>
        <w:t xml:space="preserve"> DRRS</w:t>
      </w:r>
      <w:r>
        <w:rPr>
          <w:rFonts w:ascii="Arial" w:hAnsi="Arial" w:cs="Arial"/>
          <w:b/>
          <w:bCs/>
          <w:sz w:val="24"/>
          <w:szCs w:val="24"/>
        </w:rPr>
        <w:t xml:space="preserve"> Capacity</w:t>
      </w:r>
    </w:p>
    <w:bookmarkEnd w:id="0"/>
    <w:p w14:paraId="3E8C5FF8" w14:textId="18CC7CCC" w:rsidR="00AB5E9F" w:rsidRDefault="007D72A5" w:rsidP="00447E9F">
      <w:pPr>
        <w:rPr>
          <w:rFonts w:ascii="Arial" w:hAnsi="Arial" w:cs="Arial"/>
          <w:sz w:val="24"/>
          <w:szCs w:val="24"/>
        </w:rPr>
      </w:pPr>
      <w:r>
        <w:rPr>
          <w:rFonts w:ascii="Arial" w:hAnsi="Arial" w:cs="Arial"/>
          <w:sz w:val="24"/>
          <w:szCs w:val="24"/>
        </w:rPr>
        <w:t>A</w:t>
      </w:r>
      <w:r w:rsidR="001927DA">
        <w:rPr>
          <w:rFonts w:ascii="Arial" w:hAnsi="Arial" w:cs="Arial"/>
          <w:sz w:val="24"/>
          <w:szCs w:val="24"/>
        </w:rPr>
        <w:t xml:space="preserve"> primary </w:t>
      </w:r>
      <w:r w:rsidR="00AD5E80">
        <w:rPr>
          <w:rFonts w:ascii="Arial" w:hAnsi="Arial" w:cs="Arial"/>
          <w:sz w:val="24"/>
          <w:szCs w:val="24"/>
        </w:rPr>
        <w:t xml:space="preserve">feature of DRRS+ is that </w:t>
      </w:r>
      <w:r w:rsidR="004C27FA">
        <w:rPr>
          <w:rFonts w:ascii="Arial" w:hAnsi="Arial" w:cs="Arial"/>
          <w:sz w:val="24"/>
          <w:szCs w:val="24"/>
        </w:rPr>
        <w:t xml:space="preserve">a </w:t>
      </w:r>
      <w:r w:rsidR="005F1B3B">
        <w:rPr>
          <w:rFonts w:ascii="Arial" w:hAnsi="Arial" w:cs="Arial"/>
          <w:sz w:val="24"/>
          <w:szCs w:val="24"/>
        </w:rPr>
        <w:t xml:space="preserve">fraction of the volume of DRRS procured by ERCOT would be allowed to overlap with energy and other </w:t>
      </w:r>
      <w:r w:rsidR="00526AFA">
        <w:rPr>
          <w:rFonts w:ascii="Arial" w:hAnsi="Arial" w:cs="Arial"/>
          <w:sz w:val="24"/>
          <w:szCs w:val="24"/>
        </w:rPr>
        <w:t>A</w:t>
      </w:r>
      <w:r w:rsidR="005F1B3B">
        <w:rPr>
          <w:rFonts w:ascii="Arial" w:hAnsi="Arial" w:cs="Arial"/>
          <w:sz w:val="24"/>
          <w:szCs w:val="24"/>
        </w:rPr>
        <w:t xml:space="preserve">ncillary </w:t>
      </w:r>
      <w:r w:rsidR="00526AFA">
        <w:rPr>
          <w:rFonts w:ascii="Arial" w:hAnsi="Arial" w:cs="Arial"/>
          <w:sz w:val="24"/>
          <w:szCs w:val="24"/>
        </w:rPr>
        <w:t>S</w:t>
      </w:r>
      <w:r w:rsidR="005F1B3B">
        <w:rPr>
          <w:rFonts w:ascii="Arial" w:hAnsi="Arial" w:cs="Arial"/>
          <w:sz w:val="24"/>
          <w:szCs w:val="24"/>
        </w:rPr>
        <w:t>ervices</w:t>
      </w:r>
      <w:r w:rsidR="00B2443A">
        <w:rPr>
          <w:rFonts w:ascii="Arial" w:hAnsi="Arial" w:cs="Arial"/>
          <w:sz w:val="24"/>
          <w:szCs w:val="24"/>
        </w:rPr>
        <w:t>, while the remainder is treated exclusively as an operating reserve</w:t>
      </w:r>
      <w:r w:rsidR="005F1B3B">
        <w:rPr>
          <w:rFonts w:ascii="Arial" w:hAnsi="Arial" w:cs="Arial"/>
          <w:sz w:val="24"/>
          <w:szCs w:val="24"/>
        </w:rPr>
        <w:t xml:space="preserve">. </w:t>
      </w:r>
      <w:r w:rsidR="00070096">
        <w:rPr>
          <w:rFonts w:ascii="Arial" w:hAnsi="Arial" w:cs="Arial"/>
          <w:sz w:val="24"/>
          <w:szCs w:val="24"/>
        </w:rPr>
        <w:t xml:space="preserve">The rationale for </w:t>
      </w:r>
      <w:r w:rsidR="00D70A16">
        <w:rPr>
          <w:rFonts w:ascii="Arial" w:hAnsi="Arial" w:cs="Arial"/>
          <w:sz w:val="24"/>
          <w:szCs w:val="24"/>
        </w:rPr>
        <w:t>enabling this capacity to overlap is so that</w:t>
      </w:r>
      <w:r w:rsidR="004469AD">
        <w:rPr>
          <w:rFonts w:ascii="Arial" w:hAnsi="Arial" w:cs="Arial"/>
          <w:sz w:val="24"/>
          <w:szCs w:val="24"/>
        </w:rPr>
        <w:t xml:space="preserve"> the</w:t>
      </w:r>
      <w:r w:rsidR="00361CFC">
        <w:rPr>
          <w:rFonts w:ascii="Arial" w:hAnsi="Arial" w:cs="Arial"/>
          <w:sz w:val="24"/>
          <w:szCs w:val="24"/>
        </w:rPr>
        <w:t xml:space="preserve"> </w:t>
      </w:r>
      <w:r w:rsidR="00562E4F">
        <w:rPr>
          <w:rFonts w:ascii="Arial" w:hAnsi="Arial" w:cs="Arial"/>
          <w:sz w:val="24"/>
          <w:szCs w:val="24"/>
        </w:rPr>
        <w:t xml:space="preserve">target </w:t>
      </w:r>
      <w:r w:rsidR="00361CFC">
        <w:rPr>
          <w:rFonts w:ascii="Arial" w:hAnsi="Arial" w:cs="Arial"/>
          <w:sz w:val="24"/>
          <w:szCs w:val="24"/>
        </w:rPr>
        <w:t xml:space="preserve">volume of DRRS procurement </w:t>
      </w:r>
      <w:r w:rsidR="00D70A16">
        <w:rPr>
          <w:rFonts w:ascii="Arial" w:hAnsi="Arial" w:cs="Arial"/>
          <w:sz w:val="24"/>
          <w:szCs w:val="24"/>
        </w:rPr>
        <w:t>can</w:t>
      </w:r>
      <w:r w:rsidR="00361CFC">
        <w:rPr>
          <w:rFonts w:ascii="Arial" w:hAnsi="Arial" w:cs="Arial"/>
          <w:sz w:val="24"/>
          <w:szCs w:val="24"/>
        </w:rPr>
        <w:t xml:space="preserve"> be</w:t>
      </w:r>
      <w:r w:rsidR="00D70A16">
        <w:rPr>
          <w:rFonts w:ascii="Arial" w:hAnsi="Arial" w:cs="Arial"/>
          <w:sz w:val="24"/>
          <w:szCs w:val="24"/>
        </w:rPr>
        <w:t xml:space="preserve"> set</w:t>
      </w:r>
      <w:r w:rsidR="00361CFC">
        <w:rPr>
          <w:rFonts w:ascii="Arial" w:hAnsi="Arial" w:cs="Arial"/>
          <w:sz w:val="24"/>
          <w:szCs w:val="24"/>
        </w:rPr>
        <w:t xml:space="preserve"> </w:t>
      </w:r>
      <w:r w:rsidR="00562E4F">
        <w:rPr>
          <w:rFonts w:ascii="Arial" w:hAnsi="Arial" w:cs="Arial"/>
          <w:sz w:val="24"/>
          <w:szCs w:val="24"/>
        </w:rPr>
        <w:t>high</w:t>
      </w:r>
      <w:r w:rsidR="00361CFC">
        <w:rPr>
          <w:rFonts w:ascii="Arial" w:hAnsi="Arial" w:cs="Arial"/>
          <w:sz w:val="24"/>
          <w:szCs w:val="24"/>
        </w:rPr>
        <w:t xml:space="preserve"> enough to </w:t>
      </w:r>
      <w:r w:rsidR="00414C37">
        <w:rPr>
          <w:rFonts w:ascii="Arial" w:hAnsi="Arial" w:cs="Arial"/>
          <w:sz w:val="24"/>
          <w:szCs w:val="24"/>
        </w:rPr>
        <w:t>award DRRS to</w:t>
      </w:r>
      <w:r w:rsidR="00361CFC">
        <w:rPr>
          <w:rFonts w:ascii="Arial" w:hAnsi="Arial" w:cs="Arial"/>
          <w:sz w:val="24"/>
          <w:szCs w:val="24"/>
        </w:rPr>
        <w:t xml:space="preserve"> </w:t>
      </w:r>
      <w:r w:rsidR="00321130">
        <w:rPr>
          <w:rFonts w:ascii="Arial" w:hAnsi="Arial" w:cs="Arial"/>
          <w:sz w:val="24"/>
          <w:szCs w:val="24"/>
        </w:rPr>
        <w:t>the entire available supply</w:t>
      </w:r>
      <w:r w:rsidR="00361CFC">
        <w:rPr>
          <w:rFonts w:ascii="Arial" w:hAnsi="Arial" w:cs="Arial"/>
          <w:sz w:val="24"/>
          <w:szCs w:val="24"/>
        </w:rPr>
        <w:t xml:space="preserve"> that is </w:t>
      </w:r>
      <w:r w:rsidR="00950B2E">
        <w:rPr>
          <w:rFonts w:ascii="Arial" w:hAnsi="Arial" w:cs="Arial"/>
          <w:sz w:val="24"/>
          <w:szCs w:val="24"/>
        </w:rPr>
        <w:t>qualified</w:t>
      </w:r>
      <w:r w:rsidR="00361CFC">
        <w:rPr>
          <w:rFonts w:ascii="Arial" w:hAnsi="Arial" w:cs="Arial"/>
          <w:sz w:val="24"/>
          <w:szCs w:val="24"/>
        </w:rPr>
        <w:t xml:space="preserve"> to provide DRRS </w:t>
      </w:r>
      <w:r w:rsidR="00950B2E">
        <w:rPr>
          <w:rFonts w:ascii="Arial" w:hAnsi="Arial" w:cs="Arial"/>
          <w:sz w:val="24"/>
          <w:szCs w:val="24"/>
        </w:rPr>
        <w:t xml:space="preserve">in </w:t>
      </w:r>
      <w:r w:rsidR="003F502C">
        <w:rPr>
          <w:rFonts w:ascii="Arial" w:hAnsi="Arial" w:cs="Arial"/>
          <w:sz w:val="24"/>
          <w:szCs w:val="24"/>
        </w:rPr>
        <w:t>R</w:t>
      </w:r>
      <w:r w:rsidR="00950B2E">
        <w:rPr>
          <w:rFonts w:ascii="Arial" w:hAnsi="Arial" w:cs="Arial"/>
          <w:sz w:val="24"/>
          <w:szCs w:val="24"/>
        </w:rPr>
        <w:t>eal-</w:t>
      </w:r>
      <w:r w:rsidR="003F502C">
        <w:rPr>
          <w:rFonts w:ascii="Arial" w:hAnsi="Arial" w:cs="Arial"/>
          <w:sz w:val="24"/>
          <w:szCs w:val="24"/>
        </w:rPr>
        <w:t>T</w:t>
      </w:r>
      <w:r w:rsidR="00950B2E">
        <w:rPr>
          <w:rFonts w:ascii="Arial" w:hAnsi="Arial" w:cs="Arial"/>
          <w:sz w:val="24"/>
          <w:szCs w:val="24"/>
        </w:rPr>
        <w:t>ime</w:t>
      </w:r>
      <w:r w:rsidR="004469AD">
        <w:rPr>
          <w:rFonts w:ascii="Arial" w:hAnsi="Arial" w:cs="Arial"/>
          <w:sz w:val="24"/>
          <w:szCs w:val="24"/>
        </w:rPr>
        <w:t xml:space="preserve">, thus resulting in a kind of hourly capacity payment for dispatchable resources. </w:t>
      </w:r>
    </w:p>
    <w:p w14:paraId="0C376FC9" w14:textId="7EF4F83E" w:rsidR="00A35D5C" w:rsidRDefault="00AA1B2F" w:rsidP="00AB5E9F">
      <w:pPr>
        <w:spacing w:after="160"/>
        <w:rPr>
          <w:rFonts w:ascii="Arial" w:hAnsi="Arial" w:cs="Arial"/>
          <w:sz w:val="24"/>
          <w:szCs w:val="24"/>
        </w:rPr>
      </w:pPr>
      <w:r w:rsidRPr="00AA1B2F">
        <w:rPr>
          <w:rFonts w:ascii="Arial" w:hAnsi="Arial" w:cs="Arial"/>
          <w:sz w:val="24"/>
          <w:szCs w:val="24"/>
        </w:rPr>
        <w:lastRenderedPageBreak/>
        <w:t>The premise of th</w:t>
      </w:r>
      <w:r w:rsidR="00733A32">
        <w:rPr>
          <w:rFonts w:ascii="Arial" w:hAnsi="Arial" w:cs="Arial"/>
          <w:sz w:val="24"/>
          <w:szCs w:val="24"/>
        </w:rPr>
        <w:t>is</w:t>
      </w:r>
      <w:r w:rsidRPr="00AA1B2F">
        <w:rPr>
          <w:rFonts w:ascii="Arial" w:hAnsi="Arial" w:cs="Arial"/>
          <w:sz w:val="24"/>
          <w:szCs w:val="24"/>
        </w:rPr>
        <w:t xml:space="preserve"> concept is that capacity can be purchased in the present to ensure resource adequacy for future system conditions. </w:t>
      </w:r>
      <w:r w:rsidR="00733A32">
        <w:rPr>
          <w:rFonts w:ascii="Arial" w:hAnsi="Arial" w:cs="Arial"/>
          <w:sz w:val="24"/>
          <w:szCs w:val="24"/>
        </w:rPr>
        <w:t xml:space="preserve">In practice, </w:t>
      </w:r>
      <w:r w:rsidR="00EE37F2">
        <w:rPr>
          <w:rFonts w:ascii="Arial" w:hAnsi="Arial" w:cs="Arial"/>
          <w:sz w:val="24"/>
          <w:szCs w:val="24"/>
        </w:rPr>
        <w:t>this hourly capacity market will necessarily impact commitment behavior and price formation</w:t>
      </w:r>
      <w:r w:rsidR="00C75F91">
        <w:rPr>
          <w:rFonts w:ascii="Arial" w:hAnsi="Arial" w:cs="Arial"/>
          <w:sz w:val="24"/>
          <w:szCs w:val="24"/>
        </w:rPr>
        <w:t>, meaning that</w:t>
      </w:r>
      <w:r w:rsidR="003D5186">
        <w:rPr>
          <w:rFonts w:ascii="Arial" w:hAnsi="Arial" w:cs="Arial"/>
          <w:sz w:val="24"/>
          <w:szCs w:val="24"/>
        </w:rPr>
        <w:t xml:space="preserve"> whatever revenue is injected into the market via DRRS</w:t>
      </w:r>
      <w:r w:rsidR="0012436B">
        <w:rPr>
          <w:rFonts w:ascii="Arial" w:hAnsi="Arial" w:cs="Arial"/>
          <w:sz w:val="24"/>
          <w:szCs w:val="24"/>
        </w:rPr>
        <w:t xml:space="preserve"> capacity</w:t>
      </w:r>
      <w:r w:rsidR="003D5186">
        <w:rPr>
          <w:rFonts w:ascii="Arial" w:hAnsi="Arial" w:cs="Arial"/>
          <w:sz w:val="24"/>
          <w:szCs w:val="24"/>
        </w:rPr>
        <w:t xml:space="preserve"> payments will be </w:t>
      </w:r>
      <w:r w:rsidR="00221924">
        <w:rPr>
          <w:rFonts w:ascii="Arial" w:hAnsi="Arial" w:cs="Arial"/>
          <w:sz w:val="24"/>
          <w:szCs w:val="24"/>
        </w:rPr>
        <w:t xml:space="preserve">partially </w:t>
      </w:r>
      <w:r w:rsidR="003D5186">
        <w:rPr>
          <w:rFonts w:ascii="Arial" w:hAnsi="Arial" w:cs="Arial"/>
          <w:sz w:val="24"/>
          <w:szCs w:val="24"/>
        </w:rPr>
        <w:t xml:space="preserve">offset by decreased </w:t>
      </w:r>
      <w:r w:rsidR="00694CBF">
        <w:rPr>
          <w:rFonts w:ascii="Arial" w:hAnsi="Arial" w:cs="Arial"/>
          <w:sz w:val="24"/>
          <w:szCs w:val="24"/>
        </w:rPr>
        <w:t>revenue</w:t>
      </w:r>
      <w:r w:rsidR="003D5186">
        <w:rPr>
          <w:rFonts w:ascii="Arial" w:hAnsi="Arial" w:cs="Arial"/>
          <w:sz w:val="24"/>
          <w:szCs w:val="24"/>
        </w:rPr>
        <w:t xml:space="preserve"> for </w:t>
      </w:r>
      <w:r w:rsidR="0012436B">
        <w:rPr>
          <w:rFonts w:ascii="Arial" w:hAnsi="Arial" w:cs="Arial"/>
          <w:sz w:val="24"/>
          <w:szCs w:val="24"/>
        </w:rPr>
        <w:t>energy and</w:t>
      </w:r>
      <w:r w:rsidR="00694CBF">
        <w:rPr>
          <w:rFonts w:ascii="Arial" w:hAnsi="Arial" w:cs="Arial"/>
          <w:sz w:val="24"/>
          <w:szCs w:val="24"/>
        </w:rPr>
        <w:t xml:space="preserve"> operating</w:t>
      </w:r>
      <w:r w:rsidR="0012436B">
        <w:rPr>
          <w:rFonts w:ascii="Arial" w:hAnsi="Arial" w:cs="Arial"/>
          <w:sz w:val="24"/>
          <w:szCs w:val="24"/>
        </w:rPr>
        <w:t xml:space="preserve"> reserves</w:t>
      </w:r>
      <w:r w:rsidR="00D85A8E">
        <w:rPr>
          <w:rFonts w:ascii="Arial" w:hAnsi="Arial" w:cs="Arial"/>
          <w:sz w:val="24"/>
          <w:szCs w:val="24"/>
        </w:rPr>
        <w:t>. The net eff</w:t>
      </w:r>
      <w:r w:rsidR="001D38C9">
        <w:rPr>
          <w:rFonts w:ascii="Arial" w:hAnsi="Arial" w:cs="Arial"/>
          <w:sz w:val="24"/>
          <w:szCs w:val="24"/>
        </w:rPr>
        <w:t xml:space="preserve">ect of these offsetting revenue sources is unclear, and ERCOT has not presented </w:t>
      </w:r>
      <w:r w:rsidR="002019D7">
        <w:rPr>
          <w:rFonts w:ascii="Arial" w:hAnsi="Arial" w:cs="Arial"/>
          <w:sz w:val="24"/>
          <w:szCs w:val="24"/>
        </w:rPr>
        <w:t>analysis demonstrating that DRRS+</w:t>
      </w:r>
      <w:r w:rsidR="00C50019">
        <w:rPr>
          <w:rFonts w:ascii="Arial" w:hAnsi="Arial" w:cs="Arial"/>
          <w:sz w:val="24"/>
          <w:szCs w:val="24"/>
        </w:rPr>
        <w:t xml:space="preserve"> as proposed by NPRR1310</w:t>
      </w:r>
      <w:r w:rsidR="002019D7">
        <w:rPr>
          <w:rFonts w:ascii="Arial" w:hAnsi="Arial" w:cs="Arial"/>
          <w:sz w:val="24"/>
          <w:szCs w:val="24"/>
        </w:rPr>
        <w:t xml:space="preserve"> could </w:t>
      </w:r>
      <w:r w:rsidR="007A6414">
        <w:rPr>
          <w:rFonts w:ascii="Arial" w:hAnsi="Arial" w:cs="Arial"/>
          <w:sz w:val="24"/>
          <w:szCs w:val="24"/>
        </w:rPr>
        <w:t xml:space="preserve">cost-effectively promote resource adequacy. </w:t>
      </w:r>
      <w:r w:rsidR="00602699">
        <w:rPr>
          <w:rFonts w:ascii="Arial" w:hAnsi="Arial" w:cs="Arial"/>
          <w:sz w:val="24"/>
          <w:szCs w:val="24"/>
        </w:rPr>
        <w:t xml:space="preserve"> </w:t>
      </w:r>
    </w:p>
    <w:p w14:paraId="33E8D057" w14:textId="4375FF6E" w:rsidR="00D46F5B" w:rsidRPr="00ED15B9" w:rsidRDefault="00AB5E9F" w:rsidP="00ED15B9">
      <w:pPr>
        <w:spacing w:after="160"/>
        <w:rPr>
          <w:rFonts w:ascii="Arial" w:hAnsi="Arial" w:cs="Arial"/>
          <w:sz w:val="24"/>
          <w:szCs w:val="24"/>
        </w:rPr>
      </w:pPr>
      <w:r w:rsidRPr="006344DE">
        <w:rPr>
          <w:rFonts w:ascii="Arial" w:hAnsi="Arial" w:cs="Arial"/>
          <w:sz w:val="24"/>
          <w:szCs w:val="24"/>
        </w:rPr>
        <w:t xml:space="preserve">ERCOT contracted Aurora </w:t>
      </w:r>
      <w:r>
        <w:rPr>
          <w:rFonts w:ascii="Arial" w:hAnsi="Arial" w:cs="Arial"/>
          <w:sz w:val="24"/>
          <w:szCs w:val="24"/>
        </w:rPr>
        <w:t xml:space="preserve">Energy Research </w:t>
      </w:r>
      <w:r w:rsidRPr="006344DE">
        <w:rPr>
          <w:rFonts w:ascii="Arial" w:hAnsi="Arial" w:cs="Arial"/>
          <w:sz w:val="24"/>
          <w:szCs w:val="24"/>
        </w:rPr>
        <w:t>to evaluate the cost</w:t>
      </w:r>
      <w:r w:rsidRPr="006344DE">
        <w:rPr>
          <w:rFonts w:ascii="Cambria Math" w:hAnsi="Cambria Math" w:cs="Cambria Math"/>
          <w:sz w:val="24"/>
          <w:szCs w:val="24"/>
        </w:rPr>
        <w:t>‑</w:t>
      </w:r>
      <w:r w:rsidRPr="006344DE">
        <w:rPr>
          <w:rFonts w:ascii="Arial" w:hAnsi="Arial" w:cs="Arial"/>
          <w:sz w:val="24"/>
          <w:szCs w:val="24"/>
        </w:rPr>
        <w:t>effectiveness of several market design concepts for achieving resource adequacy, including DRRS as a strict operating reserve, expanded shortage pricing</w:t>
      </w:r>
      <w:r w:rsidR="001F3598">
        <w:rPr>
          <w:rFonts w:ascii="Arial" w:hAnsi="Arial" w:cs="Arial"/>
          <w:sz w:val="24"/>
          <w:szCs w:val="24"/>
        </w:rPr>
        <w:t>, and DRRS+</w:t>
      </w:r>
      <w:r w:rsidRPr="006344DE">
        <w:rPr>
          <w:rFonts w:ascii="Arial" w:hAnsi="Arial" w:cs="Arial"/>
          <w:sz w:val="24"/>
          <w:szCs w:val="24"/>
        </w:rPr>
        <w:t>. However, Aurora’s implementation of DRRS+ bears little resemblance to the construct proposed in NPRR1310. In Aurora’s study, the capacity component is not cleared through a market process using a demand curve; instead, a revenue budget is determined based on prior</w:t>
      </w:r>
      <w:r w:rsidRPr="006344DE">
        <w:rPr>
          <w:rFonts w:ascii="Cambria Math" w:hAnsi="Cambria Math" w:cs="Cambria Math"/>
          <w:sz w:val="24"/>
          <w:szCs w:val="24"/>
        </w:rPr>
        <w:t>‑</w:t>
      </w:r>
      <w:r w:rsidRPr="006344DE">
        <w:rPr>
          <w:rFonts w:ascii="Arial" w:hAnsi="Arial" w:cs="Arial"/>
          <w:sz w:val="24"/>
          <w:szCs w:val="24"/>
        </w:rPr>
        <w:t>year net CONE and then distributed across the hours of the year using a function tied to hourly net load, concentrating revenues into the highest net</w:t>
      </w:r>
      <w:r w:rsidRPr="006344DE">
        <w:rPr>
          <w:rFonts w:ascii="Cambria Math" w:hAnsi="Cambria Math" w:cs="Cambria Math"/>
          <w:sz w:val="24"/>
          <w:szCs w:val="24"/>
        </w:rPr>
        <w:t>‑</w:t>
      </w:r>
      <w:r w:rsidRPr="006344DE">
        <w:rPr>
          <w:rFonts w:ascii="Arial" w:hAnsi="Arial" w:cs="Arial"/>
          <w:sz w:val="24"/>
          <w:szCs w:val="24"/>
        </w:rPr>
        <w:t xml:space="preserve">load hours. By contrast, NPRR1310 proposes procuring DRRS+ through the </w:t>
      </w:r>
      <w:r w:rsidR="003F502C">
        <w:rPr>
          <w:rFonts w:ascii="Arial" w:hAnsi="Arial" w:cs="Arial"/>
          <w:sz w:val="24"/>
          <w:szCs w:val="24"/>
        </w:rPr>
        <w:t>Day-Ahead Market (</w:t>
      </w:r>
      <w:r w:rsidRPr="006344DE">
        <w:rPr>
          <w:rFonts w:ascii="Arial" w:hAnsi="Arial" w:cs="Arial"/>
          <w:sz w:val="24"/>
          <w:szCs w:val="24"/>
        </w:rPr>
        <w:t>DAM</w:t>
      </w:r>
      <w:r w:rsidR="003F502C">
        <w:rPr>
          <w:rFonts w:ascii="Arial" w:hAnsi="Arial" w:cs="Arial"/>
          <w:sz w:val="24"/>
          <w:szCs w:val="24"/>
        </w:rPr>
        <w:t>)</w:t>
      </w:r>
      <w:r w:rsidRPr="006344DE">
        <w:rPr>
          <w:rFonts w:ascii="Arial" w:hAnsi="Arial" w:cs="Arial"/>
          <w:sz w:val="24"/>
          <w:szCs w:val="24"/>
        </w:rPr>
        <w:t xml:space="preserve"> and </w:t>
      </w:r>
      <w:r w:rsidR="003F502C">
        <w:rPr>
          <w:rFonts w:ascii="Arial" w:hAnsi="Arial" w:cs="Arial"/>
          <w:sz w:val="24"/>
          <w:szCs w:val="24"/>
        </w:rPr>
        <w:t>Real-Time Market (</w:t>
      </w:r>
      <w:r w:rsidRPr="006344DE">
        <w:rPr>
          <w:rFonts w:ascii="Arial" w:hAnsi="Arial" w:cs="Arial"/>
          <w:sz w:val="24"/>
          <w:szCs w:val="24"/>
        </w:rPr>
        <w:t>RTM</w:t>
      </w:r>
      <w:r w:rsidR="003F502C">
        <w:rPr>
          <w:rFonts w:ascii="Arial" w:hAnsi="Arial" w:cs="Arial"/>
          <w:sz w:val="24"/>
          <w:szCs w:val="24"/>
        </w:rPr>
        <w:t>)</w:t>
      </w:r>
      <w:r w:rsidRPr="006344DE">
        <w:rPr>
          <w:rFonts w:ascii="Arial" w:hAnsi="Arial" w:cs="Arial"/>
          <w:sz w:val="24"/>
          <w:szCs w:val="24"/>
        </w:rPr>
        <w:t xml:space="preserve"> and pricing it through an extended DRRS demand curve with a flat $10/MWh segment.</w:t>
      </w:r>
      <w:r w:rsidR="00951B21">
        <w:rPr>
          <w:rFonts w:ascii="Arial" w:hAnsi="Arial" w:cs="Arial"/>
          <w:sz w:val="24"/>
          <w:szCs w:val="24"/>
        </w:rPr>
        <w:t xml:space="preserve"> </w:t>
      </w:r>
      <w:r w:rsidR="00DE16BF">
        <w:rPr>
          <w:rFonts w:ascii="Arial" w:hAnsi="Arial" w:cs="Arial"/>
          <w:sz w:val="24"/>
          <w:szCs w:val="24"/>
        </w:rPr>
        <w:t xml:space="preserve">These concepts are completely different, and ERCOT has yet to present </w:t>
      </w:r>
      <w:proofErr w:type="gramStart"/>
      <w:r w:rsidR="00DE16BF">
        <w:rPr>
          <w:rFonts w:ascii="Arial" w:hAnsi="Arial" w:cs="Arial"/>
          <w:sz w:val="24"/>
          <w:szCs w:val="24"/>
        </w:rPr>
        <w:t>any</w:t>
      </w:r>
      <w:proofErr w:type="gramEnd"/>
      <w:r w:rsidR="00DE16BF">
        <w:rPr>
          <w:rFonts w:ascii="Arial" w:hAnsi="Arial" w:cs="Arial"/>
          <w:sz w:val="24"/>
          <w:szCs w:val="24"/>
        </w:rPr>
        <w:t xml:space="preserve"> analysis on the net effect of NPRR1310 on system-wide revenue outcomes. </w:t>
      </w:r>
    </w:p>
    <w:p w14:paraId="24A16F98" w14:textId="12FACD65" w:rsidR="001E1625" w:rsidRPr="00ED15B9" w:rsidRDefault="00F9748F" w:rsidP="00693818">
      <w:pPr>
        <w:pStyle w:val="ListParagraph"/>
        <w:numPr>
          <w:ilvl w:val="0"/>
          <w:numId w:val="11"/>
        </w:numPr>
        <w:spacing w:after="160"/>
        <w:rPr>
          <w:rFonts w:ascii="Arial" w:hAnsi="Arial" w:cs="Arial"/>
          <w:sz w:val="24"/>
          <w:szCs w:val="24"/>
        </w:rPr>
      </w:pPr>
      <w:r>
        <w:rPr>
          <w:rFonts w:ascii="Arial" w:hAnsi="Arial" w:cs="Arial"/>
          <w:b/>
          <w:bCs/>
          <w:sz w:val="24"/>
          <w:szCs w:val="24"/>
        </w:rPr>
        <w:t>Release Factor</w:t>
      </w:r>
      <w:r w:rsidR="00736C4C">
        <w:rPr>
          <w:rFonts w:ascii="Arial" w:hAnsi="Arial" w:cs="Arial"/>
          <w:b/>
          <w:bCs/>
          <w:sz w:val="24"/>
          <w:szCs w:val="24"/>
        </w:rPr>
        <w:t>, Single DRRS Demand Curve and Clearing Price</w:t>
      </w:r>
    </w:p>
    <w:p w14:paraId="5D10AD90" w14:textId="7F72CA46" w:rsidR="00693818" w:rsidRDefault="000C2D58" w:rsidP="00ED15B9">
      <w:pPr>
        <w:pStyle w:val="NormalArial"/>
        <w:rPr>
          <w:rFonts w:cs="Arial"/>
          <w:sz w:val="24"/>
          <w:szCs w:val="24"/>
        </w:rPr>
      </w:pPr>
      <w:r>
        <w:rPr>
          <w:rFonts w:cs="Arial"/>
          <w:sz w:val="24"/>
          <w:szCs w:val="24"/>
        </w:rPr>
        <w:t xml:space="preserve">The volumes of DRRS meant to function as an operating reserve vs. as a capacity product (i.e., “overlapping” DRRS) are expected to be set independently. </w:t>
      </w:r>
      <w:r w:rsidR="007C0CE0" w:rsidRPr="00C3651A">
        <w:rPr>
          <w:sz w:val="24"/>
          <w:szCs w:val="24"/>
        </w:rPr>
        <w:t>Despite the obvious differences in function and intent of the overlapping and exclusive portions of DRRS, they would be treated in the market optimization as a single product sharing the same demand curve and clearing price</w:t>
      </w:r>
      <w:r w:rsidR="00D52B27">
        <w:rPr>
          <w:sz w:val="24"/>
          <w:szCs w:val="24"/>
        </w:rPr>
        <w:t>.</w:t>
      </w:r>
      <w:r w:rsidR="006F0681">
        <w:rPr>
          <w:sz w:val="24"/>
          <w:szCs w:val="24"/>
        </w:rPr>
        <w:t xml:space="preserve"> </w:t>
      </w:r>
      <w:r w:rsidR="00135F70">
        <w:rPr>
          <w:rFonts w:cs="Arial"/>
          <w:sz w:val="24"/>
          <w:szCs w:val="24"/>
        </w:rPr>
        <w:t xml:space="preserve">To maintain the </w:t>
      </w:r>
      <w:r w:rsidR="6309DD8A" w:rsidRPr="76424088">
        <w:rPr>
          <w:rFonts w:cs="Arial"/>
          <w:sz w:val="24"/>
          <w:szCs w:val="24"/>
        </w:rPr>
        <w:t>pretense</w:t>
      </w:r>
      <w:r w:rsidR="00135F70">
        <w:rPr>
          <w:rFonts w:cs="Arial"/>
          <w:sz w:val="24"/>
          <w:szCs w:val="24"/>
        </w:rPr>
        <w:t xml:space="preserve"> that these are in fact one </w:t>
      </w:r>
      <w:r w:rsidR="00526AFA">
        <w:rPr>
          <w:rFonts w:cs="Arial"/>
          <w:sz w:val="24"/>
          <w:szCs w:val="24"/>
        </w:rPr>
        <w:t>A</w:t>
      </w:r>
      <w:r w:rsidR="00135F70">
        <w:rPr>
          <w:rFonts w:cs="Arial"/>
          <w:sz w:val="24"/>
          <w:szCs w:val="24"/>
        </w:rPr>
        <w:t xml:space="preserve">ncillary </w:t>
      </w:r>
      <w:r w:rsidR="00526AFA">
        <w:rPr>
          <w:rFonts w:cs="Arial"/>
          <w:sz w:val="24"/>
          <w:szCs w:val="24"/>
        </w:rPr>
        <w:t>S</w:t>
      </w:r>
      <w:r w:rsidR="00135F70">
        <w:rPr>
          <w:rFonts w:cs="Arial"/>
          <w:sz w:val="24"/>
          <w:szCs w:val="24"/>
        </w:rPr>
        <w:t>ervice product, ERCOT has introduced the “release factor” concept</w:t>
      </w:r>
      <w:r w:rsidR="008476FF">
        <w:rPr>
          <w:rFonts w:cs="Arial"/>
          <w:sz w:val="24"/>
          <w:szCs w:val="24"/>
        </w:rPr>
        <w:t>, which is defined as t</w:t>
      </w:r>
      <w:r w:rsidR="002C204E">
        <w:rPr>
          <w:rFonts w:cs="Arial"/>
          <w:sz w:val="24"/>
          <w:szCs w:val="24"/>
        </w:rPr>
        <w:t>he percentage of</w:t>
      </w:r>
      <w:r w:rsidR="001E1625" w:rsidRPr="00C3651A">
        <w:rPr>
          <w:sz w:val="24"/>
          <w:szCs w:val="24"/>
        </w:rPr>
        <w:t xml:space="preserve"> the total volume of DRRS awards that are allowed to overlap with energy and other </w:t>
      </w:r>
      <w:r w:rsidR="003F502C">
        <w:rPr>
          <w:sz w:val="24"/>
          <w:szCs w:val="24"/>
        </w:rPr>
        <w:t>A</w:t>
      </w:r>
      <w:r w:rsidR="001E1625" w:rsidRPr="00C3651A">
        <w:rPr>
          <w:sz w:val="24"/>
          <w:szCs w:val="24"/>
        </w:rPr>
        <w:t xml:space="preserve">ncillary </w:t>
      </w:r>
      <w:r w:rsidR="003F502C">
        <w:rPr>
          <w:sz w:val="24"/>
          <w:szCs w:val="24"/>
        </w:rPr>
        <w:t>S</w:t>
      </w:r>
      <w:r w:rsidR="001E1625" w:rsidRPr="00C3651A">
        <w:rPr>
          <w:sz w:val="24"/>
          <w:szCs w:val="24"/>
        </w:rPr>
        <w:t xml:space="preserve">ervices. This concept is formulated as an hourly, </w:t>
      </w:r>
      <w:r w:rsidR="003F502C">
        <w:rPr>
          <w:sz w:val="24"/>
          <w:szCs w:val="24"/>
        </w:rPr>
        <w:t>R</w:t>
      </w:r>
      <w:r w:rsidR="001E1625" w:rsidRPr="00C3651A">
        <w:rPr>
          <w:sz w:val="24"/>
          <w:szCs w:val="24"/>
        </w:rPr>
        <w:t xml:space="preserve">esource-level constraint. For the market to go short on DRRS, it must go short on both the overlapping and exclusive components of DRRS proportionally according to the release factor. This formulation will inhibit co-optimization of DRRS with energy and other </w:t>
      </w:r>
      <w:r w:rsidR="003F502C">
        <w:rPr>
          <w:sz w:val="24"/>
          <w:szCs w:val="24"/>
        </w:rPr>
        <w:t>A</w:t>
      </w:r>
      <w:r w:rsidR="001E1625" w:rsidRPr="00C3651A">
        <w:rPr>
          <w:sz w:val="24"/>
          <w:szCs w:val="24"/>
        </w:rPr>
        <w:t xml:space="preserve">ncillary </w:t>
      </w:r>
      <w:r w:rsidR="003F502C">
        <w:rPr>
          <w:sz w:val="24"/>
          <w:szCs w:val="24"/>
        </w:rPr>
        <w:t>S</w:t>
      </w:r>
      <w:r w:rsidR="001E1625" w:rsidRPr="00C3651A">
        <w:rPr>
          <w:sz w:val="24"/>
          <w:szCs w:val="24"/>
        </w:rPr>
        <w:t xml:space="preserve">ervices, resulting in inefficient awards and clearing prices </w:t>
      </w:r>
      <w:r w:rsidR="00A75957">
        <w:rPr>
          <w:sz w:val="24"/>
          <w:szCs w:val="24"/>
        </w:rPr>
        <w:t>which we describe</w:t>
      </w:r>
      <w:r w:rsidR="001E1625" w:rsidRPr="00C3651A">
        <w:rPr>
          <w:sz w:val="24"/>
          <w:szCs w:val="24"/>
        </w:rPr>
        <w:t xml:space="preserve"> in the following </w:t>
      </w:r>
      <w:r w:rsidR="00B71836">
        <w:rPr>
          <w:sz w:val="24"/>
          <w:szCs w:val="24"/>
        </w:rPr>
        <w:t>section</w:t>
      </w:r>
      <w:r w:rsidR="001E1625" w:rsidRPr="00C3651A">
        <w:rPr>
          <w:sz w:val="24"/>
          <w:szCs w:val="24"/>
        </w:rPr>
        <w:t>.</w:t>
      </w:r>
    </w:p>
    <w:p w14:paraId="01BA1A9B" w14:textId="77777777" w:rsidR="00A523BF" w:rsidRDefault="00A523BF">
      <w:pPr>
        <w:rPr>
          <w:rFonts w:ascii="Arial" w:hAnsi="Arial" w:cs="Arial"/>
          <w:sz w:val="24"/>
          <w:szCs w:val="24"/>
        </w:rPr>
      </w:pPr>
    </w:p>
    <w:p w14:paraId="56B56318" w14:textId="7386ADC6" w:rsidR="00A05819" w:rsidRPr="00A05819" w:rsidRDefault="00F86227" w:rsidP="00B05F29">
      <w:pPr>
        <w:pStyle w:val="ListParagraph"/>
        <w:keepNext/>
        <w:numPr>
          <w:ilvl w:val="0"/>
          <w:numId w:val="14"/>
        </w:numPr>
        <w:spacing w:after="240"/>
        <w:contextualSpacing w:val="0"/>
        <w:rPr>
          <w:rFonts w:ascii="Arial" w:hAnsi="Arial" w:cs="Arial"/>
          <w:b/>
          <w:bCs/>
          <w:color w:val="215E99" w:themeColor="text2" w:themeTint="BF"/>
          <w:sz w:val="28"/>
          <w:szCs w:val="28"/>
        </w:rPr>
      </w:pPr>
      <w:r>
        <w:rPr>
          <w:rFonts w:ascii="Arial" w:hAnsi="Arial" w:cs="Arial"/>
          <w:b/>
          <w:bCs/>
          <w:color w:val="215E99" w:themeColor="text2" w:themeTint="BF"/>
          <w:sz w:val="28"/>
          <w:szCs w:val="28"/>
        </w:rPr>
        <w:t xml:space="preserve">Implications for </w:t>
      </w:r>
      <w:r w:rsidR="0049766E">
        <w:rPr>
          <w:rFonts w:ascii="Arial" w:hAnsi="Arial" w:cs="Arial"/>
          <w:b/>
          <w:bCs/>
          <w:color w:val="215E99" w:themeColor="text2" w:themeTint="BF"/>
          <w:sz w:val="28"/>
          <w:szCs w:val="28"/>
        </w:rPr>
        <w:t xml:space="preserve">Reliability and </w:t>
      </w:r>
      <w:r>
        <w:rPr>
          <w:rFonts w:ascii="Arial" w:hAnsi="Arial" w:cs="Arial"/>
          <w:b/>
          <w:bCs/>
          <w:color w:val="215E99" w:themeColor="text2" w:themeTint="BF"/>
          <w:sz w:val="28"/>
          <w:szCs w:val="28"/>
        </w:rPr>
        <w:t>Market Performance</w:t>
      </w:r>
    </w:p>
    <w:p w14:paraId="72AE34BA" w14:textId="4A6761FD" w:rsidR="00F630D5" w:rsidRPr="00F630D5" w:rsidRDefault="001B5DD5" w:rsidP="00535600">
      <w:pPr>
        <w:pStyle w:val="ListParagraph"/>
        <w:keepNext/>
        <w:numPr>
          <w:ilvl w:val="0"/>
          <w:numId w:val="15"/>
        </w:numPr>
        <w:spacing w:after="160"/>
        <w:rPr>
          <w:rFonts w:ascii="Arial" w:hAnsi="Arial" w:cs="Arial"/>
          <w:sz w:val="24"/>
          <w:szCs w:val="24"/>
        </w:rPr>
      </w:pPr>
      <w:r>
        <w:rPr>
          <w:rFonts w:ascii="Arial" w:hAnsi="Arial" w:cs="Arial"/>
          <w:b/>
          <w:bCs/>
          <w:sz w:val="24"/>
          <w:szCs w:val="24"/>
        </w:rPr>
        <w:t xml:space="preserve">NPRR1310 Incentivizes Inefficient </w:t>
      </w:r>
      <w:r w:rsidR="00971E36">
        <w:rPr>
          <w:rFonts w:ascii="Arial" w:hAnsi="Arial" w:cs="Arial"/>
          <w:b/>
          <w:bCs/>
          <w:sz w:val="24"/>
          <w:szCs w:val="24"/>
        </w:rPr>
        <w:t xml:space="preserve">Commitment </w:t>
      </w:r>
      <w:r>
        <w:rPr>
          <w:rFonts w:ascii="Arial" w:hAnsi="Arial" w:cs="Arial"/>
          <w:b/>
          <w:bCs/>
          <w:sz w:val="24"/>
          <w:szCs w:val="24"/>
        </w:rPr>
        <w:t>Behavior</w:t>
      </w:r>
    </w:p>
    <w:p w14:paraId="2029ABF3" w14:textId="44C6B11B" w:rsidR="00F630D5" w:rsidRDefault="00F630D5" w:rsidP="00F630D5">
      <w:pPr>
        <w:spacing w:after="160"/>
        <w:rPr>
          <w:rFonts w:ascii="Arial" w:hAnsi="Arial" w:cs="Arial"/>
          <w:sz w:val="24"/>
          <w:szCs w:val="24"/>
        </w:rPr>
      </w:pPr>
      <w:r w:rsidRPr="00F630D5">
        <w:rPr>
          <w:rFonts w:ascii="Arial" w:hAnsi="Arial" w:cs="Arial"/>
          <w:sz w:val="24"/>
          <w:szCs w:val="24"/>
        </w:rPr>
        <w:t xml:space="preserve">Under the proposed framework, offline resources with start times longer than two hours are not eligible to be awarded DRRS unless they are </w:t>
      </w:r>
      <w:r w:rsidR="003F502C">
        <w:rPr>
          <w:rFonts w:ascii="Arial" w:hAnsi="Arial" w:cs="Arial"/>
          <w:sz w:val="24"/>
          <w:szCs w:val="24"/>
        </w:rPr>
        <w:t>O</w:t>
      </w:r>
      <w:r w:rsidRPr="00F630D5">
        <w:rPr>
          <w:rFonts w:ascii="Arial" w:hAnsi="Arial" w:cs="Arial"/>
          <w:sz w:val="24"/>
          <w:szCs w:val="24"/>
        </w:rPr>
        <w:t>n</w:t>
      </w:r>
      <w:r w:rsidR="003F502C">
        <w:rPr>
          <w:rFonts w:ascii="Arial" w:hAnsi="Arial" w:cs="Arial"/>
          <w:sz w:val="24"/>
          <w:szCs w:val="24"/>
        </w:rPr>
        <w:t>-L</w:t>
      </w:r>
      <w:r w:rsidRPr="00F630D5">
        <w:rPr>
          <w:rFonts w:ascii="Arial" w:hAnsi="Arial" w:cs="Arial"/>
          <w:sz w:val="24"/>
          <w:szCs w:val="24"/>
        </w:rPr>
        <w:t xml:space="preserve">ine. That eligibility cliff, combined with the prospect of sustained DRRS revenues in hours when DRRS is being used as a resource adequacy tool, creates a predictable incentive: </w:t>
      </w:r>
      <w:r w:rsidR="003F502C">
        <w:rPr>
          <w:rFonts w:ascii="Arial" w:hAnsi="Arial" w:cs="Arial"/>
          <w:sz w:val="24"/>
          <w:szCs w:val="24"/>
        </w:rPr>
        <w:t>R</w:t>
      </w:r>
      <w:r w:rsidRPr="00F630D5">
        <w:rPr>
          <w:rFonts w:ascii="Arial" w:hAnsi="Arial" w:cs="Arial"/>
          <w:sz w:val="24"/>
          <w:szCs w:val="24"/>
        </w:rPr>
        <w:t xml:space="preserve">esources that would otherwise remain </w:t>
      </w:r>
      <w:r w:rsidR="003F502C">
        <w:rPr>
          <w:rFonts w:ascii="Arial" w:hAnsi="Arial" w:cs="Arial"/>
          <w:sz w:val="24"/>
          <w:szCs w:val="24"/>
        </w:rPr>
        <w:t>O</w:t>
      </w:r>
      <w:r w:rsidR="00C705F8" w:rsidRPr="00F630D5">
        <w:rPr>
          <w:rFonts w:ascii="Arial" w:hAnsi="Arial" w:cs="Arial"/>
          <w:sz w:val="24"/>
          <w:szCs w:val="24"/>
        </w:rPr>
        <w:t>ff</w:t>
      </w:r>
      <w:r w:rsidR="003F502C">
        <w:rPr>
          <w:rFonts w:ascii="Arial" w:hAnsi="Arial" w:cs="Arial"/>
          <w:sz w:val="24"/>
          <w:szCs w:val="24"/>
        </w:rPr>
        <w:t>-L</w:t>
      </w:r>
      <w:r w:rsidR="00C705F8" w:rsidRPr="00ED15B9">
        <w:rPr>
          <w:rFonts w:ascii="Arial" w:hAnsi="Arial" w:cs="Arial"/>
          <w:sz w:val="24"/>
          <w:szCs w:val="24"/>
        </w:rPr>
        <w:t>ine</w:t>
      </w:r>
      <w:r w:rsidRPr="00F630D5">
        <w:rPr>
          <w:rFonts w:ascii="Arial" w:hAnsi="Arial" w:cs="Arial"/>
          <w:sz w:val="24"/>
          <w:szCs w:val="24"/>
        </w:rPr>
        <w:t xml:space="preserve"> may choose to commit and run at </w:t>
      </w:r>
      <w:r w:rsidR="003F502C">
        <w:rPr>
          <w:rFonts w:ascii="Arial" w:hAnsi="Arial" w:cs="Arial"/>
          <w:sz w:val="24"/>
          <w:szCs w:val="24"/>
        </w:rPr>
        <w:t xml:space="preserve">Low Sustained Limit </w:t>
      </w:r>
      <w:r w:rsidR="003F502C">
        <w:rPr>
          <w:rFonts w:ascii="Arial" w:hAnsi="Arial" w:cs="Arial"/>
          <w:sz w:val="24"/>
          <w:szCs w:val="24"/>
        </w:rPr>
        <w:lastRenderedPageBreak/>
        <w:t>(</w:t>
      </w:r>
      <w:r w:rsidRPr="00F630D5">
        <w:rPr>
          <w:rFonts w:ascii="Arial" w:hAnsi="Arial" w:cs="Arial"/>
          <w:sz w:val="24"/>
          <w:szCs w:val="24"/>
        </w:rPr>
        <w:t>LSL</w:t>
      </w:r>
      <w:r w:rsidR="003F502C">
        <w:rPr>
          <w:rFonts w:ascii="Arial" w:hAnsi="Arial" w:cs="Arial"/>
          <w:sz w:val="24"/>
          <w:szCs w:val="24"/>
        </w:rPr>
        <w:t>)</w:t>
      </w:r>
      <w:r w:rsidRPr="00F630D5">
        <w:rPr>
          <w:rFonts w:ascii="Arial" w:hAnsi="Arial" w:cs="Arial"/>
          <w:sz w:val="24"/>
          <w:szCs w:val="24"/>
        </w:rPr>
        <w:t xml:space="preserve"> to become eligible to carry DRRS on their </w:t>
      </w:r>
      <w:r w:rsidR="003F502C">
        <w:rPr>
          <w:rFonts w:ascii="Arial" w:hAnsi="Arial" w:cs="Arial"/>
          <w:sz w:val="24"/>
          <w:szCs w:val="24"/>
        </w:rPr>
        <w:t>O</w:t>
      </w:r>
      <w:r w:rsidRPr="00F630D5">
        <w:rPr>
          <w:rFonts w:ascii="Arial" w:hAnsi="Arial" w:cs="Arial"/>
          <w:sz w:val="24"/>
          <w:szCs w:val="24"/>
        </w:rPr>
        <w:t>n</w:t>
      </w:r>
      <w:r w:rsidR="003F502C">
        <w:rPr>
          <w:rFonts w:ascii="Arial" w:hAnsi="Arial" w:cs="Arial"/>
          <w:sz w:val="24"/>
          <w:szCs w:val="24"/>
        </w:rPr>
        <w:t>-L</w:t>
      </w:r>
      <w:r w:rsidRPr="00F630D5">
        <w:rPr>
          <w:rFonts w:ascii="Arial" w:hAnsi="Arial" w:cs="Arial"/>
          <w:sz w:val="24"/>
          <w:szCs w:val="24"/>
        </w:rPr>
        <w:t xml:space="preserve">ine headroom. In a </w:t>
      </w:r>
      <w:proofErr w:type="gramStart"/>
      <w:r w:rsidRPr="00F630D5">
        <w:rPr>
          <w:rFonts w:ascii="Arial" w:hAnsi="Arial" w:cs="Arial"/>
          <w:sz w:val="24"/>
          <w:szCs w:val="24"/>
        </w:rPr>
        <w:t>construct</w:t>
      </w:r>
      <w:proofErr w:type="gramEnd"/>
      <w:r w:rsidRPr="00F630D5">
        <w:rPr>
          <w:rFonts w:ascii="Arial" w:hAnsi="Arial" w:cs="Arial"/>
          <w:sz w:val="24"/>
          <w:szCs w:val="24"/>
        </w:rPr>
        <w:t xml:space="preserve"> designed to clear large volumes at a flat price for extended periods, even a relatively modest DRRS price can materially change commitment incentives</w:t>
      </w:r>
      <w:r w:rsidR="00C705F8">
        <w:rPr>
          <w:rFonts w:ascii="Arial" w:hAnsi="Arial" w:cs="Arial"/>
          <w:sz w:val="24"/>
          <w:szCs w:val="24"/>
        </w:rPr>
        <w:t xml:space="preserve">, thus </w:t>
      </w:r>
      <w:r w:rsidRPr="00F630D5">
        <w:rPr>
          <w:rFonts w:ascii="Arial" w:hAnsi="Arial" w:cs="Arial"/>
          <w:sz w:val="24"/>
          <w:szCs w:val="24"/>
        </w:rPr>
        <w:t xml:space="preserve">encouraging superfluous </w:t>
      </w:r>
      <w:r w:rsidR="003F502C">
        <w:rPr>
          <w:rFonts w:ascii="Arial" w:hAnsi="Arial" w:cs="Arial"/>
          <w:sz w:val="24"/>
          <w:szCs w:val="24"/>
        </w:rPr>
        <w:t>O</w:t>
      </w:r>
      <w:r w:rsidRPr="00F630D5">
        <w:rPr>
          <w:rFonts w:ascii="Arial" w:hAnsi="Arial" w:cs="Arial"/>
          <w:sz w:val="24"/>
          <w:szCs w:val="24"/>
        </w:rPr>
        <w:t>n</w:t>
      </w:r>
      <w:r w:rsidR="003F502C">
        <w:rPr>
          <w:rFonts w:ascii="Arial" w:hAnsi="Arial" w:cs="Arial"/>
          <w:sz w:val="24"/>
          <w:szCs w:val="24"/>
        </w:rPr>
        <w:t>-L</w:t>
      </w:r>
      <w:r w:rsidRPr="00F630D5">
        <w:rPr>
          <w:rFonts w:ascii="Arial" w:hAnsi="Arial" w:cs="Arial"/>
          <w:sz w:val="24"/>
          <w:szCs w:val="24"/>
        </w:rPr>
        <w:t>ine operation that is not driven by energy economics or reliability need.</w:t>
      </w:r>
    </w:p>
    <w:p w14:paraId="795575FD" w14:textId="77777777" w:rsidR="00E3654F" w:rsidRPr="00ED15B9" w:rsidRDefault="00E3654F" w:rsidP="00ED15B9">
      <w:pPr>
        <w:pStyle w:val="ListParagraph"/>
        <w:keepNext/>
        <w:numPr>
          <w:ilvl w:val="0"/>
          <w:numId w:val="15"/>
        </w:numPr>
        <w:spacing w:after="160"/>
        <w:rPr>
          <w:rFonts w:ascii="Arial" w:hAnsi="Arial" w:cs="Arial"/>
          <w:b/>
          <w:sz w:val="24"/>
          <w:szCs w:val="24"/>
        </w:rPr>
      </w:pPr>
      <w:r w:rsidRPr="00AB1FBD">
        <w:rPr>
          <w:rFonts w:ascii="Arial" w:hAnsi="Arial" w:cs="Arial"/>
          <w:b/>
          <w:bCs/>
          <w:sz w:val="24"/>
          <w:szCs w:val="24"/>
        </w:rPr>
        <w:t xml:space="preserve">When DRRS </w:t>
      </w:r>
      <w:r>
        <w:rPr>
          <w:rFonts w:ascii="Arial" w:hAnsi="Arial" w:cs="Arial"/>
          <w:b/>
          <w:bCs/>
          <w:sz w:val="24"/>
          <w:szCs w:val="24"/>
        </w:rPr>
        <w:t>G</w:t>
      </w:r>
      <w:r w:rsidRPr="00AB1FBD">
        <w:rPr>
          <w:rFonts w:ascii="Arial" w:hAnsi="Arial" w:cs="Arial"/>
          <w:b/>
          <w:bCs/>
          <w:sz w:val="24"/>
          <w:szCs w:val="24"/>
        </w:rPr>
        <w:t xml:space="preserve">oes </w:t>
      </w:r>
      <w:r>
        <w:rPr>
          <w:rFonts w:ascii="Arial" w:hAnsi="Arial" w:cs="Arial"/>
          <w:b/>
          <w:bCs/>
          <w:sz w:val="24"/>
          <w:szCs w:val="24"/>
        </w:rPr>
        <w:t>S</w:t>
      </w:r>
      <w:r w:rsidRPr="00AB1FBD">
        <w:rPr>
          <w:rFonts w:ascii="Arial" w:hAnsi="Arial" w:cs="Arial"/>
          <w:b/>
          <w:bCs/>
          <w:sz w:val="24"/>
          <w:szCs w:val="24"/>
        </w:rPr>
        <w:t xml:space="preserve">hort, it </w:t>
      </w:r>
      <w:r>
        <w:rPr>
          <w:rFonts w:ascii="Arial" w:hAnsi="Arial" w:cs="Arial"/>
          <w:b/>
          <w:bCs/>
          <w:sz w:val="24"/>
          <w:szCs w:val="24"/>
        </w:rPr>
        <w:t>G</w:t>
      </w:r>
      <w:r w:rsidRPr="00AB1FBD">
        <w:rPr>
          <w:rFonts w:ascii="Arial" w:hAnsi="Arial" w:cs="Arial"/>
          <w:b/>
          <w:bCs/>
          <w:sz w:val="24"/>
          <w:szCs w:val="24"/>
        </w:rPr>
        <w:t xml:space="preserve">oes </w:t>
      </w:r>
      <w:r>
        <w:rPr>
          <w:rFonts w:ascii="Arial" w:hAnsi="Arial" w:cs="Arial"/>
          <w:b/>
          <w:bCs/>
          <w:sz w:val="24"/>
          <w:szCs w:val="24"/>
        </w:rPr>
        <w:t>S</w:t>
      </w:r>
      <w:r w:rsidRPr="00AB1FBD">
        <w:rPr>
          <w:rFonts w:ascii="Arial" w:hAnsi="Arial" w:cs="Arial"/>
          <w:b/>
          <w:bCs/>
          <w:sz w:val="24"/>
          <w:szCs w:val="24"/>
        </w:rPr>
        <w:t xml:space="preserve">hort on </w:t>
      </w:r>
      <w:r>
        <w:rPr>
          <w:rFonts w:ascii="Arial" w:hAnsi="Arial" w:cs="Arial"/>
          <w:b/>
          <w:bCs/>
          <w:sz w:val="24"/>
          <w:szCs w:val="24"/>
        </w:rPr>
        <w:t>B</w:t>
      </w:r>
      <w:r w:rsidRPr="00AB1FBD">
        <w:rPr>
          <w:rFonts w:ascii="Arial" w:hAnsi="Arial" w:cs="Arial"/>
          <w:b/>
          <w:bCs/>
          <w:sz w:val="24"/>
          <w:szCs w:val="24"/>
        </w:rPr>
        <w:t xml:space="preserve">oth its </w:t>
      </w:r>
      <w:r>
        <w:rPr>
          <w:rFonts w:ascii="Arial" w:hAnsi="Arial" w:cs="Arial"/>
          <w:b/>
          <w:bCs/>
          <w:sz w:val="24"/>
          <w:szCs w:val="24"/>
        </w:rPr>
        <w:t>OR</w:t>
      </w:r>
      <w:r w:rsidRPr="00AB1FBD">
        <w:rPr>
          <w:rFonts w:ascii="Arial" w:hAnsi="Arial" w:cs="Arial"/>
          <w:b/>
          <w:bCs/>
          <w:sz w:val="24"/>
          <w:szCs w:val="24"/>
        </w:rPr>
        <w:t xml:space="preserve"> and</w:t>
      </w:r>
      <w:r>
        <w:rPr>
          <w:rFonts w:ascii="Arial" w:hAnsi="Arial" w:cs="Arial"/>
          <w:b/>
          <w:bCs/>
          <w:sz w:val="24"/>
          <w:szCs w:val="24"/>
        </w:rPr>
        <w:t xml:space="preserve"> RA</w:t>
      </w:r>
      <w:r w:rsidRPr="00AB1FBD">
        <w:rPr>
          <w:rFonts w:ascii="Arial" w:hAnsi="Arial" w:cs="Arial"/>
          <w:b/>
          <w:bCs/>
          <w:sz w:val="24"/>
          <w:szCs w:val="24"/>
        </w:rPr>
        <w:t xml:space="preserve"> </w:t>
      </w:r>
      <w:r>
        <w:rPr>
          <w:rFonts w:ascii="Arial" w:hAnsi="Arial" w:cs="Arial"/>
          <w:b/>
          <w:bCs/>
          <w:sz w:val="24"/>
          <w:szCs w:val="24"/>
        </w:rPr>
        <w:t>C</w:t>
      </w:r>
      <w:r w:rsidRPr="00AB1FBD">
        <w:rPr>
          <w:rFonts w:ascii="Arial" w:hAnsi="Arial" w:cs="Arial"/>
          <w:b/>
          <w:bCs/>
          <w:sz w:val="24"/>
          <w:szCs w:val="24"/>
        </w:rPr>
        <w:t>omponents</w:t>
      </w:r>
    </w:p>
    <w:p w14:paraId="77A6C2D1" w14:textId="76AD902F" w:rsidR="00FF0DFA" w:rsidRPr="00F630D5" w:rsidRDefault="00E3654F" w:rsidP="00E3654F">
      <w:pPr>
        <w:spacing w:after="160"/>
        <w:rPr>
          <w:rFonts w:ascii="Arial" w:hAnsi="Arial" w:cs="Arial"/>
          <w:sz w:val="24"/>
          <w:szCs w:val="24"/>
        </w:rPr>
      </w:pPr>
      <w:r w:rsidRPr="005207FD">
        <w:rPr>
          <w:rFonts w:ascii="Arial" w:hAnsi="Arial" w:cs="Arial"/>
          <w:sz w:val="24"/>
          <w:szCs w:val="24"/>
        </w:rPr>
        <w:t>The formulation of the release factor means that shortages occur proportionally across the exclusive (operating reserve) and overlapping (capacity) components. For example, consider an RF of 98% and a total DRRS requirement of 100,000 MW. Of that, 2,000 MW represents true operating reserves</w:t>
      </w:r>
      <w:r w:rsidR="00232724">
        <w:rPr>
          <w:rFonts w:ascii="Arial" w:hAnsi="Arial" w:cs="Arial"/>
          <w:sz w:val="24"/>
          <w:szCs w:val="24"/>
        </w:rPr>
        <w:t>,</w:t>
      </w:r>
      <w:r w:rsidRPr="005207FD">
        <w:rPr>
          <w:rFonts w:ascii="Arial" w:hAnsi="Arial" w:cs="Arial"/>
          <w:sz w:val="24"/>
          <w:szCs w:val="24"/>
        </w:rPr>
        <w:t xml:space="preserve"> and 98,000 MW represents overlapping DRRS. Under this structure, DRRS will clear above $10/MWh only if the market is </w:t>
      </w:r>
      <w:proofErr w:type="gramStart"/>
      <w:r w:rsidRPr="005207FD">
        <w:rPr>
          <w:rFonts w:ascii="Arial" w:hAnsi="Arial" w:cs="Arial"/>
          <w:sz w:val="24"/>
          <w:szCs w:val="24"/>
        </w:rPr>
        <w:t>short more</w:t>
      </w:r>
      <w:proofErr w:type="gramEnd"/>
      <w:r w:rsidRPr="005207FD">
        <w:rPr>
          <w:rFonts w:ascii="Arial" w:hAnsi="Arial" w:cs="Arial"/>
          <w:sz w:val="24"/>
          <w:szCs w:val="24"/>
        </w:rPr>
        <w:t xml:space="preserve"> than 98,000 MW of overlapping DRRS. But a shortage of that magnitude necessarily wipes out almost the entire 2,000 MW operating reserve portion as well.</w:t>
      </w:r>
      <w:r w:rsidR="004E761E">
        <w:rPr>
          <w:rFonts w:ascii="Arial" w:hAnsi="Arial" w:cs="Arial"/>
          <w:sz w:val="24"/>
          <w:szCs w:val="24"/>
        </w:rPr>
        <w:t xml:space="preserve"> </w:t>
      </w:r>
      <w:r w:rsidR="00FF0DFA" w:rsidRPr="005207FD">
        <w:rPr>
          <w:rFonts w:ascii="Arial" w:hAnsi="Arial" w:cs="Arial"/>
          <w:sz w:val="24"/>
          <w:szCs w:val="24"/>
        </w:rPr>
        <w:t xml:space="preserve">In such a scenario, the market </w:t>
      </w:r>
      <w:r w:rsidR="00B1528B">
        <w:rPr>
          <w:rFonts w:ascii="Arial" w:hAnsi="Arial" w:cs="Arial"/>
          <w:sz w:val="24"/>
          <w:szCs w:val="24"/>
        </w:rPr>
        <w:t>w</w:t>
      </w:r>
      <w:r w:rsidR="00FF0DFA" w:rsidRPr="005207FD">
        <w:rPr>
          <w:rFonts w:ascii="Arial" w:hAnsi="Arial" w:cs="Arial"/>
          <w:sz w:val="24"/>
          <w:szCs w:val="24"/>
        </w:rPr>
        <w:t xml:space="preserve">ould be </w:t>
      </w:r>
      <w:proofErr w:type="gramStart"/>
      <w:r w:rsidR="00FF0DFA" w:rsidRPr="005207FD">
        <w:rPr>
          <w:rFonts w:ascii="Arial" w:hAnsi="Arial" w:cs="Arial"/>
          <w:sz w:val="24"/>
          <w:szCs w:val="24"/>
        </w:rPr>
        <w:t>short</w:t>
      </w:r>
      <w:proofErr w:type="gramEnd"/>
      <w:r w:rsidR="00FF0DFA" w:rsidRPr="005207FD">
        <w:rPr>
          <w:rFonts w:ascii="Arial" w:hAnsi="Arial" w:cs="Arial"/>
          <w:sz w:val="24"/>
          <w:szCs w:val="24"/>
        </w:rPr>
        <w:t xml:space="preserve"> 1,960 MW of operating reserves while still pricing DRRS at only $10/MWh</w:t>
      </w:r>
      <w:r w:rsidR="00FF0DFA">
        <w:rPr>
          <w:rFonts w:ascii="Arial" w:hAnsi="Arial" w:cs="Arial"/>
          <w:sz w:val="24"/>
          <w:szCs w:val="24"/>
        </w:rPr>
        <w:t>.</w:t>
      </w:r>
    </w:p>
    <w:p w14:paraId="00A3ACF8" w14:textId="529107D0" w:rsidR="004E761E" w:rsidRPr="004E761E" w:rsidRDefault="0089350F" w:rsidP="004E761E">
      <w:pPr>
        <w:pStyle w:val="ListParagraph"/>
        <w:keepNext/>
        <w:numPr>
          <w:ilvl w:val="0"/>
          <w:numId w:val="15"/>
        </w:numPr>
        <w:spacing w:after="160"/>
        <w:rPr>
          <w:rFonts w:ascii="Arial" w:hAnsi="Arial" w:cs="Arial"/>
          <w:b/>
          <w:bCs/>
          <w:sz w:val="24"/>
          <w:szCs w:val="24"/>
        </w:rPr>
      </w:pPr>
      <w:r>
        <w:rPr>
          <w:rFonts w:ascii="Arial" w:hAnsi="Arial" w:cs="Arial"/>
          <w:b/>
          <w:bCs/>
          <w:sz w:val="24"/>
          <w:szCs w:val="24"/>
        </w:rPr>
        <w:t>Excessive</w:t>
      </w:r>
      <w:r w:rsidR="004E761E" w:rsidRPr="004E761E">
        <w:rPr>
          <w:rFonts w:ascii="Arial" w:hAnsi="Arial" w:cs="Arial"/>
          <w:b/>
          <w:bCs/>
          <w:sz w:val="24"/>
          <w:szCs w:val="24"/>
        </w:rPr>
        <w:t xml:space="preserve"> RA Procurement </w:t>
      </w:r>
      <w:r>
        <w:rPr>
          <w:rFonts w:ascii="Arial" w:hAnsi="Arial" w:cs="Arial"/>
          <w:b/>
          <w:bCs/>
          <w:sz w:val="24"/>
          <w:szCs w:val="24"/>
        </w:rPr>
        <w:t>Results in</w:t>
      </w:r>
      <w:r w:rsidR="004E761E" w:rsidRPr="004E761E">
        <w:rPr>
          <w:rFonts w:ascii="Arial" w:hAnsi="Arial" w:cs="Arial"/>
          <w:b/>
          <w:bCs/>
          <w:sz w:val="24"/>
          <w:szCs w:val="24"/>
        </w:rPr>
        <w:t xml:space="preserve"> Operating Reserve </w:t>
      </w:r>
      <w:r>
        <w:rPr>
          <w:rFonts w:ascii="Arial" w:hAnsi="Arial" w:cs="Arial"/>
          <w:b/>
          <w:bCs/>
          <w:sz w:val="24"/>
          <w:szCs w:val="24"/>
        </w:rPr>
        <w:t>Shortages</w:t>
      </w:r>
    </w:p>
    <w:p w14:paraId="16965704" w14:textId="06197D87" w:rsidR="00837A43" w:rsidRDefault="00B416AF" w:rsidP="000C39CA">
      <w:pPr>
        <w:keepNext/>
        <w:spacing w:after="160"/>
        <w:rPr>
          <w:rFonts w:ascii="Arial" w:hAnsi="Arial" w:cs="Arial"/>
          <w:sz w:val="24"/>
          <w:szCs w:val="24"/>
        </w:rPr>
      </w:pPr>
      <w:r>
        <w:rPr>
          <w:rFonts w:ascii="Arial" w:hAnsi="Arial" w:cs="Arial"/>
          <w:sz w:val="24"/>
          <w:szCs w:val="24"/>
        </w:rPr>
        <w:t xml:space="preserve">ERCOT has indicated that the DRRS procurement targets will be set such that the price clears according to the DRRS </w:t>
      </w:r>
      <w:proofErr w:type="gramStart"/>
      <w:r>
        <w:rPr>
          <w:rFonts w:ascii="Arial" w:hAnsi="Arial" w:cs="Arial"/>
          <w:sz w:val="24"/>
          <w:szCs w:val="24"/>
        </w:rPr>
        <w:t>demand curve</w:t>
      </w:r>
      <w:proofErr w:type="gramEnd"/>
      <w:r>
        <w:rPr>
          <w:rFonts w:ascii="Arial" w:hAnsi="Arial" w:cs="Arial"/>
          <w:sz w:val="24"/>
          <w:szCs w:val="24"/>
        </w:rPr>
        <w:t xml:space="preserve"> consistently throughout the year.</w:t>
      </w:r>
      <w:r w:rsidR="004E761E" w:rsidRPr="00ED15B9">
        <w:rPr>
          <w:rFonts w:ascii="Arial" w:hAnsi="Arial" w:cs="Arial"/>
          <w:sz w:val="24"/>
          <w:szCs w:val="24"/>
        </w:rPr>
        <w:t xml:space="preserve"> </w:t>
      </w:r>
      <w:r w:rsidR="004C3FB7">
        <w:rPr>
          <w:rFonts w:ascii="Arial" w:hAnsi="Arial" w:cs="Arial"/>
          <w:sz w:val="24"/>
          <w:szCs w:val="24"/>
        </w:rPr>
        <w:t xml:space="preserve">To achieve that goal, the procurement target will </w:t>
      </w:r>
      <w:r w:rsidR="007674B5">
        <w:rPr>
          <w:rFonts w:ascii="Arial" w:hAnsi="Arial" w:cs="Arial"/>
          <w:sz w:val="24"/>
          <w:szCs w:val="24"/>
        </w:rPr>
        <w:t>always</w:t>
      </w:r>
      <w:r w:rsidR="004C3FB7">
        <w:rPr>
          <w:rFonts w:ascii="Arial" w:hAnsi="Arial" w:cs="Arial"/>
          <w:sz w:val="24"/>
          <w:szCs w:val="24"/>
        </w:rPr>
        <w:t xml:space="preserve"> have to be set higher than the available supply of DRRS-qualified capacity. </w:t>
      </w:r>
      <w:r w:rsidR="008C19BB">
        <w:rPr>
          <w:rFonts w:ascii="Arial" w:hAnsi="Arial" w:cs="Arial"/>
          <w:sz w:val="24"/>
          <w:szCs w:val="24"/>
        </w:rPr>
        <w:t xml:space="preserve">When the </w:t>
      </w:r>
      <w:r w:rsidR="004E761E" w:rsidRPr="00ED15B9">
        <w:rPr>
          <w:rFonts w:ascii="Arial" w:hAnsi="Arial" w:cs="Arial"/>
          <w:sz w:val="24"/>
          <w:szCs w:val="24"/>
        </w:rPr>
        <w:t xml:space="preserve">DRRS procurement </w:t>
      </w:r>
      <w:r w:rsidR="008C19BB">
        <w:rPr>
          <w:rFonts w:ascii="Arial" w:hAnsi="Arial" w:cs="Arial"/>
          <w:sz w:val="24"/>
          <w:szCs w:val="24"/>
        </w:rPr>
        <w:t xml:space="preserve">target is higher than </w:t>
      </w:r>
      <w:r w:rsidR="004E761E" w:rsidRPr="00ED15B9">
        <w:rPr>
          <w:rFonts w:ascii="Arial" w:hAnsi="Arial" w:cs="Arial"/>
          <w:sz w:val="24"/>
          <w:szCs w:val="24"/>
        </w:rPr>
        <w:t xml:space="preserve">available eligible supply, the </w:t>
      </w:r>
      <w:r w:rsidR="004155A0">
        <w:rPr>
          <w:rFonts w:ascii="Arial" w:hAnsi="Arial" w:cs="Arial"/>
          <w:sz w:val="24"/>
          <w:szCs w:val="24"/>
        </w:rPr>
        <w:t>market</w:t>
      </w:r>
      <w:r w:rsidR="004E761E" w:rsidRPr="00ED15B9">
        <w:rPr>
          <w:rFonts w:ascii="Arial" w:hAnsi="Arial" w:cs="Arial"/>
          <w:sz w:val="24"/>
          <w:szCs w:val="24"/>
        </w:rPr>
        <w:t xml:space="preserve"> will necessarily go short on DRRS, and that shortage will be shared across both the RA portion and the operating</w:t>
      </w:r>
      <w:r w:rsidR="004E761E" w:rsidRPr="00ED15B9">
        <w:rPr>
          <w:rFonts w:ascii="Cambria Math" w:hAnsi="Cambria Math" w:cs="Cambria Math"/>
          <w:sz w:val="24"/>
          <w:szCs w:val="24"/>
        </w:rPr>
        <w:t>‑</w:t>
      </w:r>
      <w:r w:rsidR="004E761E" w:rsidRPr="00ED15B9">
        <w:rPr>
          <w:rFonts w:ascii="Arial" w:hAnsi="Arial" w:cs="Arial"/>
          <w:sz w:val="24"/>
          <w:szCs w:val="24"/>
        </w:rPr>
        <w:t xml:space="preserve">reserve portion. In practical terms, an attempt to tune procurement to ensure DRRS clears along the flat $10/MWh segment </w:t>
      </w:r>
      <w:r w:rsidR="004155A0">
        <w:rPr>
          <w:rFonts w:ascii="Arial" w:hAnsi="Arial" w:cs="Arial"/>
          <w:sz w:val="24"/>
          <w:szCs w:val="24"/>
        </w:rPr>
        <w:t>will</w:t>
      </w:r>
      <w:r w:rsidR="004E761E" w:rsidRPr="00ED15B9">
        <w:rPr>
          <w:rFonts w:ascii="Arial" w:hAnsi="Arial" w:cs="Arial"/>
          <w:sz w:val="24"/>
          <w:szCs w:val="24"/>
        </w:rPr>
        <w:t xml:space="preserve"> inadvertently reduce the amount of exclusive operating reserves </w:t>
      </w:r>
      <w:r w:rsidR="001E23F4">
        <w:rPr>
          <w:rFonts w:ascii="Arial" w:hAnsi="Arial" w:cs="Arial"/>
          <w:sz w:val="24"/>
          <w:szCs w:val="24"/>
        </w:rPr>
        <w:t>the market can</w:t>
      </w:r>
      <w:r w:rsidR="004E761E" w:rsidRPr="00ED15B9">
        <w:rPr>
          <w:rFonts w:ascii="Arial" w:hAnsi="Arial" w:cs="Arial"/>
          <w:sz w:val="24"/>
          <w:szCs w:val="24"/>
        </w:rPr>
        <w:t xml:space="preserve"> procure, compromising the reliability purpose DRRS is supposed to serve. </w:t>
      </w:r>
    </w:p>
    <w:p w14:paraId="23669091" w14:textId="44853F19" w:rsidR="004E761E" w:rsidRPr="00ED15B9" w:rsidRDefault="00F54267" w:rsidP="00122C0D">
      <w:pPr>
        <w:spacing w:after="160"/>
        <w:rPr>
          <w:rFonts w:ascii="Arial" w:hAnsi="Arial" w:cs="Arial"/>
          <w:sz w:val="24"/>
          <w:szCs w:val="24"/>
        </w:rPr>
      </w:pPr>
      <w:r w:rsidRPr="00F54267">
        <w:rPr>
          <w:rFonts w:ascii="Arial" w:hAnsi="Arial" w:cs="Arial"/>
          <w:sz w:val="24"/>
          <w:szCs w:val="24"/>
        </w:rPr>
        <w:t xml:space="preserve">Assuming the same 98% release factor as before, consider an interval in which the available supply of DRRS-eligible capacity is 40,000 MW. If the DRRS target is set at 50,000 MW, (i.e., 1,000 MW of operating reserve, 49,000 MW of capacity) the market necessarily goes short of at least 20% of the DRRS plan, and this volume is taken proportionately from both the operating reserve and resource adequacy portions of DRRS. That means the market will procure </w:t>
      </w:r>
      <w:r w:rsidR="00111B5F" w:rsidRPr="00F54267">
        <w:rPr>
          <w:rFonts w:ascii="Arial" w:hAnsi="Arial" w:cs="Arial"/>
          <w:sz w:val="24"/>
          <w:szCs w:val="24"/>
        </w:rPr>
        <w:t xml:space="preserve">at most </w:t>
      </w:r>
      <w:r w:rsidRPr="00F54267">
        <w:rPr>
          <w:rFonts w:ascii="Arial" w:hAnsi="Arial" w:cs="Arial"/>
          <w:sz w:val="24"/>
          <w:szCs w:val="24"/>
        </w:rPr>
        <w:t>800 MW of DRRS as an operating reserve</w:t>
      </w:r>
      <w:r w:rsidR="00304B17">
        <w:rPr>
          <w:rStyle w:val="FootnoteReference"/>
          <w:rFonts w:ascii="Arial" w:hAnsi="Arial" w:cs="Arial"/>
          <w:sz w:val="24"/>
          <w:szCs w:val="24"/>
        </w:rPr>
        <w:footnoteReference w:id="1"/>
      </w:r>
      <w:r w:rsidRPr="00F54267">
        <w:rPr>
          <w:rFonts w:ascii="Arial" w:hAnsi="Arial" w:cs="Arial"/>
          <w:sz w:val="24"/>
          <w:szCs w:val="24"/>
        </w:rPr>
        <w:t>. Consider instead if, given the same supply, the procurement target is set at 60,000 MW. In that case, the market necessarily goes short 33% of the DRRS plan, and the total volume of DRRS operating reserve that the market will procure is no more than 666 MW.</w:t>
      </w:r>
      <w:r w:rsidR="00B905D4">
        <w:rPr>
          <w:rFonts w:ascii="Arial" w:hAnsi="Arial" w:cs="Arial"/>
          <w:sz w:val="24"/>
          <w:szCs w:val="24"/>
        </w:rPr>
        <w:t xml:space="preserve"> </w:t>
      </w:r>
      <w:r w:rsidR="004E761E" w:rsidRPr="00ED15B9">
        <w:rPr>
          <w:rFonts w:ascii="Arial" w:hAnsi="Arial" w:cs="Arial"/>
          <w:sz w:val="24"/>
          <w:szCs w:val="24"/>
        </w:rPr>
        <w:t xml:space="preserve">ERCOT has not provided analysis demonstrating how it would calibrate procurement targets to avoid this outcome under </w:t>
      </w:r>
      <w:r w:rsidR="00B905D4">
        <w:rPr>
          <w:rFonts w:ascii="Arial" w:hAnsi="Arial" w:cs="Arial"/>
          <w:sz w:val="24"/>
          <w:szCs w:val="24"/>
        </w:rPr>
        <w:t>a range</w:t>
      </w:r>
      <w:r w:rsidR="001E23F4">
        <w:rPr>
          <w:rFonts w:ascii="Arial" w:hAnsi="Arial" w:cs="Arial"/>
          <w:sz w:val="24"/>
          <w:szCs w:val="24"/>
        </w:rPr>
        <w:t xml:space="preserve"> of</w:t>
      </w:r>
      <w:r w:rsidR="004E761E" w:rsidRPr="00ED15B9">
        <w:rPr>
          <w:rFonts w:ascii="Arial" w:hAnsi="Arial" w:cs="Arial"/>
          <w:sz w:val="24"/>
          <w:szCs w:val="24"/>
        </w:rPr>
        <w:t xml:space="preserve"> supply conditions.</w:t>
      </w:r>
    </w:p>
    <w:p w14:paraId="79B63DCD" w14:textId="3C997FA2" w:rsidR="00F630D5" w:rsidRPr="00F630D5" w:rsidRDefault="00F57362" w:rsidP="00535600">
      <w:pPr>
        <w:pStyle w:val="ListParagraph"/>
        <w:keepNext/>
        <w:numPr>
          <w:ilvl w:val="0"/>
          <w:numId w:val="15"/>
        </w:numPr>
        <w:spacing w:after="160"/>
        <w:rPr>
          <w:rFonts w:ascii="Arial" w:hAnsi="Arial" w:cs="Arial"/>
          <w:b/>
          <w:bCs/>
          <w:sz w:val="24"/>
          <w:szCs w:val="24"/>
        </w:rPr>
      </w:pPr>
      <w:r>
        <w:rPr>
          <w:rFonts w:ascii="Arial" w:hAnsi="Arial" w:cs="Arial"/>
          <w:b/>
          <w:bCs/>
          <w:sz w:val="24"/>
          <w:szCs w:val="24"/>
        </w:rPr>
        <w:lastRenderedPageBreak/>
        <w:t xml:space="preserve">DRRS </w:t>
      </w:r>
      <w:r w:rsidR="000C39CA">
        <w:rPr>
          <w:rFonts w:ascii="Arial" w:hAnsi="Arial" w:cs="Arial"/>
          <w:b/>
          <w:bCs/>
          <w:sz w:val="24"/>
          <w:szCs w:val="24"/>
        </w:rPr>
        <w:t>Shortages Are More Expensive</w:t>
      </w:r>
      <w:r>
        <w:rPr>
          <w:rFonts w:ascii="Arial" w:hAnsi="Arial" w:cs="Arial"/>
          <w:b/>
          <w:bCs/>
          <w:sz w:val="24"/>
          <w:szCs w:val="24"/>
        </w:rPr>
        <w:t xml:space="preserve"> than Higher-Value AS in Many Conditions</w:t>
      </w:r>
    </w:p>
    <w:p w14:paraId="2DC9E965" w14:textId="543E60BB" w:rsidR="00FB267A" w:rsidRDefault="008C471B" w:rsidP="00F630D5">
      <w:pPr>
        <w:spacing w:after="160"/>
        <w:rPr>
          <w:rFonts w:ascii="Arial" w:hAnsi="Arial" w:cs="Arial"/>
          <w:sz w:val="24"/>
          <w:szCs w:val="24"/>
        </w:rPr>
      </w:pPr>
      <w:r>
        <w:rPr>
          <w:rFonts w:ascii="Arial" w:hAnsi="Arial" w:cs="Arial"/>
          <w:sz w:val="24"/>
          <w:szCs w:val="24"/>
        </w:rPr>
        <w:t>Assuming the same 98% release factor</w:t>
      </w:r>
      <w:r w:rsidR="00896FE4" w:rsidRPr="00896FE4">
        <w:rPr>
          <w:rFonts w:ascii="Arial" w:hAnsi="Arial" w:cs="Arial"/>
          <w:sz w:val="24"/>
          <w:szCs w:val="24"/>
        </w:rPr>
        <w:t xml:space="preserve">, the market must go short of 49 MW of overlapping DRRS to go short of 1 MW of exclusive DRRS, amounting to an effective penalty price of $500 for the first MW of exclusive DRRS shortage, significantly higher than the price associated with the first MW of shortage for any of the other </w:t>
      </w:r>
      <w:r w:rsidR="003F502C">
        <w:rPr>
          <w:rFonts w:ascii="Arial" w:hAnsi="Arial" w:cs="Arial"/>
          <w:sz w:val="24"/>
          <w:szCs w:val="24"/>
        </w:rPr>
        <w:t>A</w:t>
      </w:r>
      <w:r w:rsidR="00896FE4" w:rsidRPr="00896FE4">
        <w:rPr>
          <w:rFonts w:ascii="Arial" w:hAnsi="Arial" w:cs="Arial"/>
          <w:sz w:val="24"/>
          <w:szCs w:val="24"/>
        </w:rPr>
        <w:t xml:space="preserve">ncillary </w:t>
      </w:r>
      <w:r w:rsidR="003F502C">
        <w:rPr>
          <w:rFonts w:ascii="Arial" w:hAnsi="Arial" w:cs="Arial"/>
          <w:sz w:val="24"/>
          <w:szCs w:val="24"/>
        </w:rPr>
        <w:t>S</w:t>
      </w:r>
      <w:r w:rsidR="00896FE4" w:rsidRPr="00896FE4">
        <w:rPr>
          <w:rFonts w:ascii="Arial" w:hAnsi="Arial" w:cs="Arial"/>
          <w:sz w:val="24"/>
          <w:szCs w:val="24"/>
        </w:rPr>
        <w:t>ervices</w:t>
      </w:r>
      <w:r w:rsidR="007458A3">
        <w:rPr>
          <w:rFonts w:ascii="Arial" w:hAnsi="Arial" w:cs="Arial"/>
          <w:sz w:val="24"/>
          <w:szCs w:val="24"/>
        </w:rPr>
        <w:t xml:space="preserve"> despite being a lower-quality reserve</w:t>
      </w:r>
      <w:r w:rsidR="00896FE4" w:rsidRPr="00896FE4">
        <w:rPr>
          <w:rFonts w:ascii="Arial" w:hAnsi="Arial" w:cs="Arial"/>
          <w:sz w:val="24"/>
          <w:szCs w:val="24"/>
        </w:rPr>
        <w:t>. Thus, it is likely that this formulation will result in SCED preserving DRRS capacity at the expense of other more valuable reserves while still only clearing DRRS at $10. Neither of these outcomes is desirable for either operational reliability or efficient market performance.</w:t>
      </w:r>
    </w:p>
    <w:p w14:paraId="422114E3" w14:textId="640BF126" w:rsidR="00C977AA" w:rsidRPr="00A05819" w:rsidRDefault="0003770E" w:rsidP="00535600">
      <w:pPr>
        <w:pStyle w:val="ListParagraph"/>
        <w:keepNext/>
        <w:numPr>
          <w:ilvl w:val="0"/>
          <w:numId w:val="17"/>
        </w:numPr>
        <w:spacing w:after="240"/>
        <w:contextualSpacing w:val="0"/>
        <w:rPr>
          <w:rFonts w:ascii="Arial" w:hAnsi="Arial" w:cs="Arial"/>
          <w:b/>
          <w:bCs/>
          <w:color w:val="215E99" w:themeColor="text2" w:themeTint="BF"/>
          <w:sz w:val="28"/>
          <w:szCs w:val="28"/>
        </w:rPr>
      </w:pPr>
      <w:r w:rsidRPr="00ED15B9">
        <w:rPr>
          <w:rFonts w:ascii="Arial" w:hAnsi="Arial" w:cs="Arial"/>
          <w:b/>
          <w:bCs/>
          <w:color w:val="215E99" w:themeColor="text2" w:themeTint="BF"/>
          <w:sz w:val="28"/>
          <w:szCs w:val="28"/>
        </w:rPr>
        <w:t xml:space="preserve">Additional </w:t>
      </w:r>
      <w:r w:rsidR="00002498">
        <w:rPr>
          <w:rFonts w:ascii="Arial" w:hAnsi="Arial" w:cs="Arial"/>
          <w:b/>
          <w:bCs/>
          <w:color w:val="215E99" w:themeColor="text2" w:themeTint="BF"/>
          <w:sz w:val="28"/>
          <w:szCs w:val="28"/>
        </w:rPr>
        <w:t>Next Steps</w:t>
      </w:r>
    </w:p>
    <w:p w14:paraId="1DB8340A" w14:textId="7811CB75" w:rsidR="00F045C6" w:rsidRPr="00F045C6" w:rsidRDefault="00C1229B" w:rsidP="00535600">
      <w:pPr>
        <w:pStyle w:val="ListParagraph"/>
        <w:keepNext/>
        <w:numPr>
          <w:ilvl w:val="0"/>
          <w:numId w:val="18"/>
        </w:numPr>
        <w:spacing w:after="160"/>
        <w:rPr>
          <w:rFonts w:ascii="Segoe UI" w:hAnsi="Segoe UI" w:cs="Segoe UI"/>
          <w:sz w:val="21"/>
          <w:szCs w:val="21"/>
        </w:rPr>
      </w:pPr>
      <w:r>
        <w:rPr>
          <w:rFonts w:ascii="Arial" w:hAnsi="Arial" w:cs="Arial"/>
          <w:b/>
          <w:bCs/>
          <w:sz w:val="24"/>
          <w:szCs w:val="24"/>
        </w:rPr>
        <w:t>Demonstrate how NPRR</w:t>
      </w:r>
      <w:r w:rsidR="00F045C6" w:rsidRPr="00535600">
        <w:rPr>
          <w:rStyle w:val="Strong"/>
          <w:rFonts w:ascii="Arial" w:hAnsi="Arial" w:cs="Arial"/>
          <w:sz w:val="24"/>
          <w:szCs w:val="24"/>
        </w:rPr>
        <w:t>1310</w:t>
      </w:r>
      <w:r w:rsidR="00F045C6" w:rsidRPr="00F045C6">
        <w:rPr>
          <w:rFonts w:ascii="Arial" w:hAnsi="Arial" w:cs="Arial"/>
          <w:b/>
          <w:bCs/>
          <w:sz w:val="24"/>
          <w:szCs w:val="24"/>
        </w:rPr>
        <w:t xml:space="preserve"> </w:t>
      </w:r>
      <w:r>
        <w:rPr>
          <w:rFonts w:ascii="Arial" w:hAnsi="Arial" w:cs="Arial"/>
          <w:b/>
          <w:bCs/>
          <w:sz w:val="24"/>
          <w:szCs w:val="24"/>
        </w:rPr>
        <w:t>S</w:t>
      </w:r>
      <w:r w:rsidR="00F045C6" w:rsidRPr="00F045C6">
        <w:rPr>
          <w:rFonts w:ascii="Arial" w:hAnsi="Arial" w:cs="Arial"/>
          <w:b/>
          <w:bCs/>
          <w:sz w:val="24"/>
          <w:szCs w:val="24"/>
        </w:rPr>
        <w:t xml:space="preserve">upports </w:t>
      </w:r>
      <w:r>
        <w:rPr>
          <w:rFonts w:ascii="Arial" w:hAnsi="Arial" w:cs="Arial"/>
          <w:b/>
          <w:bCs/>
          <w:sz w:val="24"/>
          <w:szCs w:val="24"/>
        </w:rPr>
        <w:t>R</w:t>
      </w:r>
      <w:r w:rsidR="00F045C6" w:rsidRPr="00F045C6">
        <w:rPr>
          <w:rFonts w:ascii="Arial" w:hAnsi="Arial" w:cs="Arial"/>
          <w:b/>
          <w:bCs/>
          <w:sz w:val="24"/>
          <w:szCs w:val="24"/>
        </w:rPr>
        <w:t xml:space="preserve">esource </w:t>
      </w:r>
      <w:r>
        <w:rPr>
          <w:rFonts w:ascii="Arial" w:hAnsi="Arial" w:cs="Arial"/>
          <w:b/>
          <w:bCs/>
          <w:sz w:val="24"/>
          <w:szCs w:val="24"/>
        </w:rPr>
        <w:t>A</w:t>
      </w:r>
      <w:r w:rsidR="00F045C6" w:rsidRPr="00F045C6">
        <w:rPr>
          <w:rFonts w:ascii="Arial" w:hAnsi="Arial" w:cs="Arial"/>
          <w:b/>
          <w:bCs/>
          <w:sz w:val="24"/>
          <w:szCs w:val="24"/>
        </w:rPr>
        <w:t xml:space="preserve">dequacy </w:t>
      </w:r>
    </w:p>
    <w:p w14:paraId="55665E43" w14:textId="3A55CD0A" w:rsidR="00F045C6" w:rsidRPr="00F045C6" w:rsidRDefault="00F045C6" w:rsidP="00F045C6">
      <w:pPr>
        <w:spacing w:after="160"/>
        <w:rPr>
          <w:rFonts w:ascii="Arial" w:hAnsi="Arial" w:cs="Arial"/>
          <w:sz w:val="24"/>
          <w:szCs w:val="24"/>
        </w:rPr>
      </w:pPr>
      <w:r w:rsidRPr="00F045C6">
        <w:rPr>
          <w:rFonts w:ascii="Arial" w:hAnsi="Arial" w:cs="Arial"/>
          <w:sz w:val="24"/>
          <w:szCs w:val="24"/>
        </w:rPr>
        <w:t>To meaningfully evaluate this proposal, ERCOT should produce</w:t>
      </w:r>
      <w:r w:rsidR="00645D07">
        <w:rPr>
          <w:rFonts w:ascii="Arial" w:hAnsi="Arial" w:cs="Arial"/>
          <w:sz w:val="24"/>
          <w:szCs w:val="24"/>
        </w:rPr>
        <w:t xml:space="preserve"> a</w:t>
      </w:r>
      <w:r w:rsidRPr="00F045C6">
        <w:rPr>
          <w:rFonts w:ascii="Arial" w:hAnsi="Arial" w:cs="Arial"/>
          <w:sz w:val="24"/>
          <w:szCs w:val="24"/>
        </w:rPr>
        <w:t xml:space="preserve"> quantitative analysis showing how DRRS</w:t>
      </w:r>
      <w:r w:rsidR="00D70E1F">
        <w:rPr>
          <w:rFonts w:ascii="Arial" w:hAnsi="Arial" w:cs="Arial"/>
          <w:sz w:val="24"/>
          <w:szCs w:val="24"/>
        </w:rPr>
        <w:t xml:space="preserve">+ as proposed by NPRR 1310 would </w:t>
      </w:r>
      <w:r w:rsidR="001D004F">
        <w:rPr>
          <w:rFonts w:ascii="Arial" w:hAnsi="Arial" w:cs="Arial"/>
          <w:sz w:val="24"/>
          <w:szCs w:val="24"/>
        </w:rPr>
        <w:t xml:space="preserve">impact net revenue and </w:t>
      </w:r>
      <w:r w:rsidRPr="00F045C6">
        <w:rPr>
          <w:rFonts w:ascii="Arial" w:hAnsi="Arial" w:cs="Arial"/>
          <w:sz w:val="24"/>
          <w:szCs w:val="24"/>
        </w:rPr>
        <w:t xml:space="preserve">translate into improved resource adequacy outcomes. This </w:t>
      </w:r>
      <w:r w:rsidR="0004776C">
        <w:rPr>
          <w:rFonts w:ascii="Arial" w:hAnsi="Arial" w:cs="Arial"/>
          <w:sz w:val="24"/>
          <w:szCs w:val="24"/>
        </w:rPr>
        <w:t>involves</w:t>
      </w:r>
      <w:r w:rsidRPr="00F045C6">
        <w:rPr>
          <w:rFonts w:ascii="Arial" w:hAnsi="Arial" w:cs="Arial"/>
          <w:sz w:val="24"/>
          <w:szCs w:val="24"/>
        </w:rPr>
        <w:t xml:space="preserve"> explain</w:t>
      </w:r>
      <w:r w:rsidR="0004776C">
        <w:rPr>
          <w:rFonts w:ascii="Arial" w:hAnsi="Arial" w:cs="Arial"/>
          <w:sz w:val="24"/>
          <w:szCs w:val="24"/>
        </w:rPr>
        <w:t>ing</w:t>
      </w:r>
      <w:r w:rsidRPr="00F045C6">
        <w:rPr>
          <w:rFonts w:ascii="Arial" w:hAnsi="Arial" w:cs="Arial"/>
          <w:sz w:val="24"/>
          <w:szCs w:val="24"/>
        </w:rPr>
        <w:t xml:space="preserve"> how </w:t>
      </w:r>
      <w:r w:rsidR="0004776C">
        <w:rPr>
          <w:rFonts w:ascii="Arial" w:hAnsi="Arial" w:cs="Arial"/>
          <w:sz w:val="24"/>
          <w:szCs w:val="24"/>
        </w:rPr>
        <w:t>ERCOT</w:t>
      </w:r>
      <w:r w:rsidRPr="00F045C6">
        <w:rPr>
          <w:rFonts w:ascii="Arial" w:hAnsi="Arial" w:cs="Arial"/>
          <w:sz w:val="24"/>
          <w:szCs w:val="24"/>
        </w:rPr>
        <w:t xml:space="preserve"> intends to set procurement targets in a way that avoids unintentionally reducing the volume of true operating reserves. This should include a transparent methodology for determining procurement targets, an explanation of how varying supply conditions would be handled, and an assessment of how the proposed structure </w:t>
      </w:r>
      <w:proofErr w:type="gramStart"/>
      <w:r w:rsidRPr="00F045C6">
        <w:rPr>
          <w:rFonts w:ascii="Arial" w:hAnsi="Arial" w:cs="Arial"/>
          <w:sz w:val="24"/>
          <w:szCs w:val="24"/>
        </w:rPr>
        <w:t>preserves</w:t>
      </w:r>
      <w:proofErr w:type="gramEnd"/>
      <w:r w:rsidRPr="00F045C6">
        <w:rPr>
          <w:rFonts w:ascii="Arial" w:hAnsi="Arial" w:cs="Arial"/>
          <w:sz w:val="24"/>
          <w:szCs w:val="24"/>
        </w:rPr>
        <w:t xml:space="preserve"> reliability rather than compromising it when DRRS goes short.</w:t>
      </w:r>
    </w:p>
    <w:p w14:paraId="77710084" w14:textId="696511AA" w:rsidR="00F045C6" w:rsidRPr="00F045C6" w:rsidRDefault="005D75C0" w:rsidP="00535600">
      <w:pPr>
        <w:pStyle w:val="ListParagraph"/>
        <w:keepNext/>
        <w:numPr>
          <w:ilvl w:val="0"/>
          <w:numId w:val="18"/>
        </w:numPr>
        <w:spacing w:after="160"/>
        <w:rPr>
          <w:rStyle w:val="Strong"/>
          <w:rFonts w:ascii="Arial" w:hAnsi="Arial" w:cs="Arial"/>
          <w:sz w:val="24"/>
          <w:szCs w:val="24"/>
        </w:rPr>
      </w:pPr>
      <w:r>
        <w:rPr>
          <w:rStyle w:val="Strong"/>
          <w:rFonts w:ascii="Arial" w:hAnsi="Arial" w:cs="Arial"/>
          <w:sz w:val="24"/>
          <w:szCs w:val="24"/>
        </w:rPr>
        <w:t>Create a P</w:t>
      </w:r>
      <w:r w:rsidR="00F045C6" w:rsidRPr="00F045C6">
        <w:rPr>
          <w:rStyle w:val="Strong"/>
          <w:rFonts w:ascii="Arial" w:hAnsi="Arial" w:cs="Arial"/>
          <w:sz w:val="24"/>
          <w:szCs w:val="24"/>
        </w:rPr>
        <w:t xml:space="preserve">ath </w:t>
      </w:r>
      <w:r>
        <w:rPr>
          <w:rStyle w:val="Strong"/>
          <w:rFonts w:ascii="Arial" w:hAnsi="Arial" w:cs="Arial"/>
          <w:sz w:val="24"/>
          <w:szCs w:val="24"/>
        </w:rPr>
        <w:t>for</w:t>
      </w:r>
      <w:r w:rsidR="00F045C6" w:rsidRPr="00F045C6">
        <w:rPr>
          <w:rStyle w:val="Strong"/>
          <w:rFonts w:ascii="Arial" w:hAnsi="Arial" w:cs="Arial"/>
          <w:sz w:val="24"/>
          <w:szCs w:val="24"/>
        </w:rPr>
        <w:t xml:space="preserve"> ESR </w:t>
      </w:r>
      <w:r>
        <w:rPr>
          <w:rStyle w:val="Strong"/>
          <w:rFonts w:ascii="Arial" w:hAnsi="Arial" w:cs="Arial"/>
          <w:sz w:val="24"/>
          <w:szCs w:val="24"/>
        </w:rPr>
        <w:t>P</w:t>
      </w:r>
      <w:r w:rsidR="00F045C6" w:rsidRPr="00F045C6">
        <w:rPr>
          <w:rStyle w:val="Strong"/>
          <w:rFonts w:ascii="Arial" w:hAnsi="Arial" w:cs="Arial"/>
          <w:sz w:val="24"/>
          <w:szCs w:val="24"/>
        </w:rPr>
        <w:t xml:space="preserve">articipation </w:t>
      </w:r>
    </w:p>
    <w:p w14:paraId="6CCE7363" w14:textId="07143DFD" w:rsidR="00BD7258" w:rsidRPr="003F502C" w:rsidRDefault="00F045C6" w:rsidP="003F502C">
      <w:pPr>
        <w:spacing w:after="160"/>
        <w:rPr>
          <w:rFonts w:ascii="Segoe UI" w:hAnsi="Segoe UI" w:cs="Segoe UI"/>
          <w:sz w:val="21"/>
          <w:szCs w:val="21"/>
        </w:rPr>
      </w:pPr>
      <w:r w:rsidRPr="00F045C6">
        <w:rPr>
          <w:rFonts w:ascii="Arial" w:hAnsi="Arial" w:cs="Arial"/>
          <w:sz w:val="24"/>
          <w:szCs w:val="24"/>
        </w:rPr>
        <w:t xml:space="preserve">We support the provision in NPRR1310 allowing </w:t>
      </w:r>
      <w:r w:rsidR="003F502C">
        <w:rPr>
          <w:rFonts w:ascii="Arial" w:hAnsi="Arial" w:cs="Arial"/>
          <w:sz w:val="24"/>
          <w:szCs w:val="24"/>
        </w:rPr>
        <w:t>E</w:t>
      </w:r>
      <w:r w:rsidRPr="00F045C6">
        <w:rPr>
          <w:rFonts w:ascii="Arial" w:hAnsi="Arial" w:cs="Arial"/>
          <w:sz w:val="24"/>
          <w:szCs w:val="24"/>
        </w:rPr>
        <w:t xml:space="preserve">nergy </w:t>
      </w:r>
      <w:r w:rsidR="003F502C">
        <w:rPr>
          <w:rFonts w:ascii="Arial" w:hAnsi="Arial" w:cs="Arial"/>
          <w:sz w:val="24"/>
          <w:szCs w:val="24"/>
        </w:rPr>
        <w:t>S</w:t>
      </w:r>
      <w:r w:rsidRPr="00F045C6">
        <w:rPr>
          <w:rFonts w:ascii="Arial" w:hAnsi="Arial" w:cs="Arial"/>
          <w:sz w:val="24"/>
          <w:szCs w:val="24"/>
        </w:rPr>
        <w:t xml:space="preserve">torage </w:t>
      </w:r>
      <w:r w:rsidR="003F502C">
        <w:rPr>
          <w:rFonts w:ascii="Arial" w:hAnsi="Arial" w:cs="Arial"/>
          <w:sz w:val="24"/>
          <w:szCs w:val="24"/>
        </w:rPr>
        <w:t>R</w:t>
      </w:r>
      <w:r w:rsidRPr="00F045C6">
        <w:rPr>
          <w:rFonts w:ascii="Arial" w:hAnsi="Arial" w:cs="Arial"/>
          <w:sz w:val="24"/>
          <w:szCs w:val="24"/>
        </w:rPr>
        <w:t>esources</w:t>
      </w:r>
      <w:r w:rsidR="003F502C">
        <w:rPr>
          <w:rFonts w:ascii="Arial" w:hAnsi="Arial" w:cs="Arial"/>
          <w:sz w:val="24"/>
          <w:szCs w:val="24"/>
        </w:rPr>
        <w:t xml:space="preserve"> (ESRs)</w:t>
      </w:r>
      <w:r w:rsidRPr="00F045C6">
        <w:rPr>
          <w:rFonts w:ascii="Arial" w:hAnsi="Arial" w:cs="Arial"/>
          <w:sz w:val="24"/>
          <w:szCs w:val="24"/>
        </w:rPr>
        <w:t xml:space="preserve"> to participate in DRRS. However, this beneficial change should not be bound to an otherwise problematic RA </w:t>
      </w:r>
      <w:proofErr w:type="gramStart"/>
      <w:r w:rsidRPr="00F045C6">
        <w:rPr>
          <w:rFonts w:ascii="Arial" w:hAnsi="Arial" w:cs="Arial"/>
          <w:sz w:val="24"/>
          <w:szCs w:val="24"/>
        </w:rPr>
        <w:t>construct</w:t>
      </w:r>
      <w:proofErr w:type="gramEnd"/>
      <w:r w:rsidRPr="00F045C6">
        <w:rPr>
          <w:rFonts w:ascii="Arial" w:hAnsi="Arial" w:cs="Arial"/>
          <w:sz w:val="24"/>
          <w:szCs w:val="24"/>
        </w:rPr>
        <w:t>. We therefore propose three possible paths forward: (1) incorporate ESR participation directly into NPRR1309; (2) modify NPRR1310 by removing all resource</w:t>
      </w:r>
      <w:r w:rsidRPr="00F045C6">
        <w:rPr>
          <w:rFonts w:ascii="Arial" w:hAnsi="Arial" w:cs="Arial"/>
          <w:sz w:val="24"/>
          <w:szCs w:val="24"/>
        </w:rPr>
        <w:noBreakHyphen/>
        <w:t>adequacy elements and retaining only the ESR participation language; or (3) reject NPRR 1310 in its entirety and bring forward a clean, narrowly focused NPRR that solely enables ESRs to provide DRRS.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rsidRPr="00C3651A" w14:paraId="3AA8BB2B" w14:textId="77777777" w:rsidTr="00B5080A">
        <w:trPr>
          <w:trHeight w:val="350"/>
        </w:trPr>
        <w:tc>
          <w:tcPr>
            <w:tcW w:w="10440" w:type="dxa"/>
            <w:tcBorders>
              <w:bottom w:val="single" w:sz="4" w:space="0" w:color="auto"/>
            </w:tcBorders>
            <w:shd w:val="clear" w:color="auto" w:fill="FFFFFF"/>
            <w:vAlign w:val="center"/>
          </w:tcPr>
          <w:p w14:paraId="472D948D" w14:textId="77777777" w:rsidR="00BD7258" w:rsidRPr="00C3651A" w:rsidRDefault="00BD7258" w:rsidP="00B5080A">
            <w:pPr>
              <w:pStyle w:val="Header"/>
              <w:jc w:val="center"/>
              <w:rPr>
                <w:sz w:val="24"/>
                <w:szCs w:val="24"/>
              </w:rPr>
            </w:pPr>
            <w:r w:rsidRPr="00C3651A">
              <w:rPr>
                <w:sz w:val="24"/>
                <w:szCs w:val="24"/>
              </w:rPr>
              <w:t>Revised Cover Page Language</w:t>
            </w:r>
          </w:p>
        </w:tc>
      </w:tr>
    </w:tbl>
    <w:p w14:paraId="30E26E02" w14:textId="6FA4E7E6" w:rsidR="003D41BE" w:rsidRPr="00C3651A" w:rsidRDefault="003F502C" w:rsidP="003F502C">
      <w:pPr>
        <w:pStyle w:val="NormalArial"/>
        <w:spacing w:before="120" w:after="120"/>
        <w:rPr>
          <w:sz w:val="24"/>
          <w:szCs w:val="24"/>
        </w:rPr>
      </w:pPr>
      <w:r>
        <w:rPr>
          <w:sz w:val="24"/>
          <w:szCs w:val="24"/>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rsidRPr="00C3651A" w14:paraId="1F7BD14B" w14:textId="77777777">
        <w:trPr>
          <w:trHeight w:val="350"/>
        </w:trPr>
        <w:tc>
          <w:tcPr>
            <w:tcW w:w="10440" w:type="dxa"/>
            <w:tcBorders>
              <w:bottom w:val="single" w:sz="4" w:space="0" w:color="auto"/>
            </w:tcBorders>
            <w:shd w:val="clear" w:color="auto" w:fill="FFFFFF"/>
            <w:vAlign w:val="center"/>
          </w:tcPr>
          <w:p w14:paraId="763662DE" w14:textId="77777777" w:rsidR="00152993" w:rsidRPr="00C3651A" w:rsidRDefault="00152993">
            <w:pPr>
              <w:pStyle w:val="Header"/>
              <w:jc w:val="center"/>
              <w:rPr>
                <w:sz w:val="24"/>
                <w:szCs w:val="24"/>
              </w:rPr>
            </w:pPr>
            <w:r w:rsidRPr="00C3651A">
              <w:rPr>
                <w:sz w:val="24"/>
                <w:szCs w:val="24"/>
              </w:rPr>
              <w:t>Revised Proposed Protocol Language</w:t>
            </w:r>
          </w:p>
        </w:tc>
      </w:tr>
    </w:tbl>
    <w:p w14:paraId="10805993" w14:textId="60B08FCA" w:rsidR="00152993" w:rsidRPr="003F502C" w:rsidRDefault="003F502C" w:rsidP="003F502C">
      <w:pPr>
        <w:pStyle w:val="NormalArial"/>
        <w:spacing w:before="120" w:after="120"/>
        <w:rPr>
          <w:sz w:val="24"/>
          <w:szCs w:val="24"/>
        </w:rPr>
      </w:pPr>
      <w:r>
        <w:rPr>
          <w:sz w:val="24"/>
          <w:szCs w:val="24"/>
        </w:rPr>
        <w:t>None.</w:t>
      </w:r>
    </w:p>
    <w:sectPr w:rsidR="00152993" w:rsidRPr="003F502C"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B9934" w14:textId="77777777" w:rsidR="00F25619" w:rsidRDefault="00F25619">
      <w:r>
        <w:separator/>
      </w:r>
    </w:p>
  </w:endnote>
  <w:endnote w:type="continuationSeparator" w:id="0">
    <w:p w14:paraId="58C879ED" w14:textId="77777777" w:rsidR="00F25619" w:rsidRDefault="00F25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3EDEB" w14:textId="12C0B46B"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3F502C">
      <w:rPr>
        <w:rFonts w:ascii="Arial" w:hAnsi="Arial"/>
        <w:noProof/>
        <w:sz w:val="18"/>
      </w:rPr>
      <w:t>1310NPRR-12 IMM Comments 020326</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49AB2950"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49BB2" w14:textId="77777777" w:rsidR="00F25619" w:rsidRDefault="00F25619">
      <w:r>
        <w:separator/>
      </w:r>
    </w:p>
  </w:footnote>
  <w:footnote w:type="continuationSeparator" w:id="0">
    <w:p w14:paraId="2602FFB9" w14:textId="77777777" w:rsidR="00F25619" w:rsidRDefault="00F25619">
      <w:r>
        <w:continuationSeparator/>
      </w:r>
    </w:p>
  </w:footnote>
  <w:footnote w:id="1">
    <w:p w14:paraId="46D2800B" w14:textId="27BDD846" w:rsidR="00304B17" w:rsidRPr="0079631B" w:rsidRDefault="00304B17">
      <w:pPr>
        <w:pStyle w:val="FootnoteText"/>
        <w:rPr>
          <w:rFonts w:ascii="Arial" w:hAnsi="Arial" w:cs="Arial"/>
        </w:rPr>
      </w:pPr>
      <w:r w:rsidRPr="0079631B">
        <w:rPr>
          <w:rStyle w:val="FootnoteReference"/>
          <w:rFonts w:ascii="Arial" w:hAnsi="Arial" w:cs="Arial"/>
        </w:rPr>
        <w:footnoteRef/>
      </w:r>
      <w:r w:rsidRPr="0079631B">
        <w:rPr>
          <w:rFonts w:ascii="Arial" w:hAnsi="Arial" w:cs="Arial"/>
        </w:rPr>
        <w:t xml:space="preserve"> Note that offline DRRS </w:t>
      </w:r>
      <w:r w:rsidR="009A7615" w:rsidRPr="0079631B">
        <w:rPr>
          <w:rFonts w:ascii="Arial" w:hAnsi="Arial" w:cs="Arial"/>
        </w:rPr>
        <w:t>awards are</w:t>
      </w:r>
      <w:r w:rsidRPr="0079631B">
        <w:rPr>
          <w:rFonts w:ascii="Arial" w:hAnsi="Arial" w:cs="Arial"/>
        </w:rPr>
        <w:t xml:space="preserve"> not constrained by the release factor</w:t>
      </w:r>
      <w:r w:rsidR="009A7615" w:rsidRPr="0079631B">
        <w:rPr>
          <w:rFonts w:ascii="Arial" w:hAnsi="Arial" w:cs="Arial"/>
        </w:rPr>
        <w:t>, which</w:t>
      </w:r>
      <w:r w:rsidR="00AF151F" w:rsidRPr="0079631B">
        <w:rPr>
          <w:rFonts w:ascii="Arial" w:hAnsi="Arial" w:cs="Arial"/>
        </w:rPr>
        <w:t xml:space="preserve"> complicates this accounting </w:t>
      </w:r>
      <w:r w:rsidR="001A55E4" w:rsidRPr="0079631B">
        <w:rPr>
          <w:rFonts w:ascii="Arial" w:hAnsi="Arial" w:cs="Arial"/>
        </w:rPr>
        <w:t>without refuting our</w:t>
      </w:r>
      <w:r w:rsidR="00A862CB" w:rsidRPr="0079631B">
        <w:rPr>
          <w:rFonts w:ascii="Arial" w:hAnsi="Arial" w:cs="Arial"/>
        </w:rPr>
        <w:t xml:space="preserve"> point that DRRS shortages</w:t>
      </w:r>
      <w:r w:rsidR="009F702A" w:rsidRPr="0079631B">
        <w:rPr>
          <w:rFonts w:ascii="Arial" w:hAnsi="Arial" w:cs="Arial"/>
        </w:rPr>
        <w:t xml:space="preserve"> are taken proportionally from both</w:t>
      </w:r>
      <w:r w:rsidR="00B831EC" w:rsidRPr="0079631B">
        <w:rPr>
          <w:rFonts w:ascii="Arial" w:hAnsi="Arial" w:cs="Arial"/>
        </w:rPr>
        <w:t xml:space="preserve"> o</w:t>
      </w:r>
      <w:r w:rsidR="002A0B56" w:rsidRPr="0079631B">
        <w:rPr>
          <w:rFonts w:ascii="Arial" w:hAnsi="Arial" w:cs="Arial"/>
        </w:rPr>
        <w:t>perating reserves and overlapping DRRS.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6A83" w14:textId="77777777" w:rsidR="00EE6681" w:rsidRDefault="00EE6681">
    <w:pPr>
      <w:pStyle w:val="Header"/>
      <w:jc w:val="center"/>
      <w:rPr>
        <w:sz w:val="32"/>
      </w:rPr>
    </w:pPr>
    <w:r>
      <w:rPr>
        <w:sz w:val="32"/>
      </w:rPr>
      <w:t>NPRR Comments</w:t>
    </w:r>
  </w:p>
  <w:p w14:paraId="43F5073F"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76A11B0"/>
    <w:multiLevelType w:val="hybridMultilevel"/>
    <w:tmpl w:val="11880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42765"/>
    <w:multiLevelType w:val="hybridMultilevel"/>
    <w:tmpl w:val="2A4ADAD2"/>
    <w:lvl w:ilvl="0" w:tplc="91E6954C">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5477F"/>
    <w:multiLevelType w:val="hybridMultilevel"/>
    <w:tmpl w:val="4C20B4B6"/>
    <w:lvl w:ilvl="0" w:tplc="3F4E0A4E">
      <w:start w:val="1"/>
      <w:numFmt w:val="decimal"/>
      <w:lvlText w:val="%1."/>
      <w:lvlJc w:val="left"/>
      <w:pPr>
        <w:ind w:left="720" w:hanging="360"/>
      </w:pPr>
      <w:rPr>
        <w:rFonts w:ascii="Arial" w:hAnsi="Arial" w:cs="Arial"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E41012"/>
    <w:multiLevelType w:val="hybridMultilevel"/>
    <w:tmpl w:val="264ED2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3D3AC0"/>
    <w:multiLevelType w:val="hybridMultilevel"/>
    <w:tmpl w:val="15B64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557DB"/>
    <w:multiLevelType w:val="hybridMultilevel"/>
    <w:tmpl w:val="8526788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9D2BCB"/>
    <w:multiLevelType w:val="hybridMultilevel"/>
    <w:tmpl w:val="723AA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AA4486"/>
    <w:multiLevelType w:val="hybridMultilevel"/>
    <w:tmpl w:val="06BE287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2196EF7"/>
    <w:multiLevelType w:val="hybridMultilevel"/>
    <w:tmpl w:val="9F5C3DF6"/>
    <w:lvl w:ilvl="0" w:tplc="FFFFFFFF">
      <w:start w:val="1"/>
      <w:numFmt w:val="decimal"/>
      <w:lvlText w:val="%1."/>
      <w:lvlJc w:val="left"/>
      <w:pPr>
        <w:ind w:left="720" w:hanging="360"/>
      </w:pPr>
      <w:rPr>
        <w:rFonts w:ascii="Arial" w:hAnsi="Arial" w:cs="Arial"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6A6CF5"/>
    <w:multiLevelType w:val="hybridMultilevel"/>
    <w:tmpl w:val="86E8E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4129F0"/>
    <w:multiLevelType w:val="hybridMultilevel"/>
    <w:tmpl w:val="239A54E8"/>
    <w:lvl w:ilvl="0" w:tplc="65D632DE">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E1540D"/>
    <w:multiLevelType w:val="hybridMultilevel"/>
    <w:tmpl w:val="5B9AB76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4E6C6E"/>
    <w:multiLevelType w:val="hybridMultilevel"/>
    <w:tmpl w:val="04848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093119"/>
    <w:multiLevelType w:val="hybridMultilevel"/>
    <w:tmpl w:val="5C885A2C"/>
    <w:lvl w:ilvl="0" w:tplc="0409000F">
      <w:start w:val="1"/>
      <w:numFmt w:val="decimal"/>
      <w:lvlText w:val="%1."/>
      <w:lvlJc w:val="left"/>
      <w:pPr>
        <w:ind w:left="720" w:hanging="360"/>
      </w:pPr>
      <w:rPr>
        <w:rFonts w:hint="default"/>
      </w:rPr>
    </w:lvl>
    <w:lvl w:ilvl="1" w:tplc="9C8890C0">
      <w:start w:val="1"/>
      <w:numFmt w:val="lowerLetter"/>
      <w:lvlText w:val="%2."/>
      <w:lvlJc w:val="left"/>
      <w:pPr>
        <w:ind w:left="1440" w:hanging="360"/>
      </w:pPr>
      <w:rPr>
        <w:color w:val="FF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4B2881"/>
    <w:multiLevelType w:val="hybridMultilevel"/>
    <w:tmpl w:val="45D2FBEC"/>
    <w:lvl w:ilvl="0" w:tplc="FFFFFFFF">
      <w:start w:val="2"/>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F15135"/>
    <w:multiLevelType w:val="hybridMultilevel"/>
    <w:tmpl w:val="264ED26A"/>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9732B5A"/>
    <w:multiLevelType w:val="hybridMultilevel"/>
    <w:tmpl w:val="D83E7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AE87459"/>
    <w:multiLevelType w:val="hybridMultilevel"/>
    <w:tmpl w:val="85267880"/>
    <w:lvl w:ilvl="0" w:tplc="F22C1C9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9606467">
    <w:abstractNumId w:val="0"/>
  </w:num>
  <w:num w:numId="2" w16cid:durableId="868565627">
    <w:abstractNumId w:val="18"/>
  </w:num>
  <w:num w:numId="3" w16cid:durableId="893198454">
    <w:abstractNumId w:val="10"/>
  </w:num>
  <w:num w:numId="4" w16cid:durableId="450444779">
    <w:abstractNumId w:val="5"/>
  </w:num>
  <w:num w:numId="5" w16cid:durableId="144205582">
    <w:abstractNumId w:val="13"/>
  </w:num>
  <w:num w:numId="6" w16cid:durableId="174733428">
    <w:abstractNumId w:val="17"/>
  </w:num>
  <w:num w:numId="7" w16cid:durableId="1109740463">
    <w:abstractNumId w:val="12"/>
  </w:num>
  <w:num w:numId="8" w16cid:durableId="2029524219">
    <w:abstractNumId w:val="1"/>
  </w:num>
  <w:num w:numId="9" w16cid:durableId="60952975">
    <w:abstractNumId w:val="14"/>
  </w:num>
  <w:num w:numId="10" w16cid:durableId="1135098730">
    <w:abstractNumId w:val="4"/>
  </w:num>
  <w:num w:numId="11" w16cid:durableId="1555389229">
    <w:abstractNumId w:val="19"/>
  </w:num>
  <w:num w:numId="12" w16cid:durableId="294944624">
    <w:abstractNumId w:val="8"/>
  </w:num>
  <w:num w:numId="13" w16cid:durableId="769197804">
    <w:abstractNumId w:val="16"/>
  </w:num>
  <w:num w:numId="14" w16cid:durableId="1933539264">
    <w:abstractNumId w:val="11"/>
  </w:num>
  <w:num w:numId="15" w16cid:durableId="571544925">
    <w:abstractNumId w:val="3"/>
  </w:num>
  <w:num w:numId="16" w16cid:durableId="627704237">
    <w:abstractNumId w:val="15"/>
  </w:num>
  <w:num w:numId="17" w16cid:durableId="193463215">
    <w:abstractNumId w:val="2"/>
  </w:num>
  <w:num w:numId="18" w16cid:durableId="1389571406">
    <w:abstractNumId w:val="9"/>
  </w:num>
  <w:num w:numId="19" w16cid:durableId="1757285871">
    <w:abstractNumId w:val="7"/>
  </w:num>
  <w:num w:numId="20" w16cid:durableId="9915249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10E9"/>
    <w:rsid w:val="00001D6A"/>
    <w:rsid w:val="00002498"/>
    <w:rsid w:val="000037EE"/>
    <w:rsid w:val="00004725"/>
    <w:rsid w:val="00005204"/>
    <w:rsid w:val="00006202"/>
    <w:rsid w:val="00006AF8"/>
    <w:rsid w:val="00010B55"/>
    <w:rsid w:val="00020A8B"/>
    <w:rsid w:val="00021A47"/>
    <w:rsid w:val="00021D73"/>
    <w:rsid w:val="00023B6C"/>
    <w:rsid w:val="00031D18"/>
    <w:rsid w:val="00032E0F"/>
    <w:rsid w:val="00037668"/>
    <w:rsid w:val="0003770E"/>
    <w:rsid w:val="0004119C"/>
    <w:rsid w:val="0004776C"/>
    <w:rsid w:val="00053F60"/>
    <w:rsid w:val="00062D59"/>
    <w:rsid w:val="00067E14"/>
    <w:rsid w:val="00070096"/>
    <w:rsid w:val="0007021E"/>
    <w:rsid w:val="00075A94"/>
    <w:rsid w:val="0008140B"/>
    <w:rsid w:val="000830C2"/>
    <w:rsid w:val="00085601"/>
    <w:rsid w:val="00090722"/>
    <w:rsid w:val="000A357B"/>
    <w:rsid w:val="000B005E"/>
    <w:rsid w:val="000B2E02"/>
    <w:rsid w:val="000B49E7"/>
    <w:rsid w:val="000C2D58"/>
    <w:rsid w:val="000C39CA"/>
    <w:rsid w:val="000C4AF3"/>
    <w:rsid w:val="000D6CA5"/>
    <w:rsid w:val="000E2F28"/>
    <w:rsid w:val="000E5389"/>
    <w:rsid w:val="000E6D06"/>
    <w:rsid w:val="001061D8"/>
    <w:rsid w:val="00110E09"/>
    <w:rsid w:val="00111B5F"/>
    <w:rsid w:val="00116DD8"/>
    <w:rsid w:val="001209D8"/>
    <w:rsid w:val="00122C0D"/>
    <w:rsid w:val="00123D41"/>
    <w:rsid w:val="001242E2"/>
    <w:rsid w:val="0012436B"/>
    <w:rsid w:val="001318EE"/>
    <w:rsid w:val="00132465"/>
    <w:rsid w:val="00132855"/>
    <w:rsid w:val="00133186"/>
    <w:rsid w:val="00134840"/>
    <w:rsid w:val="001357A4"/>
    <w:rsid w:val="00135F70"/>
    <w:rsid w:val="00136252"/>
    <w:rsid w:val="00140572"/>
    <w:rsid w:val="001405AA"/>
    <w:rsid w:val="00141A7F"/>
    <w:rsid w:val="00144058"/>
    <w:rsid w:val="00152993"/>
    <w:rsid w:val="0015322D"/>
    <w:rsid w:val="00154A7D"/>
    <w:rsid w:val="00156746"/>
    <w:rsid w:val="00156B9E"/>
    <w:rsid w:val="00156F4F"/>
    <w:rsid w:val="001606A7"/>
    <w:rsid w:val="001644FB"/>
    <w:rsid w:val="00164670"/>
    <w:rsid w:val="00164A27"/>
    <w:rsid w:val="001654FB"/>
    <w:rsid w:val="00167559"/>
    <w:rsid w:val="00170297"/>
    <w:rsid w:val="00172EBD"/>
    <w:rsid w:val="00173F0F"/>
    <w:rsid w:val="00180FAE"/>
    <w:rsid w:val="001927DA"/>
    <w:rsid w:val="001A0DA8"/>
    <w:rsid w:val="001A227D"/>
    <w:rsid w:val="001A55E4"/>
    <w:rsid w:val="001A58B1"/>
    <w:rsid w:val="001A5B2D"/>
    <w:rsid w:val="001B1091"/>
    <w:rsid w:val="001B476B"/>
    <w:rsid w:val="001B505C"/>
    <w:rsid w:val="001B5DD5"/>
    <w:rsid w:val="001B688A"/>
    <w:rsid w:val="001C002B"/>
    <w:rsid w:val="001C43F6"/>
    <w:rsid w:val="001C47FE"/>
    <w:rsid w:val="001D004F"/>
    <w:rsid w:val="001D250C"/>
    <w:rsid w:val="001D38C9"/>
    <w:rsid w:val="001D776B"/>
    <w:rsid w:val="001D7ED6"/>
    <w:rsid w:val="001E068A"/>
    <w:rsid w:val="001E1625"/>
    <w:rsid w:val="001E2032"/>
    <w:rsid w:val="001E23F4"/>
    <w:rsid w:val="001E6876"/>
    <w:rsid w:val="001F25C7"/>
    <w:rsid w:val="001F3598"/>
    <w:rsid w:val="001F5CCB"/>
    <w:rsid w:val="001F6196"/>
    <w:rsid w:val="001F6DD0"/>
    <w:rsid w:val="002019D7"/>
    <w:rsid w:val="002161B6"/>
    <w:rsid w:val="002201E1"/>
    <w:rsid w:val="0022067F"/>
    <w:rsid w:val="00221669"/>
    <w:rsid w:val="00221924"/>
    <w:rsid w:val="00224126"/>
    <w:rsid w:val="00230B7E"/>
    <w:rsid w:val="00231DF5"/>
    <w:rsid w:val="00232724"/>
    <w:rsid w:val="00233EB2"/>
    <w:rsid w:val="0023763A"/>
    <w:rsid w:val="00237F2B"/>
    <w:rsid w:val="00244F61"/>
    <w:rsid w:val="0025181A"/>
    <w:rsid w:val="002548ED"/>
    <w:rsid w:val="002607F2"/>
    <w:rsid w:val="00261B57"/>
    <w:rsid w:val="00264339"/>
    <w:rsid w:val="00275E56"/>
    <w:rsid w:val="002806A6"/>
    <w:rsid w:val="0028393B"/>
    <w:rsid w:val="00284915"/>
    <w:rsid w:val="002934FE"/>
    <w:rsid w:val="002A0B56"/>
    <w:rsid w:val="002A5AE5"/>
    <w:rsid w:val="002A65CE"/>
    <w:rsid w:val="002B04D3"/>
    <w:rsid w:val="002B6443"/>
    <w:rsid w:val="002C204E"/>
    <w:rsid w:val="002C281C"/>
    <w:rsid w:val="002C3B72"/>
    <w:rsid w:val="002C57BD"/>
    <w:rsid w:val="002C69B3"/>
    <w:rsid w:val="002D26FA"/>
    <w:rsid w:val="002D2DBC"/>
    <w:rsid w:val="002D7C20"/>
    <w:rsid w:val="002E12D6"/>
    <w:rsid w:val="002F3511"/>
    <w:rsid w:val="002F4F46"/>
    <w:rsid w:val="00300D42"/>
    <w:rsid w:val="0030106B"/>
    <w:rsid w:val="003010C0"/>
    <w:rsid w:val="00303813"/>
    <w:rsid w:val="00304B17"/>
    <w:rsid w:val="00305135"/>
    <w:rsid w:val="00305E5E"/>
    <w:rsid w:val="00311225"/>
    <w:rsid w:val="00312B16"/>
    <w:rsid w:val="00312E1D"/>
    <w:rsid w:val="003133C8"/>
    <w:rsid w:val="003147A1"/>
    <w:rsid w:val="0031559C"/>
    <w:rsid w:val="00321130"/>
    <w:rsid w:val="00325818"/>
    <w:rsid w:val="00332A97"/>
    <w:rsid w:val="003403F4"/>
    <w:rsid w:val="00340679"/>
    <w:rsid w:val="00344F2F"/>
    <w:rsid w:val="00350C00"/>
    <w:rsid w:val="00351EAF"/>
    <w:rsid w:val="00352D17"/>
    <w:rsid w:val="00356FEA"/>
    <w:rsid w:val="00360CE5"/>
    <w:rsid w:val="00360F18"/>
    <w:rsid w:val="00361CFC"/>
    <w:rsid w:val="00363BFE"/>
    <w:rsid w:val="00364300"/>
    <w:rsid w:val="00366113"/>
    <w:rsid w:val="00372658"/>
    <w:rsid w:val="003741CE"/>
    <w:rsid w:val="00396E65"/>
    <w:rsid w:val="003A726C"/>
    <w:rsid w:val="003A758C"/>
    <w:rsid w:val="003B760C"/>
    <w:rsid w:val="003C0574"/>
    <w:rsid w:val="003C26A5"/>
    <w:rsid w:val="003C270C"/>
    <w:rsid w:val="003D0994"/>
    <w:rsid w:val="003D172A"/>
    <w:rsid w:val="003D41BE"/>
    <w:rsid w:val="003D5186"/>
    <w:rsid w:val="003D731C"/>
    <w:rsid w:val="003D7EBF"/>
    <w:rsid w:val="003E1192"/>
    <w:rsid w:val="003E205E"/>
    <w:rsid w:val="003E2082"/>
    <w:rsid w:val="003E3AC8"/>
    <w:rsid w:val="003F2F50"/>
    <w:rsid w:val="003F460D"/>
    <w:rsid w:val="003F502C"/>
    <w:rsid w:val="003F5891"/>
    <w:rsid w:val="003F6135"/>
    <w:rsid w:val="003F78B9"/>
    <w:rsid w:val="004018F3"/>
    <w:rsid w:val="00407AD1"/>
    <w:rsid w:val="00412DF8"/>
    <w:rsid w:val="004140C1"/>
    <w:rsid w:val="00414C37"/>
    <w:rsid w:val="004155A0"/>
    <w:rsid w:val="00415B0A"/>
    <w:rsid w:val="00416851"/>
    <w:rsid w:val="004201D5"/>
    <w:rsid w:val="00423824"/>
    <w:rsid w:val="00426462"/>
    <w:rsid w:val="0043567D"/>
    <w:rsid w:val="00436138"/>
    <w:rsid w:val="004469AD"/>
    <w:rsid w:val="00447E9F"/>
    <w:rsid w:val="00461E43"/>
    <w:rsid w:val="00463180"/>
    <w:rsid w:val="0046555F"/>
    <w:rsid w:val="00470EB1"/>
    <w:rsid w:val="004746DE"/>
    <w:rsid w:val="0047513F"/>
    <w:rsid w:val="004915D3"/>
    <w:rsid w:val="00492C2F"/>
    <w:rsid w:val="00493E86"/>
    <w:rsid w:val="0049766E"/>
    <w:rsid w:val="00497750"/>
    <w:rsid w:val="004A626D"/>
    <w:rsid w:val="004A703F"/>
    <w:rsid w:val="004B0855"/>
    <w:rsid w:val="004B3B93"/>
    <w:rsid w:val="004B7B90"/>
    <w:rsid w:val="004C27FA"/>
    <w:rsid w:val="004C3FB7"/>
    <w:rsid w:val="004C58AF"/>
    <w:rsid w:val="004D0A0B"/>
    <w:rsid w:val="004D312A"/>
    <w:rsid w:val="004D7B43"/>
    <w:rsid w:val="004E1DB4"/>
    <w:rsid w:val="004E2C19"/>
    <w:rsid w:val="004E4BB9"/>
    <w:rsid w:val="004E4F64"/>
    <w:rsid w:val="004E761E"/>
    <w:rsid w:val="004F1915"/>
    <w:rsid w:val="00503658"/>
    <w:rsid w:val="00512186"/>
    <w:rsid w:val="0051253A"/>
    <w:rsid w:val="005207FD"/>
    <w:rsid w:val="00520F8A"/>
    <w:rsid w:val="0052345B"/>
    <w:rsid w:val="005267F7"/>
    <w:rsid w:val="00526AFA"/>
    <w:rsid w:val="00535600"/>
    <w:rsid w:val="00536C37"/>
    <w:rsid w:val="00542F0F"/>
    <w:rsid w:val="00551278"/>
    <w:rsid w:val="0055515B"/>
    <w:rsid w:val="00560153"/>
    <w:rsid w:val="005601E0"/>
    <w:rsid w:val="00562E4F"/>
    <w:rsid w:val="00563449"/>
    <w:rsid w:val="005640DA"/>
    <w:rsid w:val="00564580"/>
    <w:rsid w:val="005660AD"/>
    <w:rsid w:val="00596102"/>
    <w:rsid w:val="005A3293"/>
    <w:rsid w:val="005A4C09"/>
    <w:rsid w:val="005B21C2"/>
    <w:rsid w:val="005B3701"/>
    <w:rsid w:val="005B4639"/>
    <w:rsid w:val="005B7DFA"/>
    <w:rsid w:val="005C0930"/>
    <w:rsid w:val="005C3B03"/>
    <w:rsid w:val="005C3E2D"/>
    <w:rsid w:val="005D20F1"/>
    <w:rsid w:val="005D284C"/>
    <w:rsid w:val="005D5594"/>
    <w:rsid w:val="005D75C0"/>
    <w:rsid w:val="005E3D33"/>
    <w:rsid w:val="005E75C8"/>
    <w:rsid w:val="005F08F0"/>
    <w:rsid w:val="005F1B3B"/>
    <w:rsid w:val="00602699"/>
    <w:rsid w:val="00604512"/>
    <w:rsid w:val="00605F19"/>
    <w:rsid w:val="00613830"/>
    <w:rsid w:val="00614D0D"/>
    <w:rsid w:val="00623450"/>
    <w:rsid w:val="00633C1B"/>
    <w:rsid w:val="00633E23"/>
    <w:rsid w:val="006344DE"/>
    <w:rsid w:val="006376FC"/>
    <w:rsid w:val="00645D07"/>
    <w:rsid w:val="00650713"/>
    <w:rsid w:val="006529DF"/>
    <w:rsid w:val="00655591"/>
    <w:rsid w:val="00661368"/>
    <w:rsid w:val="006649A0"/>
    <w:rsid w:val="00665C28"/>
    <w:rsid w:val="00671899"/>
    <w:rsid w:val="00673B94"/>
    <w:rsid w:val="006808AC"/>
    <w:rsid w:val="00680AC6"/>
    <w:rsid w:val="00682087"/>
    <w:rsid w:val="006835D8"/>
    <w:rsid w:val="006841E6"/>
    <w:rsid w:val="00685453"/>
    <w:rsid w:val="00693818"/>
    <w:rsid w:val="00694578"/>
    <w:rsid w:val="00694CBF"/>
    <w:rsid w:val="006A666B"/>
    <w:rsid w:val="006B11B8"/>
    <w:rsid w:val="006B55F9"/>
    <w:rsid w:val="006B68E7"/>
    <w:rsid w:val="006C0A50"/>
    <w:rsid w:val="006C316E"/>
    <w:rsid w:val="006C56BF"/>
    <w:rsid w:val="006C59A9"/>
    <w:rsid w:val="006D0AEF"/>
    <w:rsid w:val="006D0F7C"/>
    <w:rsid w:val="006D3D53"/>
    <w:rsid w:val="006D42CE"/>
    <w:rsid w:val="006D616F"/>
    <w:rsid w:val="006D7E8F"/>
    <w:rsid w:val="006E0B2A"/>
    <w:rsid w:val="006E3DFC"/>
    <w:rsid w:val="006E5077"/>
    <w:rsid w:val="006F0681"/>
    <w:rsid w:val="006F1AD4"/>
    <w:rsid w:val="006F365B"/>
    <w:rsid w:val="006F49D6"/>
    <w:rsid w:val="006F6574"/>
    <w:rsid w:val="006F6CBC"/>
    <w:rsid w:val="007047DA"/>
    <w:rsid w:val="00705135"/>
    <w:rsid w:val="007100A6"/>
    <w:rsid w:val="007131AB"/>
    <w:rsid w:val="00721DBF"/>
    <w:rsid w:val="00722923"/>
    <w:rsid w:val="007269C4"/>
    <w:rsid w:val="00730A9B"/>
    <w:rsid w:val="007318EE"/>
    <w:rsid w:val="00733A32"/>
    <w:rsid w:val="00735FC2"/>
    <w:rsid w:val="00736528"/>
    <w:rsid w:val="00736C4C"/>
    <w:rsid w:val="007375D4"/>
    <w:rsid w:val="0074063A"/>
    <w:rsid w:val="00740C88"/>
    <w:rsid w:val="0074209E"/>
    <w:rsid w:val="00743E2A"/>
    <w:rsid w:val="00744591"/>
    <w:rsid w:val="007450A3"/>
    <w:rsid w:val="007458A3"/>
    <w:rsid w:val="0075143D"/>
    <w:rsid w:val="007516B1"/>
    <w:rsid w:val="00752ACB"/>
    <w:rsid w:val="00755D71"/>
    <w:rsid w:val="00756C24"/>
    <w:rsid w:val="007607F1"/>
    <w:rsid w:val="00762F13"/>
    <w:rsid w:val="007674B5"/>
    <w:rsid w:val="00782DC7"/>
    <w:rsid w:val="007862BB"/>
    <w:rsid w:val="00786FCD"/>
    <w:rsid w:val="00787024"/>
    <w:rsid w:val="007871B5"/>
    <w:rsid w:val="00791A8A"/>
    <w:rsid w:val="00791F1E"/>
    <w:rsid w:val="0079631B"/>
    <w:rsid w:val="007A2704"/>
    <w:rsid w:val="007A3DF0"/>
    <w:rsid w:val="007A6414"/>
    <w:rsid w:val="007B0A42"/>
    <w:rsid w:val="007B6E3D"/>
    <w:rsid w:val="007C0CE0"/>
    <w:rsid w:val="007C0FFA"/>
    <w:rsid w:val="007C794B"/>
    <w:rsid w:val="007D72A5"/>
    <w:rsid w:val="007D7B17"/>
    <w:rsid w:val="007E1C0F"/>
    <w:rsid w:val="007E34D1"/>
    <w:rsid w:val="007E5780"/>
    <w:rsid w:val="007E5F43"/>
    <w:rsid w:val="007E70B2"/>
    <w:rsid w:val="007F12F5"/>
    <w:rsid w:val="007F24B2"/>
    <w:rsid w:val="007F2CA8"/>
    <w:rsid w:val="007F7161"/>
    <w:rsid w:val="007F7849"/>
    <w:rsid w:val="00803E4D"/>
    <w:rsid w:val="00804EAB"/>
    <w:rsid w:val="00806E8D"/>
    <w:rsid w:val="0080784D"/>
    <w:rsid w:val="00812244"/>
    <w:rsid w:val="00814413"/>
    <w:rsid w:val="00823E38"/>
    <w:rsid w:val="0082429B"/>
    <w:rsid w:val="008375B7"/>
    <w:rsid w:val="00837A43"/>
    <w:rsid w:val="008476FF"/>
    <w:rsid w:val="00847D47"/>
    <w:rsid w:val="0085498A"/>
    <w:rsid w:val="00854FD2"/>
    <w:rsid w:val="0085559E"/>
    <w:rsid w:val="008559AD"/>
    <w:rsid w:val="0086208D"/>
    <w:rsid w:val="008648F7"/>
    <w:rsid w:val="00867183"/>
    <w:rsid w:val="00867BD5"/>
    <w:rsid w:val="00871214"/>
    <w:rsid w:val="008724E4"/>
    <w:rsid w:val="0087631D"/>
    <w:rsid w:val="00881A9A"/>
    <w:rsid w:val="008866CE"/>
    <w:rsid w:val="008869CE"/>
    <w:rsid w:val="00886FAF"/>
    <w:rsid w:val="0089350F"/>
    <w:rsid w:val="0089495D"/>
    <w:rsid w:val="00896B1B"/>
    <w:rsid w:val="00896FE4"/>
    <w:rsid w:val="008A1B0A"/>
    <w:rsid w:val="008A3307"/>
    <w:rsid w:val="008A50D4"/>
    <w:rsid w:val="008B18F6"/>
    <w:rsid w:val="008C19BB"/>
    <w:rsid w:val="008C2D72"/>
    <w:rsid w:val="008C471B"/>
    <w:rsid w:val="008C5B68"/>
    <w:rsid w:val="008C5EEE"/>
    <w:rsid w:val="008D3C1C"/>
    <w:rsid w:val="008D4705"/>
    <w:rsid w:val="008D544C"/>
    <w:rsid w:val="008D6F20"/>
    <w:rsid w:val="008E3BC0"/>
    <w:rsid w:val="008E559E"/>
    <w:rsid w:val="008E70B3"/>
    <w:rsid w:val="008F02AF"/>
    <w:rsid w:val="008F164D"/>
    <w:rsid w:val="008F189E"/>
    <w:rsid w:val="008F5FB1"/>
    <w:rsid w:val="008F6C59"/>
    <w:rsid w:val="009020AA"/>
    <w:rsid w:val="00902303"/>
    <w:rsid w:val="009039EF"/>
    <w:rsid w:val="00914E95"/>
    <w:rsid w:val="00915014"/>
    <w:rsid w:val="00916080"/>
    <w:rsid w:val="00921A68"/>
    <w:rsid w:val="0092317F"/>
    <w:rsid w:val="009257AC"/>
    <w:rsid w:val="00926B46"/>
    <w:rsid w:val="0093187A"/>
    <w:rsid w:val="00934679"/>
    <w:rsid w:val="009348F7"/>
    <w:rsid w:val="00940747"/>
    <w:rsid w:val="00941143"/>
    <w:rsid w:val="0094373D"/>
    <w:rsid w:val="00946228"/>
    <w:rsid w:val="00950B2E"/>
    <w:rsid w:val="00951B21"/>
    <w:rsid w:val="00956E9D"/>
    <w:rsid w:val="00957A95"/>
    <w:rsid w:val="00957C87"/>
    <w:rsid w:val="00971E36"/>
    <w:rsid w:val="0097581C"/>
    <w:rsid w:val="00982A8A"/>
    <w:rsid w:val="00990989"/>
    <w:rsid w:val="00997A89"/>
    <w:rsid w:val="009A3225"/>
    <w:rsid w:val="009A5940"/>
    <w:rsid w:val="009A7615"/>
    <w:rsid w:val="009B0B5B"/>
    <w:rsid w:val="009B2FA8"/>
    <w:rsid w:val="009B33B9"/>
    <w:rsid w:val="009B6F56"/>
    <w:rsid w:val="009B704B"/>
    <w:rsid w:val="009C5673"/>
    <w:rsid w:val="009C56B3"/>
    <w:rsid w:val="009D22C6"/>
    <w:rsid w:val="009E4E48"/>
    <w:rsid w:val="009E7035"/>
    <w:rsid w:val="009F023F"/>
    <w:rsid w:val="009F14BB"/>
    <w:rsid w:val="009F2886"/>
    <w:rsid w:val="009F702A"/>
    <w:rsid w:val="00A015C4"/>
    <w:rsid w:val="00A05819"/>
    <w:rsid w:val="00A150FE"/>
    <w:rsid w:val="00A15172"/>
    <w:rsid w:val="00A15607"/>
    <w:rsid w:val="00A16944"/>
    <w:rsid w:val="00A24019"/>
    <w:rsid w:val="00A27EEB"/>
    <w:rsid w:val="00A35D5C"/>
    <w:rsid w:val="00A50860"/>
    <w:rsid w:val="00A523BF"/>
    <w:rsid w:val="00A613F4"/>
    <w:rsid w:val="00A62CBC"/>
    <w:rsid w:val="00A6626A"/>
    <w:rsid w:val="00A75957"/>
    <w:rsid w:val="00A8406B"/>
    <w:rsid w:val="00A862CB"/>
    <w:rsid w:val="00A932BA"/>
    <w:rsid w:val="00A9595A"/>
    <w:rsid w:val="00A96D81"/>
    <w:rsid w:val="00A96FDF"/>
    <w:rsid w:val="00AA1B2F"/>
    <w:rsid w:val="00AA3A24"/>
    <w:rsid w:val="00AB0C2A"/>
    <w:rsid w:val="00AB39F8"/>
    <w:rsid w:val="00AB5463"/>
    <w:rsid w:val="00AB550C"/>
    <w:rsid w:val="00AB5E9F"/>
    <w:rsid w:val="00AC201A"/>
    <w:rsid w:val="00AC3833"/>
    <w:rsid w:val="00AC4280"/>
    <w:rsid w:val="00AC773C"/>
    <w:rsid w:val="00AD173B"/>
    <w:rsid w:val="00AD5E80"/>
    <w:rsid w:val="00AE67CB"/>
    <w:rsid w:val="00AE7FC1"/>
    <w:rsid w:val="00AF151F"/>
    <w:rsid w:val="00AF4679"/>
    <w:rsid w:val="00AF66DC"/>
    <w:rsid w:val="00B014BB"/>
    <w:rsid w:val="00B03591"/>
    <w:rsid w:val="00B04F09"/>
    <w:rsid w:val="00B04F5D"/>
    <w:rsid w:val="00B05F29"/>
    <w:rsid w:val="00B075BF"/>
    <w:rsid w:val="00B1528B"/>
    <w:rsid w:val="00B217FF"/>
    <w:rsid w:val="00B2412B"/>
    <w:rsid w:val="00B2443A"/>
    <w:rsid w:val="00B24E66"/>
    <w:rsid w:val="00B2644E"/>
    <w:rsid w:val="00B312FE"/>
    <w:rsid w:val="00B32689"/>
    <w:rsid w:val="00B32E13"/>
    <w:rsid w:val="00B37522"/>
    <w:rsid w:val="00B416AF"/>
    <w:rsid w:val="00B44431"/>
    <w:rsid w:val="00B4547C"/>
    <w:rsid w:val="00B5080A"/>
    <w:rsid w:val="00B50C1A"/>
    <w:rsid w:val="00B51119"/>
    <w:rsid w:val="00B55549"/>
    <w:rsid w:val="00B619F6"/>
    <w:rsid w:val="00B61AAB"/>
    <w:rsid w:val="00B665E6"/>
    <w:rsid w:val="00B71836"/>
    <w:rsid w:val="00B72D4C"/>
    <w:rsid w:val="00B7683D"/>
    <w:rsid w:val="00B779B6"/>
    <w:rsid w:val="00B8038E"/>
    <w:rsid w:val="00B831EC"/>
    <w:rsid w:val="00B847E8"/>
    <w:rsid w:val="00B905D4"/>
    <w:rsid w:val="00B93E2E"/>
    <w:rsid w:val="00B943AE"/>
    <w:rsid w:val="00BA053F"/>
    <w:rsid w:val="00BA43EF"/>
    <w:rsid w:val="00BA4AA8"/>
    <w:rsid w:val="00BB3C88"/>
    <w:rsid w:val="00BB6111"/>
    <w:rsid w:val="00BC2FFF"/>
    <w:rsid w:val="00BC4FF8"/>
    <w:rsid w:val="00BD0F57"/>
    <w:rsid w:val="00BD3DAD"/>
    <w:rsid w:val="00BD5AEE"/>
    <w:rsid w:val="00BD7258"/>
    <w:rsid w:val="00BE1A1F"/>
    <w:rsid w:val="00BE287B"/>
    <w:rsid w:val="00BE3EED"/>
    <w:rsid w:val="00BF13EB"/>
    <w:rsid w:val="00BF49A1"/>
    <w:rsid w:val="00C045E0"/>
    <w:rsid w:val="00C0598D"/>
    <w:rsid w:val="00C10AC3"/>
    <w:rsid w:val="00C11956"/>
    <w:rsid w:val="00C1229B"/>
    <w:rsid w:val="00C178ED"/>
    <w:rsid w:val="00C242C5"/>
    <w:rsid w:val="00C27670"/>
    <w:rsid w:val="00C33C91"/>
    <w:rsid w:val="00C35F27"/>
    <w:rsid w:val="00C3651A"/>
    <w:rsid w:val="00C36D8E"/>
    <w:rsid w:val="00C37557"/>
    <w:rsid w:val="00C43641"/>
    <w:rsid w:val="00C46E26"/>
    <w:rsid w:val="00C50019"/>
    <w:rsid w:val="00C513F6"/>
    <w:rsid w:val="00C56D60"/>
    <w:rsid w:val="00C602E5"/>
    <w:rsid w:val="00C620B7"/>
    <w:rsid w:val="00C705F8"/>
    <w:rsid w:val="00C721BF"/>
    <w:rsid w:val="00C748FD"/>
    <w:rsid w:val="00C75F91"/>
    <w:rsid w:val="00C81DC3"/>
    <w:rsid w:val="00C84ACB"/>
    <w:rsid w:val="00C8681F"/>
    <w:rsid w:val="00C915CB"/>
    <w:rsid w:val="00C92341"/>
    <w:rsid w:val="00C977AA"/>
    <w:rsid w:val="00CA4975"/>
    <w:rsid w:val="00CB16F9"/>
    <w:rsid w:val="00CB439C"/>
    <w:rsid w:val="00CC032C"/>
    <w:rsid w:val="00CC3D95"/>
    <w:rsid w:val="00CC520F"/>
    <w:rsid w:val="00CD1A91"/>
    <w:rsid w:val="00CE6F08"/>
    <w:rsid w:val="00CF018C"/>
    <w:rsid w:val="00CF1834"/>
    <w:rsid w:val="00CF3479"/>
    <w:rsid w:val="00CF438C"/>
    <w:rsid w:val="00D038F0"/>
    <w:rsid w:val="00D04376"/>
    <w:rsid w:val="00D061CF"/>
    <w:rsid w:val="00D171CB"/>
    <w:rsid w:val="00D20CB2"/>
    <w:rsid w:val="00D213A6"/>
    <w:rsid w:val="00D2193C"/>
    <w:rsid w:val="00D246E0"/>
    <w:rsid w:val="00D2536B"/>
    <w:rsid w:val="00D268C5"/>
    <w:rsid w:val="00D27CC4"/>
    <w:rsid w:val="00D3531C"/>
    <w:rsid w:val="00D3651A"/>
    <w:rsid w:val="00D4046E"/>
    <w:rsid w:val="00D41D75"/>
    <w:rsid w:val="00D4362F"/>
    <w:rsid w:val="00D438C5"/>
    <w:rsid w:val="00D46F5B"/>
    <w:rsid w:val="00D475AB"/>
    <w:rsid w:val="00D50018"/>
    <w:rsid w:val="00D51882"/>
    <w:rsid w:val="00D52B27"/>
    <w:rsid w:val="00D557F2"/>
    <w:rsid w:val="00D70A16"/>
    <w:rsid w:val="00D70E1F"/>
    <w:rsid w:val="00D723F6"/>
    <w:rsid w:val="00D73C4B"/>
    <w:rsid w:val="00D76853"/>
    <w:rsid w:val="00D8383C"/>
    <w:rsid w:val="00D85A8E"/>
    <w:rsid w:val="00D91A4E"/>
    <w:rsid w:val="00D96C28"/>
    <w:rsid w:val="00DA5549"/>
    <w:rsid w:val="00DA5712"/>
    <w:rsid w:val="00DC59AE"/>
    <w:rsid w:val="00DC6234"/>
    <w:rsid w:val="00DD3580"/>
    <w:rsid w:val="00DD4739"/>
    <w:rsid w:val="00DD734D"/>
    <w:rsid w:val="00DD7A1D"/>
    <w:rsid w:val="00DE0AB2"/>
    <w:rsid w:val="00DE16BF"/>
    <w:rsid w:val="00DE179B"/>
    <w:rsid w:val="00DE2E02"/>
    <w:rsid w:val="00DE5F33"/>
    <w:rsid w:val="00DF1427"/>
    <w:rsid w:val="00DF4013"/>
    <w:rsid w:val="00DF51CC"/>
    <w:rsid w:val="00E01164"/>
    <w:rsid w:val="00E065C4"/>
    <w:rsid w:val="00E07B54"/>
    <w:rsid w:val="00E11F78"/>
    <w:rsid w:val="00E13E31"/>
    <w:rsid w:val="00E14237"/>
    <w:rsid w:val="00E207A0"/>
    <w:rsid w:val="00E22E6B"/>
    <w:rsid w:val="00E27A50"/>
    <w:rsid w:val="00E3654F"/>
    <w:rsid w:val="00E40DA4"/>
    <w:rsid w:val="00E452FE"/>
    <w:rsid w:val="00E57AE4"/>
    <w:rsid w:val="00E621E1"/>
    <w:rsid w:val="00E62965"/>
    <w:rsid w:val="00E70E98"/>
    <w:rsid w:val="00E71346"/>
    <w:rsid w:val="00E729FB"/>
    <w:rsid w:val="00E83BD1"/>
    <w:rsid w:val="00E959F1"/>
    <w:rsid w:val="00E97CD9"/>
    <w:rsid w:val="00EA2518"/>
    <w:rsid w:val="00EA477F"/>
    <w:rsid w:val="00EB0148"/>
    <w:rsid w:val="00EB5F3B"/>
    <w:rsid w:val="00EB5FF4"/>
    <w:rsid w:val="00EC55B3"/>
    <w:rsid w:val="00ED15B9"/>
    <w:rsid w:val="00ED60A5"/>
    <w:rsid w:val="00ED616C"/>
    <w:rsid w:val="00EE0D93"/>
    <w:rsid w:val="00EE37F2"/>
    <w:rsid w:val="00EE5607"/>
    <w:rsid w:val="00EE6681"/>
    <w:rsid w:val="00EE74AB"/>
    <w:rsid w:val="00EF5E38"/>
    <w:rsid w:val="00F00FE6"/>
    <w:rsid w:val="00F02493"/>
    <w:rsid w:val="00F024EB"/>
    <w:rsid w:val="00F045C6"/>
    <w:rsid w:val="00F06A6E"/>
    <w:rsid w:val="00F23004"/>
    <w:rsid w:val="00F25619"/>
    <w:rsid w:val="00F25DCE"/>
    <w:rsid w:val="00F27739"/>
    <w:rsid w:val="00F278D4"/>
    <w:rsid w:val="00F312AC"/>
    <w:rsid w:val="00F34C68"/>
    <w:rsid w:val="00F37663"/>
    <w:rsid w:val="00F42E53"/>
    <w:rsid w:val="00F46665"/>
    <w:rsid w:val="00F469DD"/>
    <w:rsid w:val="00F47710"/>
    <w:rsid w:val="00F54267"/>
    <w:rsid w:val="00F56176"/>
    <w:rsid w:val="00F562D1"/>
    <w:rsid w:val="00F57362"/>
    <w:rsid w:val="00F630D5"/>
    <w:rsid w:val="00F63927"/>
    <w:rsid w:val="00F67B1F"/>
    <w:rsid w:val="00F70200"/>
    <w:rsid w:val="00F712B1"/>
    <w:rsid w:val="00F75C7C"/>
    <w:rsid w:val="00F86227"/>
    <w:rsid w:val="00F86A29"/>
    <w:rsid w:val="00F86B3B"/>
    <w:rsid w:val="00F87F5F"/>
    <w:rsid w:val="00F90330"/>
    <w:rsid w:val="00F90FC4"/>
    <w:rsid w:val="00F91144"/>
    <w:rsid w:val="00F95B7B"/>
    <w:rsid w:val="00F966A2"/>
    <w:rsid w:val="00F96FB2"/>
    <w:rsid w:val="00F97378"/>
    <w:rsid w:val="00F9748F"/>
    <w:rsid w:val="00FA12E6"/>
    <w:rsid w:val="00FA29F1"/>
    <w:rsid w:val="00FA78C9"/>
    <w:rsid w:val="00FB267A"/>
    <w:rsid w:val="00FB51D8"/>
    <w:rsid w:val="00FB58B6"/>
    <w:rsid w:val="00FD08E8"/>
    <w:rsid w:val="00FD299F"/>
    <w:rsid w:val="00FD4400"/>
    <w:rsid w:val="00FD747C"/>
    <w:rsid w:val="00FE1322"/>
    <w:rsid w:val="00FE3619"/>
    <w:rsid w:val="00FF0DFA"/>
    <w:rsid w:val="00FF0EED"/>
    <w:rsid w:val="00FF12AC"/>
    <w:rsid w:val="00FF2A58"/>
    <w:rsid w:val="00FF4832"/>
    <w:rsid w:val="00FF6A82"/>
    <w:rsid w:val="6309DD8A"/>
    <w:rsid w:val="76424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43665B"/>
  <w15:chartTrackingRefBased/>
  <w15:docId w15:val="{75708DD8-3665-4876-AA8F-FDA1E228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h1"/>
    <w:basedOn w:val="Normal"/>
    <w:next w:val="Normal"/>
    <w:qFormat/>
    <w:pPr>
      <w:keepNext/>
      <w:numPr>
        <w:numId w:val="1"/>
      </w:numPr>
      <w:spacing w:after="240"/>
      <w:outlineLvl w:val="0"/>
    </w:pPr>
    <w:rPr>
      <w:b/>
      <w:caps/>
    </w:rPr>
  </w:style>
  <w:style w:type="paragraph" w:styleId="Heading2">
    <w:name w:val="heading 2"/>
    <w:aliases w:val="h2"/>
    <w:basedOn w:val="Normal"/>
    <w:next w:val="Normal"/>
    <w:qFormat/>
    <w:pPr>
      <w:keepNext/>
      <w:numPr>
        <w:ilvl w:val="1"/>
        <w:numId w:val="1"/>
      </w:numPr>
      <w:spacing w:before="240" w:after="240"/>
      <w:outlineLvl w:val="1"/>
    </w:pPr>
    <w:rPr>
      <w:b/>
    </w:rPr>
  </w:style>
  <w:style w:type="paragraph" w:styleId="Heading3">
    <w:name w:val="heading 3"/>
    <w:aliases w:val="h3"/>
    <w:basedOn w:val="Normal"/>
    <w:next w:val="Normal"/>
    <w:qFormat/>
    <w:pPr>
      <w:keepNext/>
      <w:numPr>
        <w:ilvl w:val="2"/>
        <w:numId w:val="1"/>
      </w:numPr>
      <w:spacing w:before="120" w:after="120"/>
      <w:outlineLvl w:val="2"/>
    </w:pPr>
    <w:rPr>
      <w:b/>
      <w:bCs/>
      <w:i/>
      <w:iCs/>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rPr>
  </w:style>
  <w:style w:type="paragraph" w:styleId="Heading5">
    <w:name w:val="heading 5"/>
    <w:aliases w:val="h5"/>
    <w:basedOn w:val="Normal"/>
    <w:next w:val="Normal"/>
    <w:qFormat/>
    <w:pPr>
      <w:spacing w:before="240" w:after="60"/>
      <w:outlineLvl w:val="4"/>
    </w:pPr>
    <w:rPr>
      <w:b/>
      <w:i/>
      <w:sz w:val="26"/>
    </w:rPr>
  </w:style>
  <w:style w:type="paragraph" w:styleId="Heading6">
    <w:name w:val="heading 6"/>
    <w:aliases w:val="h6"/>
    <w:basedOn w:val="Normal"/>
    <w:next w:val="Normal"/>
    <w:qFormat/>
    <w:pPr>
      <w:spacing w:before="240" w:after="60"/>
      <w:outlineLvl w:val="5"/>
    </w:pPr>
    <w:rPr>
      <w:b/>
      <w:sz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2C281C"/>
    <w:rPr>
      <w:sz w:val="24"/>
      <w:szCs w:val="24"/>
    </w:rPr>
  </w:style>
  <w:style w:type="paragraph" w:styleId="ListParagraph">
    <w:name w:val="List Paragraph"/>
    <w:basedOn w:val="Normal"/>
    <w:uiPriority w:val="34"/>
    <w:qFormat/>
    <w:rsid w:val="00CC520F"/>
    <w:pPr>
      <w:ind w:left="720"/>
      <w:contextualSpacing/>
    </w:pPr>
  </w:style>
  <w:style w:type="paragraph" w:styleId="NormalWeb">
    <w:name w:val="Normal (Web)"/>
    <w:basedOn w:val="Normal"/>
    <w:uiPriority w:val="99"/>
    <w:unhideWhenUsed/>
    <w:rsid w:val="00CC520F"/>
    <w:pPr>
      <w:spacing w:before="100" w:beforeAutospacing="1" w:after="100" w:afterAutospacing="1"/>
    </w:pPr>
    <w:rPr>
      <w:sz w:val="24"/>
      <w:szCs w:val="24"/>
    </w:rPr>
  </w:style>
  <w:style w:type="character" w:styleId="Strong">
    <w:name w:val="Strong"/>
    <w:basedOn w:val="DefaultParagraphFont"/>
    <w:uiPriority w:val="22"/>
    <w:qFormat/>
    <w:rsid w:val="00CC520F"/>
    <w:rPr>
      <w:b/>
      <w:bCs/>
    </w:rPr>
  </w:style>
  <w:style w:type="paragraph" w:styleId="FootnoteText">
    <w:name w:val="footnote text"/>
    <w:basedOn w:val="Normal"/>
    <w:link w:val="FootnoteTextChar"/>
    <w:rsid w:val="00304B17"/>
  </w:style>
  <w:style w:type="character" w:customStyle="1" w:styleId="FootnoteTextChar">
    <w:name w:val="Footnote Text Char"/>
    <w:basedOn w:val="DefaultParagraphFont"/>
    <w:link w:val="FootnoteText"/>
    <w:rsid w:val="00304B17"/>
  </w:style>
  <w:style w:type="character" w:styleId="FootnoteReference">
    <w:name w:val="footnote reference"/>
    <w:basedOn w:val="DefaultParagraphFont"/>
    <w:rsid w:val="00304B17"/>
    <w:rPr>
      <w:vertAlign w:val="superscript"/>
    </w:rPr>
  </w:style>
  <w:style w:type="character" w:styleId="UnresolvedMention">
    <w:name w:val="Unresolved Mention"/>
    <w:basedOn w:val="DefaultParagraphFont"/>
    <w:uiPriority w:val="99"/>
    <w:semiHidden/>
    <w:unhideWhenUsed/>
    <w:rsid w:val="003F50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eimers@potomaceconomic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1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4bb770-530c-43db-868c-470100b04b21">
      <Terms xmlns="http://schemas.microsoft.com/office/infopath/2007/PartnerControls"/>
    </lcf76f155ced4ddcb4097134ff3c332f>
    <TaxCatchAll xmlns="937cce53-552a-4e6c-8bb2-bd9caca87b17"/>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EC4A72CAB0D64D9F7E9682FD2192C4" ma:contentTypeVersion="15" ma:contentTypeDescription="Create a new document." ma:contentTypeScope="" ma:versionID="7675757bd1bb0a76ba4e5ec95231aaa4">
  <xsd:schema xmlns:xsd="http://www.w3.org/2001/XMLSchema" xmlns:xs="http://www.w3.org/2001/XMLSchema" xmlns:p="http://schemas.microsoft.com/office/2006/metadata/properties" xmlns:ns2="b74bb770-530c-43db-868c-470100b04b21" xmlns:ns3="937cce53-552a-4e6c-8bb2-bd9caca87b17" targetNamespace="http://schemas.microsoft.com/office/2006/metadata/properties" ma:root="true" ma:fieldsID="208da01ec2d0db66eedf9cf27e0bcecc" ns2:_="" ns3:_="">
    <xsd:import namespace="b74bb770-530c-43db-868c-470100b04b21"/>
    <xsd:import namespace="937cce53-552a-4e6c-8bb2-bd9caca87b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bb770-530c-43db-868c-470100b04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2c33fb-773d-4c7f-af06-7655ec8c41c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7cce53-552a-4e6c-8bb2-bd9caca87b1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d2b1ae2-937c-401e-b607-a9cafcc47ee4}" ma:internalName="TaxCatchAll" ma:showField="CatchAllData" ma:web="937cce53-552a-4e6c-8bb2-bd9caca87b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53005A-B9A7-4351-9B01-C850428D35AF}">
  <ds:schemaRefs>
    <ds:schemaRef ds:uri="http://schemas.microsoft.com/office/2006/metadata/properties"/>
    <ds:schemaRef ds:uri="http://schemas.microsoft.com/office/infopath/2007/PartnerControls"/>
    <ds:schemaRef ds:uri="b74bb770-530c-43db-868c-470100b04b21"/>
    <ds:schemaRef ds:uri="937cce53-552a-4e6c-8bb2-bd9caca87b17"/>
  </ds:schemaRefs>
</ds:datastoreItem>
</file>

<file path=customXml/itemProps2.xml><?xml version="1.0" encoding="utf-8"?>
<ds:datastoreItem xmlns:ds="http://schemas.openxmlformats.org/officeDocument/2006/customXml" ds:itemID="{35171935-2F38-4098-AF45-C9E081FE6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bb770-530c-43db-868c-470100b04b21"/>
    <ds:schemaRef ds:uri="937cce53-552a-4e6c-8bb2-bd9caca87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9BFD0E-2F86-4192-82B0-EFC3DC5D0B0C}">
  <ds:schemaRefs>
    <ds:schemaRef ds:uri="http://schemas.openxmlformats.org/officeDocument/2006/bibliography"/>
  </ds:schemaRefs>
</ds:datastoreItem>
</file>

<file path=customXml/itemProps4.xml><?xml version="1.0" encoding="utf-8"?>
<ds:datastoreItem xmlns:ds="http://schemas.openxmlformats.org/officeDocument/2006/customXml" ds:itemID="{15A100CC-C4EE-4EE6-852B-F7B31257FE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1559</Words>
  <Characters>8706</Characters>
  <Application>Microsoft Office Word</Application>
  <DocSecurity>0</DocSecurity>
  <Lines>170</Lines>
  <Paragraphs>53</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10212</CharactersWithSpaces>
  <SharedDoc>false</SharedDoc>
  <HLinks>
    <vt:vector size="6" baseType="variant">
      <vt:variant>
        <vt:i4>2686991</vt:i4>
      </vt:variant>
      <vt:variant>
        <vt:i4>0</vt:i4>
      </vt:variant>
      <vt:variant>
        <vt:i4>0</vt:i4>
      </vt:variant>
      <vt:variant>
        <vt:i4>5</vt:i4>
      </vt:variant>
      <vt:variant>
        <vt:lpwstr>mailto:areimers@potomaceconomics.com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Joint Sponsors</cp:lastModifiedBy>
  <cp:revision>4</cp:revision>
  <cp:lastPrinted>2026-02-02T17:31:00Z</cp:lastPrinted>
  <dcterms:created xsi:type="dcterms:W3CDTF">2026-02-03T19:20:00Z</dcterms:created>
  <dcterms:modified xsi:type="dcterms:W3CDTF">2026-02-03T19:29:00Z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0x010100BEEC4A72CAB0D64D9F7E9682FD2192C4</vt:lpwstr>
  </property>
  <property fmtid="{D5CDD505-2E9C-101B-9397-08002B2CF9AE}" pid="4" name="docLang">
    <vt:lpwstr>en</vt:lpwstr>
  </property>
  <property fmtid="{D5CDD505-2E9C-101B-9397-08002B2CF9AE}" pid="5" name="MSIP_Label_7084cbda-52b8-46fb-a7b7-cb5bd465ed85_Enabled">
    <vt:lpwstr>true</vt:lpwstr>
  </property>
  <property fmtid="{D5CDD505-2E9C-101B-9397-08002B2CF9AE}" pid="6" name="MSIP_Label_7084cbda-52b8-46fb-a7b7-cb5bd465ed85_SetDate">
    <vt:lpwstr>2026-02-03T19:20:16Z</vt:lpwstr>
  </property>
  <property fmtid="{D5CDD505-2E9C-101B-9397-08002B2CF9AE}" pid="7" name="MSIP_Label_7084cbda-52b8-46fb-a7b7-cb5bd465ed85_Method">
    <vt:lpwstr>Standard</vt:lpwstr>
  </property>
  <property fmtid="{D5CDD505-2E9C-101B-9397-08002B2CF9AE}" pid="8" name="MSIP_Label_7084cbda-52b8-46fb-a7b7-cb5bd465ed85_Name">
    <vt:lpwstr>Internal</vt:lpwstr>
  </property>
  <property fmtid="{D5CDD505-2E9C-101B-9397-08002B2CF9AE}" pid="9" name="MSIP_Label_7084cbda-52b8-46fb-a7b7-cb5bd465ed85_SiteId">
    <vt:lpwstr>0afb747d-bff7-4596-a9fc-950ef9e0ec45</vt:lpwstr>
  </property>
  <property fmtid="{D5CDD505-2E9C-101B-9397-08002B2CF9AE}" pid="10" name="MSIP_Label_7084cbda-52b8-46fb-a7b7-cb5bd465ed85_ActionId">
    <vt:lpwstr>deebfc7c-c47f-4fba-8442-c56e8f1077e4</vt:lpwstr>
  </property>
  <property fmtid="{D5CDD505-2E9C-101B-9397-08002B2CF9AE}" pid="11" name="MSIP_Label_7084cbda-52b8-46fb-a7b7-cb5bd465ed85_ContentBits">
    <vt:lpwstr>0</vt:lpwstr>
  </property>
  <property fmtid="{D5CDD505-2E9C-101B-9397-08002B2CF9AE}" pid="12" name="MSIP_Label_7084cbda-52b8-46fb-a7b7-cb5bd465ed85_Tag">
    <vt:lpwstr>10, 3, 0, 1</vt:lpwstr>
  </property>
</Properties>
</file>