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6A4E3E6" w14:textId="77777777">
        <w:tc>
          <w:tcPr>
            <w:tcW w:w="1620" w:type="dxa"/>
            <w:tcBorders>
              <w:bottom w:val="single" w:sz="4" w:space="0" w:color="auto"/>
            </w:tcBorders>
            <w:shd w:val="clear" w:color="auto" w:fill="FFFFFF"/>
            <w:vAlign w:val="center"/>
          </w:tcPr>
          <w:p w14:paraId="186EA22E" w14:textId="4194CB4B"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7507136" w14:textId="007860F8" w:rsidR="00152993" w:rsidRDefault="009E6F56">
            <w:pPr>
              <w:pStyle w:val="Header"/>
            </w:pPr>
            <w:hyperlink r:id="rId7" w:history="1">
              <w:r w:rsidRPr="009E6F56">
                <w:rPr>
                  <w:rStyle w:val="Hyperlink"/>
                </w:rPr>
                <w:t>1310</w:t>
              </w:r>
            </w:hyperlink>
          </w:p>
        </w:tc>
        <w:tc>
          <w:tcPr>
            <w:tcW w:w="900" w:type="dxa"/>
            <w:tcBorders>
              <w:bottom w:val="single" w:sz="4" w:space="0" w:color="auto"/>
            </w:tcBorders>
            <w:shd w:val="clear" w:color="auto" w:fill="FFFFFF"/>
            <w:vAlign w:val="center"/>
          </w:tcPr>
          <w:p w14:paraId="14140ECB" w14:textId="77777777" w:rsidR="00152993" w:rsidRDefault="00EE6681">
            <w:pPr>
              <w:pStyle w:val="Header"/>
            </w:pPr>
            <w:r>
              <w:t>N</w:t>
            </w:r>
            <w:r w:rsidR="00152993">
              <w:t>PRR Title</w:t>
            </w:r>
          </w:p>
        </w:tc>
        <w:tc>
          <w:tcPr>
            <w:tcW w:w="6660" w:type="dxa"/>
            <w:tcBorders>
              <w:bottom w:val="single" w:sz="4" w:space="0" w:color="auto"/>
            </w:tcBorders>
            <w:vAlign w:val="center"/>
          </w:tcPr>
          <w:p w14:paraId="608843FB" w14:textId="225408BB" w:rsidR="00152993" w:rsidRDefault="009E6F56">
            <w:pPr>
              <w:pStyle w:val="Header"/>
            </w:pPr>
            <w:r w:rsidRPr="009E6F56">
              <w:t>Dispatchable Reliability Reserve Service Plus Energy Storage Resource Participation and Release Factor</w:t>
            </w:r>
          </w:p>
        </w:tc>
      </w:tr>
      <w:tr w:rsidR="00152993" w14:paraId="72576CEC" w14:textId="77777777">
        <w:trPr>
          <w:trHeight w:val="413"/>
        </w:trPr>
        <w:tc>
          <w:tcPr>
            <w:tcW w:w="2880" w:type="dxa"/>
            <w:gridSpan w:val="2"/>
            <w:tcBorders>
              <w:top w:val="nil"/>
              <w:left w:val="nil"/>
              <w:bottom w:val="single" w:sz="4" w:space="0" w:color="auto"/>
              <w:right w:val="nil"/>
            </w:tcBorders>
            <w:vAlign w:val="center"/>
          </w:tcPr>
          <w:p w14:paraId="5EC7E81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61F85A9" w14:textId="77777777" w:rsidR="00152993" w:rsidRDefault="00152993">
            <w:pPr>
              <w:pStyle w:val="NormalArial"/>
            </w:pPr>
          </w:p>
        </w:tc>
      </w:tr>
      <w:tr w:rsidR="00152993" w14:paraId="4E1C13C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EFA9358"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F36951" w14:textId="7A2F0C89" w:rsidR="00152993" w:rsidRDefault="00E91436">
            <w:pPr>
              <w:pStyle w:val="NormalArial"/>
            </w:pPr>
            <w:r>
              <w:t xml:space="preserve">January </w:t>
            </w:r>
            <w:r w:rsidR="00F02486">
              <w:t>30</w:t>
            </w:r>
            <w:r>
              <w:t>,</w:t>
            </w:r>
            <w:r w:rsidR="009E6F56">
              <w:t xml:space="preserve"> 2026</w:t>
            </w:r>
          </w:p>
        </w:tc>
      </w:tr>
    </w:tbl>
    <w:p w14:paraId="3E141AF0" w14:textId="77777777" w:rsidR="00F02486" w:rsidRDefault="00F0248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02486" w14:paraId="047DC511" w14:textId="77777777" w:rsidTr="00F548DE">
        <w:trPr>
          <w:trHeight w:val="440"/>
        </w:trPr>
        <w:tc>
          <w:tcPr>
            <w:tcW w:w="10440" w:type="dxa"/>
            <w:gridSpan w:val="2"/>
            <w:tcBorders>
              <w:top w:val="single" w:sz="4" w:space="0" w:color="auto"/>
            </w:tcBorders>
            <w:shd w:val="clear" w:color="auto" w:fill="FFFFFF"/>
            <w:vAlign w:val="center"/>
          </w:tcPr>
          <w:p w14:paraId="0741DB11" w14:textId="77777777" w:rsidR="00F02486" w:rsidRDefault="00F02486" w:rsidP="00F548DE">
            <w:pPr>
              <w:pStyle w:val="Header"/>
              <w:jc w:val="center"/>
            </w:pPr>
            <w:r>
              <w:t>Submitter’s Information</w:t>
            </w:r>
          </w:p>
        </w:tc>
      </w:tr>
      <w:tr w:rsidR="00F02486" w14:paraId="3791A2E9" w14:textId="77777777" w:rsidTr="00F548DE">
        <w:trPr>
          <w:trHeight w:val="350"/>
        </w:trPr>
        <w:tc>
          <w:tcPr>
            <w:tcW w:w="2880" w:type="dxa"/>
            <w:shd w:val="clear" w:color="auto" w:fill="FFFFFF"/>
            <w:vAlign w:val="center"/>
          </w:tcPr>
          <w:p w14:paraId="67FDBEE4" w14:textId="77777777" w:rsidR="00F02486" w:rsidRPr="00EC55B3" w:rsidRDefault="00F02486" w:rsidP="00F548DE">
            <w:pPr>
              <w:pStyle w:val="Header"/>
            </w:pPr>
            <w:r w:rsidRPr="00EC55B3">
              <w:t>Name</w:t>
            </w:r>
          </w:p>
        </w:tc>
        <w:tc>
          <w:tcPr>
            <w:tcW w:w="7560" w:type="dxa"/>
            <w:vAlign w:val="center"/>
          </w:tcPr>
          <w:p w14:paraId="0C9126FE" w14:textId="77777777" w:rsidR="00F02486" w:rsidRDefault="00F02486" w:rsidP="00F548DE">
            <w:pPr>
              <w:pStyle w:val="NormalArial"/>
            </w:pPr>
            <w:r w:rsidRPr="00D21547">
              <w:t>Judd Messer, Texas Vice President / Charlie Hemmeline, Senior Director</w:t>
            </w:r>
          </w:p>
        </w:tc>
      </w:tr>
      <w:tr w:rsidR="00F02486" w14:paraId="3A66D2C9" w14:textId="77777777" w:rsidTr="00F548DE">
        <w:trPr>
          <w:trHeight w:val="350"/>
        </w:trPr>
        <w:tc>
          <w:tcPr>
            <w:tcW w:w="2880" w:type="dxa"/>
            <w:shd w:val="clear" w:color="auto" w:fill="FFFFFF"/>
            <w:vAlign w:val="center"/>
          </w:tcPr>
          <w:p w14:paraId="692386CE" w14:textId="77777777" w:rsidR="00F02486" w:rsidRPr="00EC55B3" w:rsidRDefault="00F02486" w:rsidP="00F548DE">
            <w:pPr>
              <w:pStyle w:val="Header"/>
            </w:pPr>
            <w:r w:rsidRPr="00EC55B3">
              <w:t>E-mail Address</w:t>
            </w:r>
          </w:p>
        </w:tc>
        <w:tc>
          <w:tcPr>
            <w:tcW w:w="7560" w:type="dxa"/>
            <w:vAlign w:val="center"/>
          </w:tcPr>
          <w:p w14:paraId="12F77597" w14:textId="77777777" w:rsidR="00F02486" w:rsidRDefault="00F02486" w:rsidP="00F548DE">
            <w:pPr>
              <w:pStyle w:val="NormalArial"/>
            </w:pPr>
            <w:hyperlink r:id="rId8" w:history="1">
              <w:r w:rsidRPr="00EB5C41">
                <w:rPr>
                  <w:rStyle w:val="Hyperlink"/>
                </w:rPr>
                <w:t>Judd.Messer@poweralliance.org</w:t>
              </w:r>
            </w:hyperlink>
            <w:r>
              <w:t xml:space="preserve"> </w:t>
            </w:r>
            <w:r w:rsidRPr="00D21547">
              <w:t xml:space="preserve">/ </w:t>
            </w:r>
            <w:hyperlink r:id="rId9" w:history="1">
              <w:r w:rsidRPr="00EB5C41">
                <w:rPr>
                  <w:rStyle w:val="Hyperlink"/>
                </w:rPr>
                <w:t>chemmeline@cleanpower.org</w:t>
              </w:r>
            </w:hyperlink>
            <w:r w:rsidRPr="00D21547">
              <w:t xml:space="preserve"> </w:t>
            </w:r>
          </w:p>
        </w:tc>
      </w:tr>
      <w:tr w:rsidR="00F02486" w14:paraId="31C6275E" w14:textId="77777777" w:rsidTr="00F548DE">
        <w:trPr>
          <w:trHeight w:val="350"/>
        </w:trPr>
        <w:tc>
          <w:tcPr>
            <w:tcW w:w="2880" w:type="dxa"/>
            <w:shd w:val="clear" w:color="auto" w:fill="FFFFFF"/>
            <w:vAlign w:val="center"/>
          </w:tcPr>
          <w:p w14:paraId="15B133F3" w14:textId="77777777" w:rsidR="00F02486" w:rsidRPr="00EC55B3" w:rsidRDefault="00F02486" w:rsidP="00F548DE">
            <w:pPr>
              <w:pStyle w:val="Header"/>
            </w:pPr>
            <w:r w:rsidRPr="00EC55B3">
              <w:t>Company</w:t>
            </w:r>
          </w:p>
        </w:tc>
        <w:tc>
          <w:tcPr>
            <w:tcW w:w="7560" w:type="dxa"/>
            <w:vAlign w:val="center"/>
          </w:tcPr>
          <w:p w14:paraId="4A22BD54" w14:textId="77777777" w:rsidR="00F02486" w:rsidRDefault="00F02486" w:rsidP="00F548DE">
            <w:pPr>
              <w:pStyle w:val="NormalArial"/>
            </w:pPr>
            <w:r w:rsidRPr="00D21547">
              <w:t>Advanced Power Alliance / American Clean Power Association</w:t>
            </w:r>
          </w:p>
        </w:tc>
      </w:tr>
      <w:tr w:rsidR="00F02486" w14:paraId="259A684C" w14:textId="77777777" w:rsidTr="00F548DE">
        <w:trPr>
          <w:trHeight w:val="350"/>
        </w:trPr>
        <w:tc>
          <w:tcPr>
            <w:tcW w:w="2880" w:type="dxa"/>
            <w:tcBorders>
              <w:bottom w:val="single" w:sz="4" w:space="0" w:color="auto"/>
            </w:tcBorders>
            <w:shd w:val="clear" w:color="auto" w:fill="FFFFFF"/>
            <w:vAlign w:val="center"/>
          </w:tcPr>
          <w:p w14:paraId="19E1118D" w14:textId="77777777" w:rsidR="00F02486" w:rsidRPr="00EC55B3" w:rsidRDefault="00F02486" w:rsidP="00F548DE">
            <w:pPr>
              <w:pStyle w:val="Header"/>
            </w:pPr>
            <w:r w:rsidRPr="00EC55B3">
              <w:t>Phone Number</w:t>
            </w:r>
          </w:p>
        </w:tc>
        <w:tc>
          <w:tcPr>
            <w:tcW w:w="7560" w:type="dxa"/>
            <w:tcBorders>
              <w:bottom w:val="single" w:sz="4" w:space="0" w:color="auto"/>
            </w:tcBorders>
            <w:vAlign w:val="center"/>
          </w:tcPr>
          <w:p w14:paraId="6A6AFDE0" w14:textId="77777777" w:rsidR="00F02486" w:rsidRDefault="00F02486" w:rsidP="00F548DE">
            <w:pPr>
              <w:pStyle w:val="NormalArial"/>
            </w:pPr>
            <w:r w:rsidRPr="00496728">
              <w:t>254-230-0620 / 202-383-2500</w:t>
            </w:r>
          </w:p>
        </w:tc>
      </w:tr>
      <w:tr w:rsidR="00F02486" w14:paraId="1534CF05" w14:textId="77777777" w:rsidTr="00F548DE">
        <w:trPr>
          <w:trHeight w:val="350"/>
        </w:trPr>
        <w:tc>
          <w:tcPr>
            <w:tcW w:w="2880" w:type="dxa"/>
            <w:shd w:val="clear" w:color="auto" w:fill="FFFFFF"/>
            <w:vAlign w:val="center"/>
          </w:tcPr>
          <w:p w14:paraId="2F9FF0FF" w14:textId="77777777" w:rsidR="00F02486" w:rsidRPr="00EC55B3" w:rsidRDefault="00F02486" w:rsidP="00F548DE">
            <w:pPr>
              <w:pStyle w:val="Header"/>
            </w:pPr>
            <w:r>
              <w:t>Cell</w:t>
            </w:r>
            <w:r w:rsidRPr="00EC55B3">
              <w:t xml:space="preserve"> Number</w:t>
            </w:r>
          </w:p>
        </w:tc>
        <w:tc>
          <w:tcPr>
            <w:tcW w:w="7560" w:type="dxa"/>
            <w:vAlign w:val="center"/>
          </w:tcPr>
          <w:p w14:paraId="25ED21C2" w14:textId="77777777" w:rsidR="00F02486" w:rsidRDefault="00F02486" w:rsidP="00F548DE">
            <w:pPr>
              <w:pStyle w:val="NormalArial"/>
            </w:pPr>
          </w:p>
        </w:tc>
      </w:tr>
      <w:tr w:rsidR="00F02486" w14:paraId="2A9E1B03" w14:textId="77777777" w:rsidTr="00F548DE">
        <w:trPr>
          <w:trHeight w:val="350"/>
        </w:trPr>
        <w:tc>
          <w:tcPr>
            <w:tcW w:w="2880" w:type="dxa"/>
            <w:tcBorders>
              <w:bottom w:val="single" w:sz="4" w:space="0" w:color="auto"/>
            </w:tcBorders>
            <w:shd w:val="clear" w:color="auto" w:fill="FFFFFF"/>
            <w:vAlign w:val="center"/>
          </w:tcPr>
          <w:p w14:paraId="25F6A77E" w14:textId="77777777" w:rsidR="00F02486" w:rsidRPr="00EC55B3" w:rsidDel="00075A94" w:rsidRDefault="00F02486" w:rsidP="00F548DE">
            <w:pPr>
              <w:pStyle w:val="Header"/>
            </w:pPr>
            <w:r>
              <w:t>Market Segment</w:t>
            </w:r>
          </w:p>
        </w:tc>
        <w:tc>
          <w:tcPr>
            <w:tcW w:w="7560" w:type="dxa"/>
            <w:tcBorders>
              <w:bottom w:val="single" w:sz="4" w:space="0" w:color="auto"/>
            </w:tcBorders>
            <w:vAlign w:val="center"/>
          </w:tcPr>
          <w:p w14:paraId="02845ADA" w14:textId="77777777" w:rsidR="00F02486" w:rsidRDefault="00F02486" w:rsidP="00F548DE">
            <w:pPr>
              <w:pStyle w:val="NormalArial"/>
            </w:pPr>
            <w:r>
              <w:t>Independent Generator</w:t>
            </w:r>
          </w:p>
        </w:tc>
      </w:tr>
    </w:tbl>
    <w:p w14:paraId="7C709CF2" w14:textId="77777777" w:rsidR="00F02486" w:rsidRDefault="00F02486">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8CF8023" w14:textId="77777777" w:rsidTr="00B5080A">
        <w:trPr>
          <w:trHeight w:val="422"/>
          <w:jc w:val="center"/>
        </w:trPr>
        <w:tc>
          <w:tcPr>
            <w:tcW w:w="10440" w:type="dxa"/>
            <w:vAlign w:val="center"/>
          </w:tcPr>
          <w:p w14:paraId="59AFD01B" w14:textId="77777777" w:rsidR="00075A94" w:rsidRPr="00075A94" w:rsidRDefault="00075A94" w:rsidP="00B5080A">
            <w:pPr>
              <w:pStyle w:val="Header"/>
              <w:jc w:val="center"/>
            </w:pPr>
            <w:r w:rsidRPr="00075A94">
              <w:t>Comments</w:t>
            </w:r>
          </w:p>
        </w:tc>
      </w:tr>
    </w:tbl>
    <w:p w14:paraId="3279A30C" w14:textId="02C200D6" w:rsidR="005A11E9" w:rsidRPr="005A11E9" w:rsidRDefault="005A11E9" w:rsidP="005A11E9">
      <w:pPr>
        <w:spacing w:before="120" w:after="120"/>
        <w:jc w:val="both"/>
        <w:rPr>
          <w:rFonts w:ascii="Arial" w:hAnsi="Arial"/>
        </w:rPr>
      </w:pPr>
      <w:r w:rsidRPr="005A11E9">
        <w:rPr>
          <w:rFonts w:ascii="Arial" w:hAnsi="Arial"/>
        </w:rPr>
        <w:t>The Advanced Power Alliance (APA) and American Clean Power (ACP) appreciate the opportunity to comment on Nodal Protocol Revision Request (NPRR)</w:t>
      </w:r>
      <w:r w:rsidR="00C47354">
        <w:rPr>
          <w:rFonts w:ascii="Arial" w:hAnsi="Arial"/>
        </w:rPr>
        <w:t xml:space="preserve"> </w:t>
      </w:r>
      <w:r w:rsidRPr="005A11E9">
        <w:rPr>
          <w:rFonts w:ascii="Arial" w:hAnsi="Arial"/>
        </w:rPr>
        <w:t xml:space="preserve">1310 related to the implementation of the Dispatchable Reliability Reserve Service (DRRS) </w:t>
      </w:r>
      <w:r w:rsidR="00C47354">
        <w:rPr>
          <w:rFonts w:ascii="Arial" w:hAnsi="Arial"/>
        </w:rPr>
        <w:t>p</w:t>
      </w:r>
      <w:r w:rsidRPr="005A11E9">
        <w:rPr>
          <w:rFonts w:ascii="Arial" w:hAnsi="Arial"/>
        </w:rPr>
        <w:t xml:space="preserve">lus Energy Storage Resource </w:t>
      </w:r>
      <w:r w:rsidR="00C47354">
        <w:rPr>
          <w:rFonts w:ascii="Arial" w:hAnsi="Arial"/>
        </w:rPr>
        <w:t>(ESR) p</w:t>
      </w:r>
      <w:r w:rsidRPr="005A11E9">
        <w:rPr>
          <w:rFonts w:ascii="Arial" w:hAnsi="Arial"/>
        </w:rPr>
        <w:t>articipation and Release Factor.</w:t>
      </w:r>
    </w:p>
    <w:p w14:paraId="272227DE" w14:textId="77777777" w:rsidR="005A11E9" w:rsidRPr="005A11E9" w:rsidRDefault="005A11E9" w:rsidP="005A11E9">
      <w:pPr>
        <w:spacing w:before="120" w:after="120"/>
        <w:jc w:val="both"/>
        <w:rPr>
          <w:rFonts w:ascii="Arial" w:hAnsi="Arial"/>
        </w:rPr>
      </w:pPr>
      <w:r w:rsidRPr="005A11E9">
        <w:rPr>
          <w:rFonts w:ascii="Arial" w:hAnsi="Arial"/>
        </w:rPr>
        <w:t>ERCOT has acknowledged that NPRR1310 is not based on the Aurora Energy Research study and this admission underscores why further progress on NPRR1310 must be contingent on a comprehensive ERCOT</w:t>
      </w:r>
      <w:r w:rsidRPr="005A11E9">
        <w:rPr>
          <w:rFonts w:ascii="Cambria Math" w:hAnsi="Cambria Math" w:cs="Cambria Math"/>
        </w:rPr>
        <w:t>‑</w:t>
      </w:r>
      <w:r w:rsidRPr="005A11E9">
        <w:rPr>
          <w:rFonts w:ascii="Arial" w:hAnsi="Arial"/>
        </w:rPr>
        <w:t>led analysis. The Aurora modeling presented in December was developed around a conceptual “DRRS AS+” construct that differs materially from the framework proposed in NPRR1310. ERCOT’s NPRR1310 diverges significantly from the assumptions, inputs, and design elements used in Aurora’s work. As a result, there is no existing study from ERCOT, Aurora, or any other source that evaluates the actual NPRR1310 design. Stakeholders therefore lack any quantitative foundation to assess the costs, benefits, or reliability impacts of the proposal.</w:t>
      </w:r>
    </w:p>
    <w:p w14:paraId="584447E1" w14:textId="77777777" w:rsidR="005A11E9" w:rsidRPr="005A11E9" w:rsidRDefault="005A11E9" w:rsidP="005A11E9">
      <w:pPr>
        <w:spacing w:before="120" w:after="120"/>
        <w:jc w:val="both"/>
        <w:rPr>
          <w:rFonts w:ascii="Arial" w:hAnsi="Arial"/>
        </w:rPr>
      </w:pPr>
      <w:r w:rsidRPr="005A11E9">
        <w:rPr>
          <w:rFonts w:ascii="Arial" w:hAnsi="Arial"/>
        </w:rPr>
        <w:t>ERCOT’s NPRR1310 seeks to implement several novel and consequential design elements, including a flat $10/MWh resource adequacy demand curve and a Release Factor that determines how much DRRS is available to meet resource adequacy needs. These features have significant implications for price formation, procurement costs, Reliability Unit Commitment (RUC) offset performance, and system reliability. Yet no analysis has been provided to demonstrate how these elements interact or what outcomes they produce. The absence of a cost</w:t>
      </w:r>
      <w:r w:rsidRPr="005A11E9">
        <w:rPr>
          <w:rFonts w:ascii="Cambria Math" w:hAnsi="Cambria Math" w:cs="Cambria Math"/>
        </w:rPr>
        <w:t>‑</w:t>
      </w:r>
      <w:r w:rsidRPr="005A11E9">
        <w:rPr>
          <w:rFonts w:ascii="Arial" w:hAnsi="Arial"/>
        </w:rPr>
        <w:t>benefit analysis is particularly concerning given that the $10/MWh floor would apply across all hours of the year. Without modeling, it is impossible to determine whether this value is appropriate or whether it creates unintended incentives that distort market outcomes in ways that undermine reliability. A flat, year</w:t>
      </w:r>
      <w:r w:rsidRPr="005A11E9">
        <w:rPr>
          <w:rFonts w:ascii="Cambria Math" w:hAnsi="Cambria Math" w:cs="Cambria Math"/>
        </w:rPr>
        <w:t>‑</w:t>
      </w:r>
      <w:r w:rsidRPr="005A11E9">
        <w:rPr>
          <w:rFonts w:ascii="Arial" w:hAnsi="Arial"/>
        </w:rPr>
        <w:t xml:space="preserve">round resource adequacy payment of this magnitude must be grounded in </w:t>
      </w:r>
      <w:r w:rsidRPr="005A11E9">
        <w:rPr>
          <w:rFonts w:ascii="Arial" w:hAnsi="Arial"/>
        </w:rPr>
        <w:lastRenderedPageBreak/>
        <w:t>quantitative analysis, not assumption, particularly because it alters the balance between energy</w:t>
      </w:r>
      <w:r w:rsidRPr="005A11E9">
        <w:rPr>
          <w:rFonts w:ascii="Cambria Math" w:hAnsi="Cambria Math" w:cs="Cambria Math"/>
        </w:rPr>
        <w:t>‑</w:t>
      </w:r>
      <w:r w:rsidRPr="005A11E9">
        <w:rPr>
          <w:rFonts w:ascii="Arial" w:hAnsi="Arial"/>
        </w:rPr>
        <w:t>market revenues and resource adequacy payments.</w:t>
      </w:r>
    </w:p>
    <w:p w14:paraId="177CFEB2" w14:textId="30B823C4" w:rsidR="005A11E9" w:rsidRPr="005A11E9" w:rsidRDefault="005A11E9" w:rsidP="005A11E9">
      <w:pPr>
        <w:spacing w:before="120" w:after="120"/>
        <w:jc w:val="both"/>
        <w:rPr>
          <w:rFonts w:ascii="Arial" w:hAnsi="Arial"/>
        </w:rPr>
      </w:pPr>
      <w:r w:rsidRPr="005A11E9">
        <w:rPr>
          <w:rFonts w:ascii="Arial" w:hAnsi="Arial"/>
        </w:rPr>
        <w:t xml:space="preserve">Equally troubling is the complete lack of analysis comparing DRRS supplied by storage versus DRRS supplied solely by thermal dispatchable </w:t>
      </w:r>
      <w:r w:rsidR="00D5291B">
        <w:rPr>
          <w:rFonts w:ascii="Arial" w:hAnsi="Arial"/>
        </w:rPr>
        <w:t>R</w:t>
      </w:r>
      <w:r w:rsidRPr="005A11E9">
        <w:rPr>
          <w:rFonts w:ascii="Arial" w:hAnsi="Arial"/>
        </w:rPr>
        <w:t>esources. This is a critical omission. Storage is now a major and rapidly growing component of ERCOT’s resource mix, and its operational characteristics including fast ramping, high controllability, and predictable performance are directly relevant to DRRS. Without modeling, stakeholders cannot assess whether a thermal</w:t>
      </w:r>
      <w:r w:rsidRPr="005A11E9">
        <w:rPr>
          <w:rFonts w:ascii="Cambria Math" w:hAnsi="Cambria Math" w:cs="Cambria Math"/>
        </w:rPr>
        <w:t>‑</w:t>
      </w:r>
      <w:r w:rsidRPr="005A11E9">
        <w:rPr>
          <w:rFonts w:ascii="Arial" w:hAnsi="Arial"/>
        </w:rPr>
        <w:t>only DRRS portfolio would be more expensive, less flexible, or less reliable. Given the scale of storage deployment in ERCOT, the resource</w:t>
      </w:r>
      <w:r w:rsidRPr="005A11E9">
        <w:rPr>
          <w:rFonts w:ascii="Cambria Math" w:hAnsi="Cambria Math" w:cs="Cambria Math"/>
        </w:rPr>
        <w:t>‑</w:t>
      </w:r>
      <w:r w:rsidRPr="005A11E9">
        <w:rPr>
          <w:rFonts w:ascii="Arial" w:hAnsi="Arial"/>
        </w:rPr>
        <w:t>mix implications of NPRR1310 must be explicitly analyzed before the design can be considered complete. Failing to analyze these implications represents a fundamental analytical gap.</w:t>
      </w:r>
    </w:p>
    <w:p w14:paraId="0A4110A7" w14:textId="77777777" w:rsidR="005A11E9" w:rsidRPr="005A11E9" w:rsidRDefault="005A11E9" w:rsidP="005A11E9">
      <w:pPr>
        <w:spacing w:before="120" w:after="120"/>
        <w:jc w:val="both"/>
        <w:rPr>
          <w:rFonts w:ascii="Arial" w:hAnsi="Arial"/>
        </w:rPr>
      </w:pPr>
      <w:r w:rsidRPr="005A11E9">
        <w:rPr>
          <w:rFonts w:ascii="Arial" w:hAnsi="Arial"/>
        </w:rPr>
        <w:t>The Independent Market Monitor (IMM) has stated that NPRR1310 is impossible to evaluate without quantitative analysis. The IMM emphasized that the $10/MWh floor appears arbitrary without modeling, that the Aurora study is not applicable, and that stakeholders “cannot make sense” of NPRR1310 in its current form. When the IMM raises concerns of this magnitude, the Technical Advisory Committee (TAC) and Protocol Revision Subcommittee (PRS) have a responsibility to ensure that ERCOT provides the analytical foundation necessary for informed decision</w:t>
      </w:r>
      <w:r w:rsidRPr="005A11E9">
        <w:rPr>
          <w:rFonts w:ascii="Cambria Math" w:hAnsi="Cambria Math" w:cs="Cambria Math"/>
        </w:rPr>
        <w:t>‑</w:t>
      </w:r>
      <w:r w:rsidRPr="005A11E9">
        <w:rPr>
          <w:rFonts w:ascii="Arial" w:hAnsi="Arial"/>
        </w:rPr>
        <w:t xml:space="preserve">making. ERCOT has already committed to </w:t>
      </w:r>
      <w:proofErr w:type="gramStart"/>
      <w:r w:rsidRPr="005A11E9">
        <w:rPr>
          <w:rFonts w:ascii="Arial" w:hAnsi="Arial"/>
        </w:rPr>
        <w:t>bringing</w:t>
      </w:r>
      <w:proofErr w:type="gramEnd"/>
      <w:r w:rsidRPr="005A11E9">
        <w:rPr>
          <w:rFonts w:ascii="Arial" w:hAnsi="Arial"/>
        </w:rPr>
        <w:t xml:space="preserve"> back refined analysis, TAC and PRS should hold ERCOT to that commitment and make clear that NPRR1310 cannot advance without it.</w:t>
      </w:r>
    </w:p>
    <w:p w14:paraId="168AC7A7" w14:textId="77777777" w:rsidR="005A11E9" w:rsidRPr="005A11E9" w:rsidRDefault="005A11E9" w:rsidP="005A11E9">
      <w:pPr>
        <w:spacing w:before="120" w:after="120"/>
        <w:jc w:val="both"/>
        <w:rPr>
          <w:rFonts w:ascii="Arial" w:hAnsi="Arial"/>
        </w:rPr>
      </w:pPr>
      <w:r w:rsidRPr="005A11E9">
        <w:rPr>
          <w:rFonts w:ascii="Arial" w:hAnsi="Arial"/>
        </w:rPr>
        <w:t>Advancing NPRR1310 without modeling also creates significant governance risk. The ERCOT Board expects a complete proposal in June, supported by quantitative justification and a clear explanation of cost impacts. If TAC or PRS move NPRR1310 forward without analysis, then the Board is faced with having to make a less informed decision or defer the proposal. A study protects the integrity of the process and ensures that the Board receives a proposal that meets its expectations.</w:t>
      </w:r>
    </w:p>
    <w:p w14:paraId="4DD59F42" w14:textId="32B728F1" w:rsidR="00BD7258" w:rsidRPr="005A11E9" w:rsidRDefault="005A11E9" w:rsidP="005A11E9">
      <w:pPr>
        <w:spacing w:before="120" w:after="120"/>
        <w:jc w:val="both"/>
        <w:rPr>
          <w:rFonts w:ascii="Arial" w:hAnsi="Arial"/>
        </w:rPr>
      </w:pPr>
      <w:r w:rsidRPr="005A11E9">
        <w:rPr>
          <w:rFonts w:ascii="Arial" w:hAnsi="Arial"/>
        </w:rPr>
        <w:t>For these reasons, the responsible and procedurally sound path forward is for TAC or PRS to direct ERCOT to complete a full quantitative study of NPRR1310 including cost impacts, resource</w:t>
      </w:r>
      <w:r w:rsidRPr="005A11E9">
        <w:rPr>
          <w:rFonts w:ascii="Cambria Math" w:hAnsi="Cambria Math" w:cs="Cambria Math"/>
        </w:rPr>
        <w:t>‑</w:t>
      </w:r>
      <w:r w:rsidRPr="005A11E9">
        <w:rPr>
          <w:rFonts w:ascii="Arial" w:hAnsi="Arial"/>
        </w:rPr>
        <w:t xml:space="preserve">mix impacts, and price formation effects, before any further action is taken on the NPRR. This approach does not delay NPRR1309, which can </w:t>
      </w:r>
      <w:proofErr w:type="gramStart"/>
      <w:r w:rsidRPr="005A11E9">
        <w:rPr>
          <w:rFonts w:ascii="Arial" w:hAnsi="Arial"/>
        </w:rPr>
        <w:t>continue on</w:t>
      </w:r>
      <w:proofErr w:type="gramEnd"/>
      <w:r w:rsidRPr="005A11E9">
        <w:rPr>
          <w:rFonts w:ascii="Arial" w:hAnsi="Arial"/>
        </w:rPr>
        <w:t xml:space="preserve"> the accelerated timeline. It simply ensures that NPRR1310 is supported by the analytical rigor required for a market design of this scale and importance, particularly given that ERCOT is not recommending a cap or implementing any Performance Credit Mechanism (PCM)-type HB 1500 guardrails that the Legislature placed in statute.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61B294A" w14:textId="77777777" w:rsidTr="00B5080A">
        <w:trPr>
          <w:trHeight w:val="350"/>
        </w:trPr>
        <w:tc>
          <w:tcPr>
            <w:tcW w:w="10440" w:type="dxa"/>
            <w:tcBorders>
              <w:bottom w:val="single" w:sz="4" w:space="0" w:color="auto"/>
            </w:tcBorders>
            <w:shd w:val="clear" w:color="auto" w:fill="FFFFFF"/>
            <w:vAlign w:val="center"/>
          </w:tcPr>
          <w:p w14:paraId="174B7D86" w14:textId="77777777" w:rsidR="00BD7258" w:rsidRDefault="00BD7258" w:rsidP="00B5080A">
            <w:pPr>
              <w:pStyle w:val="Header"/>
              <w:jc w:val="center"/>
            </w:pPr>
            <w:r>
              <w:t>Revised Cover Page Language</w:t>
            </w:r>
          </w:p>
        </w:tc>
      </w:tr>
    </w:tbl>
    <w:p w14:paraId="1BE06603" w14:textId="6D80503B" w:rsidR="00BD7258" w:rsidRPr="00CD4835" w:rsidRDefault="009E6F56" w:rsidP="00CD4835">
      <w:pPr>
        <w:pStyle w:val="BodyText"/>
        <w:ind w:firstLine="0"/>
        <w:rPr>
          <w:bCs/>
        </w:rPr>
      </w:pPr>
      <w:r w:rsidRPr="009E6F56">
        <w:rPr>
          <w:bCs/>
        </w:rPr>
        <w:t>None</w:t>
      </w:r>
      <w:r w:rsidR="00290A00">
        <w:rPr>
          <w:bCs/>
        </w:rPr>
        <w:t xml:space="preserve"> </w:t>
      </w:r>
      <w:proofErr w:type="gramStart"/>
      <w:r w:rsidR="00290A00">
        <w:rPr>
          <w:bCs/>
        </w:rPr>
        <w:t>at this time</w:t>
      </w:r>
      <w:proofErr w:type="gramEnd"/>
      <w:r w:rsidRPr="009E6F56">
        <w:rPr>
          <w:bCs/>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D75748C" w14:textId="77777777">
        <w:trPr>
          <w:trHeight w:val="350"/>
        </w:trPr>
        <w:tc>
          <w:tcPr>
            <w:tcW w:w="10440" w:type="dxa"/>
            <w:tcBorders>
              <w:bottom w:val="single" w:sz="4" w:space="0" w:color="auto"/>
            </w:tcBorders>
            <w:shd w:val="clear" w:color="auto" w:fill="FFFFFF"/>
            <w:vAlign w:val="center"/>
          </w:tcPr>
          <w:p w14:paraId="0AB644AE" w14:textId="77777777" w:rsidR="00152993" w:rsidRDefault="00152993">
            <w:pPr>
              <w:pStyle w:val="Header"/>
              <w:jc w:val="center"/>
            </w:pPr>
            <w:r>
              <w:t>Revised Proposed Protocol Language</w:t>
            </w:r>
          </w:p>
        </w:tc>
      </w:tr>
    </w:tbl>
    <w:p w14:paraId="4967E607" w14:textId="22511D11" w:rsidR="00152993" w:rsidRPr="009E6F56" w:rsidRDefault="009E6F56" w:rsidP="00CD4835">
      <w:pPr>
        <w:pStyle w:val="BodyText"/>
        <w:ind w:firstLine="0"/>
        <w:rPr>
          <w:bCs/>
        </w:rPr>
      </w:pPr>
      <w:r w:rsidRPr="009E6F56">
        <w:rPr>
          <w:bCs/>
        </w:rPr>
        <w:t>None</w:t>
      </w:r>
      <w:r w:rsidR="00290A00">
        <w:rPr>
          <w:bCs/>
        </w:rPr>
        <w:t xml:space="preserve"> </w:t>
      </w:r>
      <w:proofErr w:type="gramStart"/>
      <w:r w:rsidR="00290A00">
        <w:rPr>
          <w:bCs/>
        </w:rPr>
        <w:t>at this time</w:t>
      </w:r>
      <w:proofErr w:type="gramEnd"/>
      <w:r w:rsidRPr="009E6F56">
        <w:rPr>
          <w:bCs/>
        </w:rPr>
        <w:t>.</w:t>
      </w:r>
    </w:p>
    <w:sectPr w:rsidR="00152993" w:rsidRPr="009E6F56"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8D1A" w14:textId="77777777" w:rsidR="002D1D54" w:rsidRDefault="002D1D54">
      <w:r>
        <w:separator/>
      </w:r>
    </w:p>
  </w:endnote>
  <w:endnote w:type="continuationSeparator" w:id="0">
    <w:p w14:paraId="176ADB1E" w14:textId="77777777" w:rsidR="002D1D54" w:rsidRDefault="002D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D88" w14:textId="5ED8F12C"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F02486">
      <w:rPr>
        <w:rFonts w:ascii="Arial" w:hAnsi="Arial"/>
        <w:noProof/>
        <w:sz w:val="18"/>
      </w:rPr>
      <w:t>1310NPRR-09 APA and ACP Comments 013026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9D1342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FAF1" w14:textId="77777777" w:rsidR="002D1D54" w:rsidRDefault="002D1D54">
      <w:r>
        <w:separator/>
      </w:r>
    </w:p>
  </w:footnote>
  <w:footnote w:type="continuationSeparator" w:id="0">
    <w:p w14:paraId="3FC3D426" w14:textId="77777777" w:rsidR="002D1D54" w:rsidRDefault="002D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6FD5" w14:textId="77777777" w:rsidR="00EE6681" w:rsidRDefault="00EE6681">
    <w:pPr>
      <w:pStyle w:val="Header"/>
      <w:jc w:val="center"/>
      <w:rPr>
        <w:sz w:val="32"/>
      </w:rPr>
    </w:pPr>
    <w:r>
      <w:rPr>
        <w:sz w:val="32"/>
      </w:rPr>
      <w:t>NPRR Comments</w:t>
    </w:r>
  </w:p>
  <w:p w14:paraId="01D40F8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AD2187"/>
    <w:multiLevelType w:val="hybridMultilevel"/>
    <w:tmpl w:val="A1F482B4"/>
    <w:lvl w:ilvl="0" w:tplc="0A6AD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F2230"/>
    <w:multiLevelType w:val="hybridMultilevel"/>
    <w:tmpl w:val="86EA1F6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5E624B"/>
    <w:multiLevelType w:val="hybridMultilevel"/>
    <w:tmpl w:val="4DE2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11793">
    <w:abstractNumId w:val="0"/>
  </w:num>
  <w:num w:numId="2" w16cid:durableId="1977953866">
    <w:abstractNumId w:val="3"/>
  </w:num>
  <w:num w:numId="3" w16cid:durableId="1212881740">
    <w:abstractNumId w:val="4"/>
  </w:num>
  <w:num w:numId="4" w16cid:durableId="1265764362">
    <w:abstractNumId w:val="1"/>
  </w:num>
  <w:num w:numId="5" w16cid:durableId="145551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4E0"/>
    <w:rsid w:val="000035B5"/>
    <w:rsid w:val="00014A9C"/>
    <w:rsid w:val="00017A66"/>
    <w:rsid w:val="0002557B"/>
    <w:rsid w:val="000270BC"/>
    <w:rsid w:val="00027149"/>
    <w:rsid w:val="00037668"/>
    <w:rsid w:val="00040F52"/>
    <w:rsid w:val="00051C87"/>
    <w:rsid w:val="00065138"/>
    <w:rsid w:val="00075A94"/>
    <w:rsid w:val="00077F5F"/>
    <w:rsid w:val="0008726E"/>
    <w:rsid w:val="00087576"/>
    <w:rsid w:val="00096ADA"/>
    <w:rsid w:val="000A0F10"/>
    <w:rsid w:val="000A28F5"/>
    <w:rsid w:val="000A423E"/>
    <w:rsid w:val="000C53D1"/>
    <w:rsid w:val="000F087C"/>
    <w:rsid w:val="000F1CC7"/>
    <w:rsid w:val="000F557A"/>
    <w:rsid w:val="001039FA"/>
    <w:rsid w:val="00103ACF"/>
    <w:rsid w:val="001116C3"/>
    <w:rsid w:val="00127E5C"/>
    <w:rsid w:val="00132855"/>
    <w:rsid w:val="00132937"/>
    <w:rsid w:val="00132F7A"/>
    <w:rsid w:val="00133D00"/>
    <w:rsid w:val="00145C07"/>
    <w:rsid w:val="00152993"/>
    <w:rsid w:val="00170297"/>
    <w:rsid w:val="00183B65"/>
    <w:rsid w:val="001A0413"/>
    <w:rsid w:val="001A20DD"/>
    <w:rsid w:val="001A227D"/>
    <w:rsid w:val="001A5075"/>
    <w:rsid w:val="001B0A37"/>
    <w:rsid w:val="001B653D"/>
    <w:rsid w:val="001C360C"/>
    <w:rsid w:val="001E2032"/>
    <w:rsid w:val="001E3FF0"/>
    <w:rsid w:val="001E794A"/>
    <w:rsid w:val="001F00C2"/>
    <w:rsid w:val="001F7565"/>
    <w:rsid w:val="00213D7D"/>
    <w:rsid w:val="00224F44"/>
    <w:rsid w:val="00230137"/>
    <w:rsid w:val="00243CAF"/>
    <w:rsid w:val="00255C81"/>
    <w:rsid w:val="002816D3"/>
    <w:rsid w:val="00290A00"/>
    <w:rsid w:val="002A35A2"/>
    <w:rsid w:val="002A41D0"/>
    <w:rsid w:val="002B5D7E"/>
    <w:rsid w:val="002C5606"/>
    <w:rsid w:val="002C5F13"/>
    <w:rsid w:val="002D1D54"/>
    <w:rsid w:val="002D2573"/>
    <w:rsid w:val="002E7D6E"/>
    <w:rsid w:val="002F2354"/>
    <w:rsid w:val="002F28B9"/>
    <w:rsid w:val="003010C0"/>
    <w:rsid w:val="00312EF0"/>
    <w:rsid w:val="00332A97"/>
    <w:rsid w:val="00335269"/>
    <w:rsid w:val="0034068C"/>
    <w:rsid w:val="0034357C"/>
    <w:rsid w:val="00350C00"/>
    <w:rsid w:val="003527B7"/>
    <w:rsid w:val="00366113"/>
    <w:rsid w:val="00384CF6"/>
    <w:rsid w:val="00390FE5"/>
    <w:rsid w:val="003A18B7"/>
    <w:rsid w:val="003A5DC2"/>
    <w:rsid w:val="003B3BE2"/>
    <w:rsid w:val="003C1F9B"/>
    <w:rsid w:val="003C270C"/>
    <w:rsid w:val="003C4E58"/>
    <w:rsid w:val="003D0994"/>
    <w:rsid w:val="003D0BE7"/>
    <w:rsid w:val="003D4E1F"/>
    <w:rsid w:val="003D712B"/>
    <w:rsid w:val="003E09EC"/>
    <w:rsid w:val="003F0A3F"/>
    <w:rsid w:val="003F6DA4"/>
    <w:rsid w:val="00402CC2"/>
    <w:rsid w:val="004076F4"/>
    <w:rsid w:val="00423824"/>
    <w:rsid w:val="0043567D"/>
    <w:rsid w:val="00435FD1"/>
    <w:rsid w:val="00436851"/>
    <w:rsid w:val="004406F6"/>
    <w:rsid w:val="0044179B"/>
    <w:rsid w:val="00443673"/>
    <w:rsid w:val="00443E62"/>
    <w:rsid w:val="00445062"/>
    <w:rsid w:val="00446799"/>
    <w:rsid w:val="00452B60"/>
    <w:rsid w:val="00453D41"/>
    <w:rsid w:val="004575D5"/>
    <w:rsid w:val="00460C0B"/>
    <w:rsid w:val="00462AEF"/>
    <w:rsid w:val="00464ED3"/>
    <w:rsid w:val="00465F7E"/>
    <w:rsid w:val="004748FF"/>
    <w:rsid w:val="004873B4"/>
    <w:rsid w:val="004A45F5"/>
    <w:rsid w:val="004B1458"/>
    <w:rsid w:val="004B7B90"/>
    <w:rsid w:val="004D66EF"/>
    <w:rsid w:val="004E2C19"/>
    <w:rsid w:val="004E7714"/>
    <w:rsid w:val="004F2E76"/>
    <w:rsid w:val="004F462E"/>
    <w:rsid w:val="00506917"/>
    <w:rsid w:val="005127B1"/>
    <w:rsid w:val="00525E0B"/>
    <w:rsid w:val="005568F2"/>
    <w:rsid w:val="0057582D"/>
    <w:rsid w:val="005A11E9"/>
    <w:rsid w:val="005A3B92"/>
    <w:rsid w:val="005C44B4"/>
    <w:rsid w:val="005D284C"/>
    <w:rsid w:val="005E6CC3"/>
    <w:rsid w:val="00604512"/>
    <w:rsid w:val="00612060"/>
    <w:rsid w:val="00623116"/>
    <w:rsid w:val="0062401D"/>
    <w:rsid w:val="00633E23"/>
    <w:rsid w:val="00636B37"/>
    <w:rsid w:val="006376F2"/>
    <w:rsid w:val="00644CC5"/>
    <w:rsid w:val="00654A40"/>
    <w:rsid w:val="006716D1"/>
    <w:rsid w:val="00673B94"/>
    <w:rsid w:val="00680AC6"/>
    <w:rsid w:val="006835D8"/>
    <w:rsid w:val="00687CF0"/>
    <w:rsid w:val="006A0113"/>
    <w:rsid w:val="006A320A"/>
    <w:rsid w:val="006B69BF"/>
    <w:rsid w:val="006C2BCE"/>
    <w:rsid w:val="006C2D2E"/>
    <w:rsid w:val="006C2FAF"/>
    <w:rsid w:val="006C316E"/>
    <w:rsid w:val="006C4EAF"/>
    <w:rsid w:val="006C5A5E"/>
    <w:rsid w:val="006D0757"/>
    <w:rsid w:val="006D0F7C"/>
    <w:rsid w:val="006E4550"/>
    <w:rsid w:val="006E7BD4"/>
    <w:rsid w:val="0070594A"/>
    <w:rsid w:val="00710C97"/>
    <w:rsid w:val="00713EA7"/>
    <w:rsid w:val="00720253"/>
    <w:rsid w:val="00724420"/>
    <w:rsid w:val="007269C4"/>
    <w:rsid w:val="00727247"/>
    <w:rsid w:val="00732692"/>
    <w:rsid w:val="0074209E"/>
    <w:rsid w:val="0074350E"/>
    <w:rsid w:val="00743D9D"/>
    <w:rsid w:val="007503A6"/>
    <w:rsid w:val="00755CE1"/>
    <w:rsid w:val="00757683"/>
    <w:rsid w:val="00763D02"/>
    <w:rsid w:val="00795B47"/>
    <w:rsid w:val="007A7079"/>
    <w:rsid w:val="007A712F"/>
    <w:rsid w:val="007B4E2A"/>
    <w:rsid w:val="007B6E99"/>
    <w:rsid w:val="007C75B8"/>
    <w:rsid w:val="007D11C4"/>
    <w:rsid w:val="007D7669"/>
    <w:rsid w:val="007D770C"/>
    <w:rsid w:val="007D7A25"/>
    <w:rsid w:val="007E1031"/>
    <w:rsid w:val="007E1A6D"/>
    <w:rsid w:val="007F2CA8"/>
    <w:rsid w:val="007F7161"/>
    <w:rsid w:val="00803752"/>
    <w:rsid w:val="00805A46"/>
    <w:rsid w:val="008123D1"/>
    <w:rsid w:val="00820A5B"/>
    <w:rsid w:val="00820DE0"/>
    <w:rsid w:val="0082192A"/>
    <w:rsid w:val="00821AE7"/>
    <w:rsid w:val="00837FC7"/>
    <w:rsid w:val="008540D9"/>
    <w:rsid w:val="0085559E"/>
    <w:rsid w:val="0086503B"/>
    <w:rsid w:val="00884138"/>
    <w:rsid w:val="00892681"/>
    <w:rsid w:val="00896B1B"/>
    <w:rsid w:val="008D4CFF"/>
    <w:rsid w:val="008D5DD3"/>
    <w:rsid w:val="008E559E"/>
    <w:rsid w:val="008E5C3D"/>
    <w:rsid w:val="008F0B61"/>
    <w:rsid w:val="008F2263"/>
    <w:rsid w:val="008F5F77"/>
    <w:rsid w:val="00915FC7"/>
    <w:rsid w:val="00916080"/>
    <w:rsid w:val="00921A68"/>
    <w:rsid w:val="009330B5"/>
    <w:rsid w:val="00933D8B"/>
    <w:rsid w:val="00933F3E"/>
    <w:rsid w:val="00937F83"/>
    <w:rsid w:val="0094562F"/>
    <w:rsid w:val="009468CA"/>
    <w:rsid w:val="009500CF"/>
    <w:rsid w:val="00957706"/>
    <w:rsid w:val="00962850"/>
    <w:rsid w:val="0096369C"/>
    <w:rsid w:val="0098314B"/>
    <w:rsid w:val="009C3F95"/>
    <w:rsid w:val="009C7FC6"/>
    <w:rsid w:val="009E59AD"/>
    <w:rsid w:val="009E6F56"/>
    <w:rsid w:val="00A015C4"/>
    <w:rsid w:val="00A05DCA"/>
    <w:rsid w:val="00A15172"/>
    <w:rsid w:val="00A1573C"/>
    <w:rsid w:val="00A16534"/>
    <w:rsid w:val="00A2470A"/>
    <w:rsid w:val="00A67681"/>
    <w:rsid w:val="00A74D01"/>
    <w:rsid w:val="00A75C8E"/>
    <w:rsid w:val="00AA7987"/>
    <w:rsid w:val="00AC62EB"/>
    <w:rsid w:val="00AC65D5"/>
    <w:rsid w:val="00AD04C2"/>
    <w:rsid w:val="00AD7F3F"/>
    <w:rsid w:val="00AE3813"/>
    <w:rsid w:val="00AE4656"/>
    <w:rsid w:val="00AE5847"/>
    <w:rsid w:val="00AF324D"/>
    <w:rsid w:val="00B01B87"/>
    <w:rsid w:val="00B047A4"/>
    <w:rsid w:val="00B079F0"/>
    <w:rsid w:val="00B13939"/>
    <w:rsid w:val="00B20070"/>
    <w:rsid w:val="00B25876"/>
    <w:rsid w:val="00B25CE1"/>
    <w:rsid w:val="00B41787"/>
    <w:rsid w:val="00B5080A"/>
    <w:rsid w:val="00B66BC1"/>
    <w:rsid w:val="00B7283B"/>
    <w:rsid w:val="00B81F5D"/>
    <w:rsid w:val="00B87E7E"/>
    <w:rsid w:val="00B900B2"/>
    <w:rsid w:val="00B943AE"/>
    <w:rsid w:val="00BA2AC3"/>
    <w:rsid w:val="00BB2CF1"/>
    <w:rsid w:val="00BB3100"/>
    <w:rsid w:val="00BD7258"/>
    <w:rsid w:val="00BE5704"/>
    <w:rsid w:val="00BF758B"/>
    <w:rsid w:val="00C0598D"/>
    <w:rsid w:val="00C11956"/>
    <w:rsid w:val="00C36ABE"/>
    <w:rsid w:val="00C42E12"/>
    <w:rsid w:val="00C47354"/>
    <w:rsid w:val="00C507B5"/>
    <w:rsid w:val="00C552A7"/>
    <w:rsid w:val="00C602E5"/>
    <w:rsid w:val="00C67C80"/>
    <w:rsid w:val="00C72D45"/>
    <w:rsid w:val="00C748FD"/>
    <w:rsid w:val="00C771DF"/>
    <w:rsid w:val="00C85BCC"/>
    <w:rsid w:val="00C8758E"/>
    <w:rsid w:val="00CA1C97"/>
    <w:rsid w:val="00CA6CF5"/>
    <w:rsid w:val="00CB2C55"/>
    <w:rsid w:val="00CB2DD9"/>
    <w:rsid w:val="00CB55D5"/>
    <w:rsid w:val="00CB70FE"/>
    <w:rsid w:val="00CC0E25"/>
    <w:rsid w:val="00CC735C"/>
    <w:rsid w:val="00CD0639"/>
    <w:rsid w:val="00CD4835"/>
    <w:rsid w:val="00CE28FF"/>
    <w:rsid w:val="00CE4123"/>
    <w:rsid w:val="00CE693B"/>
    <w:rsid w:val="00CF3615"/>
    <w:rsid w:val="00CF5347"/>
    <w:rsid w:val="00D05B07"/>
    <w:rsid w:val="00D2672D"/>
    <w:rsid w:val="00D3477D"/>
    <w:rsid w:val="00D37D9F"/>
    <w:rsid w:val="00D4046E"/>
    <w:rsid w:val="00D4362F"/>
    <w:rsid w:val="00D523AD"/>
    <w:rsid w:val="00D52773"/>
    <w:rsid w:val="00D5291B"/>
    <w:rsid w:val="00D90A3E"/>
    <w:rsid w:val="00D95A5F"/>
    <w:rsid w:val="00DB1E38"/>
    <w:rsid w:val="00DB72EE"/>
    <w:rsid w:val="00DC7B7F"/>
    <w:rsid w:val="00DD2D70"/>
    <w:rsid w:val="00DD3EC5"/>
    <w:rsid w:val="00DD4739"/>
    <w:rsid w:val="00DD774F"/>
    <w:rsid w:val="00DE5F33"/>
    <w:rsid w:val="00DF4CC0"/>
    <w:rsid w:val="00E07A39"/>
    <w:rsid w:val="00E07B54"/>
    <w:rsid w:val="00E11F78"/>
    <w:rsid w:val="00E2189E"/>
    <w:rsid w:val="00E46221"/>
    <w:rsid w:val="00E60053"/>
    <w:rsid w:val="00E60725"/>
    <w:rsid w:val="00E621E1"/>
    <w:rsid w:val="00E65048"/>
    <w:rsid w:val="00E67ACD"/>
    <w:rsid w:val="00E71FDD"/>
    <w:rsid w:val="00E74639"/>
    <w:rsid w:val="00E810D0"/>
    <w:rsid w:val="00E8169F"/>
    <w:rsid w:val="00E91436"/>
    <w:rsid w:val="00E9203C"/>
    <w:rsid w:val="00EA1B26"/>
    <w:rsid w:val="00EA28F0"/>
    <w:rsid w:val="00EC55B3"/>
    <w:rsid w:val="00EC7239"/>
    <w:rsid w:val="00ED1E27"/>
    <w:rsid w:val="00EE31B2"/>
    <w:rsid w:val="00EE6681"/>
    <w:rsid w:val="00EF748B"/>
    <w:rsid w:val="00F02486"/>
    <w:rsid w:val="00F12818"/>
    <w:rsid w:val="00F1702D"/>
    <w:rsid w:val="00F26DED"/>
    <w:rsid w:val="00F358A7"/>
    <w:rsid w:val="00F36846"/>
    <w:rsid w:val="00F53098"/>
    <w:rsid w:val="00F57BBC"/>
    <w:rsid w:val="00F6118C"/>
    <w:rsid w:val="00F63DE3"/>
    <w:rsid w:val="00F73278"/>
    <w:rsid w:val="00F81A87"/>
    <w:rsid w:val="00F82FA7"/>
    <w:rsid w:val="00F84EDA"/>
    <w:rsid w:val="00F85E2F"/>
    <w:rsid w:val="00F93D87"/>
    <w:rsid w:val="00F96FB2"/>
    <w:rsid w:val="00FB51D8"/>
    <w:rsid w:val="00FB65AE"/>
    <w:rsid w:val="00FC64C4"/>
    <w:rsid w:val="00FD08E8"/>
    <w:rsid w:val="00FD3FED"/>
    <w:rsid w:val="00FE0A4D"/>
    <w:rsid w:val="00FE40C5"/>
    <w:rsid w:val="00FE6301"/>
    <w:rsid w:val="00FE7E0A"/>
    <w:rsid w:val="00FF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75D33"/>
  <w15:chartTrackingRefBased/>
  <w15:docId w15:val="{1DB8B80A-3F11-43A5-B0AA-F13C3124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rsid w:val="00443673"/>
    <w:pPr>
      <w:spacing w:before="120" w:after="120" w:line="360" w:lineRule="auto"/>
      <w:ind w:firstLine="720"/>
      <w:jc w:val="both"/>
    </w:pPr>
    <w:rPr>
      <w:rFonts w:ascii="Arial" w:hAnsi="Arial" w:cs="Arial"/>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9E6F56"/>
    <w:rPr>
      <w:color w:val="605E5C"/>
      <w:shd w:val="clear" w:color="auto" w:fill="E1DFDD"/>
    </w:rPr>
  </w:style>
  <w:style w:type="character" w:styleId="FollowedHyperlink">
    <w:name w:val="FollowedHyperlink"/>
    <w:rsid w:val="006C2D2E"/>
    <w:rPr>
      <w:color w:val="96607D"/>
      <w:u w:val="single"/>
    </w:rPr>
  </w:style>
  <w:style w:type="paragraph" w:styleId="FootnoteText">
    <w:name w:val="footnote text"/>
    <w:basedOn w:val="Normal"/>
    <w:link w:val="FootnoteTextChar"/>
    <w:rsid w:val="00644CC5"/>
    <w:rPr>
      <w:sz w:val="20"/>
      <w:szCs w:val="20"/>
    </w:rPr>
  </w:style>
  <w:style w:type="character" w:customStyle="1" w:styleId="FootnoteTextChar">
    <w:name w:val="Footnote Text Char"/>
    <w:basedOn w:val="DefaultParagraphFont"/>
    <w:link w:val="FootnoteText"/>
    <w:rsid w:val="00644CC5"/>
  </w:style>
  <w:style w:type="character" w:styleId="FootnoteReference">
    <w:name w:val="footnote reference"/>
    <w:rsid w:val="00644CC5"/>
    <w:rPr>
      <w:vertAlign w:val="superscript"/>
    </w:rPr>
  </w:style>
  <w:style w:type="paragraph" w:styleId="BodyTextFirstIndent">
    <w:name w:val="Body Text First Indent"/>
    <w:basedOn w:val="BodyText"/>
    <w:link w:val="BodyTextFirstIndentChar"/>
    <w:rsid w:val="00B01B87"/>
    <w:pPr>
      <w:spacing w:before="0"/>
      <w:ind w:firstLine="210"/>
    </w:pPr>
  </w:style>
  <w:style w:type="character" w:customStyle="1" w:styleId="BodyTextChar">
    <w:name w:val="Body Text Char"/>
    <w:link w:val="BodyText"/>
    <w:rsid w:val="00443673"/>
    <w:rPr>
      <w:rFonts w:ascii="Arial" w:hAnsi="Arial" w:cs="Arial"/>
      <w:sz w:val="24"/>
      <w:szCs w:val="24"/>
    </w:rPr>
  </w:style>
  <w:style w:type="character" w:customStyle="1" w:styleId="BodyTextFirstIndentChar">
    <w:name w:val="Body Text First Indent Char"/>
    <w:link w:val="BodyTextFirstIndent"/>
    <w:rsid w:val="00B01B87"/>
    <w:rPr>
      <w:sz w:val="24"/>
      <w:szCs w:val="24"/>
    </w:rPr>
  </w:style>
  <w:style w:type="paragraph" w:styleId="NormalWeb">
    <w:name w:val="Normal (Web)"/>
    <w:basedOn w:val="Normal"/>
    <w:rsid w:val="00EE31B2"/>
  </w:style>
  <w:style w:type="paragraph" w:styleId="Revision">
    <w:name w:val="Revision"/>
    <w:hidden/>
    <w:uiPriority w:val="99"/>
    <w:semiHidden/>
    <w:rsid w:val="00687CF0"/>
    <w:rPr>
      <w:sz w:val="24"/>
      <w:szCs w:val="24"/>
    </w:rPr>
  </w:style>
  <w:style w:type="paragraph" w:customStyle="1" w:styleId="BodyText11pt">
    <w:name w:val="Body Text + 11 pt"/>
    <w:basedOn w:val="BodyText"/>
    <w:rsid w:val="00443673"/>
    <w:rPr>
      <w:sz w:val="22"/>
      <w:szCs w:val="22"/>
    </w:rPr>
  </w:style>
  <w:style w:type="character" w:customStyle="1" w:styleId="NormalArialChar">
    <w:name w:val="Normal+Arial Char"/>
    <w:link w:val="NormalArial"/>
    <w:rsid w:val="00F02486"/>
    <w:rPr>
      <w:rFonts w:ascii="Arial" w:hAnsi="Arial"/>
      <w:sz w:val="24"/>
      <w:szCs w:val="24"/>
    </w:rPr>
  </w:style>
  <w:style w:type="character" w:customStyle="1" w:styleId="HeaderChar">
    <w:name w:val="Header Char"/>
    <w:link w:val="Header"/>
    <w:rsid w:val="00F0248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40058">
      <w:bodyDiv w:val="1"/>
      <w:marLeft w:val="0"/>
      <w:marRight w:val="0"/>
      <w:marTop w:val="0"/>
      <w:marBottom w:val="0"/>
      <w:divBdr>
        <w:top w:val="none" w:sz="0" w:space="0" w:color="auto"/>
        <w:left w:val="none" w:sz="0" w:space="0" w:color="auto"/>
        <w:bottom w:val="none" w:sz="0" w:space="0" w:color="auto"/>
        <w:right w:val="none" w:sz="0" w:space="0" w:color="auto"/>
      </w:divBdr>
    </w:div>
    <w:div w:id="398789450">
      <w:bodyDiv w:val="1"/>
      <w:marLeft w:val="0"/>
      <w:marRight w:val="0"/>
      <w:marTop w:val="0"/>
      <w:marBottom w:val="0"/>
      <w:divBdr>
        <w:top w:val="none" w:sz="0" w:space="0" w:color="auto"/>
        <w:left w:val="none" w:sz="0" w:space="0" w:color="auto"/>
        <w:bottom w:val="none" w:sz="0" w:space="0" w:color="auto"/>
        <w:right w:val="none" w:sz="0" w:space="0" w:color="auto"/>
      </w:divBdr>
    </w:div>
    <w:div w:id="432822248">
      <w:bodyDiv w:val="1"/>
      <w:marLeft w:val="0"/>
      <w:marRight w:val="0"/>
      <w:marTop w:val="0"/>
      <w:marBottom w:val="0"/>
      <w:divBdr>
        <w:top w:val="none" w:sz="0" w:space="0" w:color="auto"/>
        <w:left w:val="none" w:sz="0" w:space="0" w:color="auto"/>
        <w:bottom w:val="none" w:sz="0" w:space="0" w:color="auto"/>
        <w:right w:val="none" w:sz="0" w:space="0" w:color="auto"/>
      </w:divBdr>
    </w:div>
    <w:div w:id="667707450">
      <w:bodyDiv w:val="1"/>
      <w:marLeft w:val="0"/>
      <w:marRight w:val="0"/>
      <w:marTop w:val="0"/>
      <w:marBottom w:val="0"/>
      <w:divBdr>
        <w:top w:val="none" w:sz="0" w:space="0" w:color="auto"/>
        <w:left w:val="none" w:sz="0" w:space="0" w:color="auto"/>
        <w:bottom w:val="none" w:sz="0" w:space="0" w:color="auto"/>
        <w:right w:val="none" w:sz="0" w:space="0" w:color="auto"/>
      </w:divBdr>
      <w:divsChild>
        <w:div w:id="210001571">
          <w:marLeft w:val="0"/>
          <w:marRight w:val="0"/>
          <w:marTop w:val="0"/>
          <w:marBottom w:val="0"/>
          <w:divBdr>
            <w:top w:val="none" w:sz="0" w:space="0" w:color="auto"/>
            <w:left w:val="none" w:sz="0" w:space="0" w:color="auto"/>
            <w:bottom w:val="none" w:sz="0" w:space="0" w:color="auto"/>
            <w:right w:val="none" w:sz="0" w:space="0" w:color="auto"/>
          </w:divBdr>
          <w:divsChild>
            <w:div w:id="180199903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945229315">
      <w:bodyDiv w:val="1"/>
      <w:marLeft w:val="0"/>
      <w:marRight w:val="0"/>
      <w:marTop w:val="0"/>
      <w:marBottom w:val="0"/>
      <w:divBdr>
        <w:top w:val="none" w:sz="0" w:space="0" w:color="auto"/>
        <w:left w:val="none" w:sz="0" w:space="0" w:color="auto"/>
        <w:bottom w:val="none" w:sz="0" w:space="0" w:color="auto"/>
        <w:right w:val="none" w:sz="0" w:space="0" w:color="auto"/>
      </w:divBdr>
      <w:divsChild>
        <w:div w:id="707073360">
          <w:marLeft w:val="0"/>
          <w:marRight w:val="0"/>
          <w:marTop w:val="0"/>
          <w:marBottom w:val="0"/>
          <w:divBdr>
            <w:top w:val="none" w:sz="0" w:space="0" w:color="auto"/>
            <w:left w:val="none" w:sz="0" w:space="0" w:color="auto"/>
            <w:bottom w:val="none" w:sz="0" w:space="0" w:color="auto"/>
            <w:right w:val="none" w:sz="0" w:space="0" w:color="auto"/>
          </w:divBdr>
          <w:divsChild>
            <w:div w:id="412165560">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29863951">
      <w:bodyDiv w:val="1"/>
      <w:marLeft w:val="0"/>
      <w:marRight w:val="0"/>
      <w:marTop w:val="0"/>
      <w:marBottom w:val="0"/>
      <w:divBdr>
        <w:top w:val="none" w:sz="0" w:space="0" w:color="auto"/>
        <w:left w:val="none" w:sz="0" w:space="0" w:color="auto"/>
        <w:bottom w:val="none" w:sz="0" w:space="0" w:color="auto"/>
        <w:right w:val="none" w:sz="0" w:space="0" w:color="auto"/>
      </w:divBdr>
      <w:divsChild>
        <w:div w:id="1702169443">
          <w:marLeft w:val="0"/>
          <w:marRight w:val="0"/>
          <w:marTop w:val="0"/>
          <w:marBottom w:val="0"/>
          <w:divBdr>
            <w:top w:val="none" w:sz="0" w:space="0" w:color="auto"/>
            <w:left w:val="none" w:sz="0" w:space="0" w:color="auto"/>
            <w:bottom w:val="none" w:sz="0" w:space="0" w:color="auto"/>
            <w:right w:val="none" w:sz="0" w:space="0" w:color="auto"/>
          </w:divBdr>
          <w:divsChild>
            <w:div w:id="16563208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435205336">
      <w:bodyDiv w:val="1"/>
      <w:marLeft w:val="0"/>
      <w:marRight w:val="0"/>
      <w:marTop w:val="0"/>
      <w:marBottom w:val="0"/>
      <w:divBdr>
        <w:top w:val="none" w:sz="0" w:space="0" w:color="auto"/>
        <w:left w:val="none" w:sz="0" w:space="0" w:color="auto"/>
        <w:bottom w:val="none" w:sz="0" w:space="0" w:color="auto"/>
        <w:right w:val="none" w:sz="0" w:space="0" w:color="auto"/>
      </w:divBdr>
      <w:divsChild>
        <w:div w:id="1849103373">
          <w:marLeft w:val="0"/>
          <w:marRight w:val="0"/>
          <w:marTop w:val="0"/>
          <w:marBottom w:val="0"/>
          <w:divBdr>
            <w:top w:val="none" w:sz="0" w:space="0" w:color="auto"/>
            <w:left w:val="none" w:sz="0" w:space="0" w:color="auto"/>
            <w:bottom w:val="none" w:sz="0" w:space="0" w:color="auto"/>
            <w:right w:val="none" w:sz="0" w:space="0" w:color="auto"/>
          </w:divBdr>
          <w:divsChild>
            <w:div w:id="1553730000">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462264756">
      <w:bodyDiv w:val="1"/>
      <w:marLeft w:val="0"/>
      <w:marRight w:val="0"/>
      <w:marTop w:val="0"/>
      <w:marBottom w:val="0"/>
      <w:divBdr>
        <w:top w:val="none" w:sz="0" w:space="0" w:color="auto"/>
        <w:left w:val="none" w:sz="0" w:space="0" w:color="auto"/>
        <w:bottom w:val="none" w:sz="0" w:space="0" w:color="auto"/>
        <w:right w:val="none" w:sz="0" w:space="0" w:color="auto"/>
      </w:divBdr>
      <w:divsChild>
        <w:div w:id="717978388">
          <w:marLeft w:val="0"/>
          <w:marRight w:val="0"/>
          <w:marTop w:val="0"/>
          <w:marBottom w:val="0"/>
          <w:divBdr>
            <w:top w:val="none" w:sz="0" w:space="0" w:color="auto"/>
            <w:left w:val="none" w:sz="0" w:space="0" w:color="auto"/>
            <w:bottom w:val="none" w:sz="0" w:space="0" w:color="auto"/>
            <w:right w:val="none" w:sz="0" w:space="0" w:color="auto"/>
          </w:divBdr>
          <w:divsChild>
            <w:div w:id="1032458776">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42997324">
      <w:bodyDiv w:val="1"/>
      <w:marLeft w:val="0"/>
      <w:marRight w:val="0"/>
      <w:marTop w:val="0"/>
      <w:marBottom w:val="0"/>
      <w:divBdr>
        <w:top w:val="none" w:sz="0" w:space="0" w:color="auto"/>
        <w:left w:val="none" w:sz="0" w:space="0" w:color="auto"/>
        <w:bottom w:val="none" w:sz="0" w:space="0" w:color="auto"/>
        <w:right w:val="none" w:sz="0" w:space="0" w:color="auto"/>
      </w:divBdr>
      <w:divsChild>
        <w:div w:id="1529180564">
          <w:marLeft w:val="0"/>
          <w:marRight w:val="0"/>
          <w:marTop w:val="0"/>
          <w:marBottom w:val="0"/>
          <w:divBdr>
            <w:top w:val="none" w:sz="0" w:space="0" w:color="auto"/>
            <w:left w:val="none" w:sz="0" w:space="0" w:color="auto"/>
            <w:bottom w:val="none" w:sz="0" w:space="0" w:color="auto"/>
            <w:right w:val="none" w:sz="0" w:space="0" w:color="auto"/>
          </w:divBdr>
          <w:divsChild>
            <w:div w:id="179752392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sChild>
        <w:div w:id="1211721451">
          <w:marLeft w:val="0"/>
          <w:marRight w:val="0"/>
          <w:marTop w:val="0"/>
          <w:marBottom w:val="0"/>
          <w:divBdr>
            <w:top w:val="none" w:sz="0" w:space="0" w:color="auto"/>
            <w:left w:val="none" w:sz="0" w:space="0" w:color="auto"/>
            <w:bottom w:val="none" w:sz="0" w:space="0" w:color="auto"/>
            <w:right w:val="none" w:sz="0" w:space="0" w:color="auto"/>
          </w:divBdr>
          <w:divsChild>
            <w:div w:id="151769639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761635460">
      <w:bodyDiv w:val="1"/>
      <w:marLeft w:val="0"/>
      <w:marRight w:val="0"/>
      <w:marTop w:val="0"/>
      <w:marBottom w:val="0"/>
      <w:divBdr>
        <w:top w:val="none" w:sz="0" w:space="0" w:color="auto"/>
        <w:left w:val="none" w:sz="0" w:space="0" w:color="auto"/>
        <w:bottom w:val="none" w:sz="0" w:space="0" w:color="auto"/>
        <w:right w:val="none" w:sz="0" w:space="0" w:color="auto"/>
      </w:divBdr>
    </w:div>
    <w:div w:id="1967736684">
      <w:bodyDiv w:val="1"/>
      <w:marLeft w:val="0"/>
      <w:marRight w:val="0"/>
      <w:marTop w:val="0"/>
      <w:marBottom w:val="0"/>
      <w:divBdr>
        <w:top w:val="none" w:sz="0" w:space="0" w:color="auto"/>
        <w:left w:val="none" w:sz="0" w:space="0" w:color="auto"/>
        <w:bottom w:val="none" w:sz="0" w:space="0" w:color="auto"/>
        <w:right w:val="none" w:sz="0" w:space="0" w:color="auto"/>
      </w:divBdr>
    </w:div>
    <w:div w:id="2061055397">
      <w:bodyDiv w:val="1"/>
      <w:marLeft w:val="0"/>
      <w:marRight w:val="0"/>
      <w:marTop w:val="0"/>
      <w:marBottom w:val="0"/>
      <w:divBdr>
        <w:top w:val="none" w:sz="0" w:space="0" w:color="auto"/>
        <w:left w:val="none" w:sz="0" w:space="0" w:color="auto"/>
        <w:bottom w:val="none" w:sz="0" w:space="0" w:color="auto"/>
        <w:right w:val="none" w:sz="0" w:space="0" w:color="auto"/>
      </w:divBdr>
    </w:div>
    <w:div w:id="21421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d.Messer@powerallian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3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mmeline@cleanpow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ebcf4a5-ef84-4173-ad45-ee4536d75be6}" enabled="0" method="" siteId="{4ebcf4a5-ef84-4173-ad45-ee4536d75be6}"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768</Words>
  <Characters>4764</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013026</cp:lastModifiedBy>
  <cp:revision>4</cp:revision>
  <cp:lastPrinted>2026-01-21T23:28:00Z</cp:lastPrinted>
  <dcterms:created xsi:type="dcterms:W3CDTF">2026-01-30T21:06:00Z</dcterms:created>
  <dcterms:modified xsi:type="dcterms:W3CDTF">2026-01-30T22:15:00Z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4935-9235-7001</vt:lpwstr>
  </property>
  <property fmtid="{D5CDD505-2E9C-101B-9397-08002B2CF9AE}" pid="3" name="MSIP_Label_7084cbda-52b8-46fb-a7b7-cb5bd465ed85_Enabled">
    <vt:lpwstr>true</vt:lpwstr>
  </property>
  <property fmtid="{D5CDD505-2E9C-101B-9397-08002B2CF9AE}" pid="4" name="MSIP_Label_7084cbda-52b8-46fb-a7b7-cb5bd465ed85_SetDate">
    <vt:lpwstr>2026-01-28T22:31:00Z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cd5b48a8-2f4f-4ff1-8dfa-b930d29d327a</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