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66A4E3E6" w14:textId="77777777">
        <w:tc>
          <w:tcPr>
            <w:tcW w:w="1620" w:type="dxa"/>
            <w:tcBorders>
              <w:bottom w:val="single" w:sz="4" w:space="0" w:color="auto"/>
            </w:tcBorders>
            <w:shd w:val="clear" w:color="auto" w:fill="FFFFFF"/>
            <w:vAlign w:val="center"/>
          </w:tcPr>
          <w:p w14:paraId="186EA22E" w14:textId="4194CB4B"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67507136" w14:textId="007860F8" w:rsidR="00152993" w:rsidRDefault="009E6F56">
            <w:pPr>
              <w:pStyle w:val="Header"/>
            </w:pPr>
            <w:hyperlink r:id="rId7" w:history="1">
              <w:r w:rsidRPr="009E6F56">
                <w:rPr>
                  <w:rStyle w:val="Hyperlink"/>
                </w:rPr>
                <w:t>1310</w:t>
              </w:r>
            </w:hyperlink>
          </w:p>
        </w:tc>
        <w:tc>
          <w:tcPr>
            <w:tcW w:w="900" w:type="dxa"/>
            <w:tcBorders>
              <w:bottom w:val="single" w:sz="4" w:space="0" w:color="auto"/>
            </w:tcBorders>
            <w:shd w:val="clear" w:color="auto" w:fill="FFFFFF"/>
            <w:vAlign w:val="center"/>
          </w:tcPr>
          <w:p w14:paraId="14140ECB" w14:textId="77777777" w:rsidR="00152993" w:rsidRDefault="00EE6681">
            <w:pPr>
              <w:pStyle w:val="Header"/>
            </w:pPr>
            <w:r>
              <w:t>N</w:t>
            </w:r>
            <w:r w:rsidR="00152993">
              <w:t>PRR Title</w:t>
            </w:r>
          </w:p>
        </w:tc>
        <w:tc>
          <w:tcPr>
            <w:tcW w:w="6660" w:type="dxa"/>
            <w:tcBorders>
              <w:bottom w:val="single" w:sz="4" w:space="0" w:color="auto"/>
            </w:tcBorders>
            <w:vAlign w:val="center"/>
          </w:tcPr>
          <w:p w14:paraId="608843FB" w14:textId="225408BB" w:rsidR="00152993" w:rsidRDefault="009E6F56">
            <w:pPr>
              <w:pStyle w:val="Header"/>
            </w:pPr>
            <w:r w:rsidRPr="009E6F56">
              <w:t>Dispatchable Reliability Reserve Service Plus Energy Storage Resource Participation and Release Factor</w:t>
            </w:r>
          </w:p>
        </w:tc>
      </w:tr>
      <w:tr w:rsidR="00152993" w14:paraId="72576CEC" w14:textId="77777777">
        <w:trPr>
          <w:trHeight w:val="413"/>
        </w:trPr>
        <w:tc>
          <w:tcPr>
            <w:tcW w:w="2880" w:type="dxa"/>
            <w:gridSpan w:val="2"/>
            <w:tcBorders>
              <w:top w:val="nil"/>
              <w:left w:val="nil"/>
              <w:bottom w:val="single" w:sz="4" w:space="0" w:color="auto"/>
              <w:right w:val="nil"/>
            </w:tcBorders>
            <w:vAlign w:val="center"/>
          </w:tcPr>
          <w:p w14:paraId="5EC7E816"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361F85A9" w14:textId="77777777" w:rsidR="00152993" w:rsidRDefault="00152993">
            <w:pPr>
              <w:pStyle w:val="NormalArial"/>
            </w:pPr>
          </w:p>
        </w:tc>
      </w:tr>
      <w:tr w:rsidR="00152993" w14:paraId="4E1C13CE"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1EFA9358"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DF36951" w14:textId="0CF1C5F0" w:rsidR="00152993" w:rsidRDefault="00E91436">
            <w:pPr>
              <w:pStyle w:val="NormalArial"/>
            </w:pPr>
            <w:r>
              <w:t>January 28,</w:t>
            </w:r>
            <w:r w:rsidR="009E6F56">
              <w:t xml:space="preserve"> 2026</w:t>
            </w:r>
          </w:p>
        </w:tc>
      </w:tr>
      <w:tr w:rsidR="00152993" w14:paraId="49028FCB" w14:textId="77777777">
        <w:trPr>
          <w:trHeight w:val="467"/>
        </w:trPr>
        <w:tc>
          <w:tcPr>
            <w:tcW w:w="2880" w:type="dxa"/>
            <w:gridSpan w:val="2"/>
            <w:tcBorders>
              <w:top w:val="single" w:sz="4" w:space="0" w:color="auto"/>
              <w:left w:val="nil"/>
              <w:bottom w:val="nil"/>
              <w:right w:val="nil"/>
            </w:tcBorders>
            <w:shd w:val="clear" w:color="auto" w:fill="FFFFFF"/>
            <w:vAlign w:val="center"/>
          </w:tcPr>
          <w:p w14:paraId="26309556" w14:textId="77777777" w:rsidR="00152993" w:rsidRDefault="00152993">
            <w:pPr>
              <w:pStyle w:val="NormalArial"/>
            </w:pPr>
          </w:p>
        </w:tc>
        <w:tc>
          <w:tcPr>
            <w:tcW w:w="7560" w:type="dxa"/>
            <w:gridSpan w:val="2"/>
            <w:tcBorders>
              <w:top w:val="nil"/>
              <w:left w:val="nil"/>
              <w:bottom w:val="nil"/>
              <w:right w:val="nil"/>
            </w:tcBorders>
            <w:vAlign w:val="center"/>
          </w:tcPr>
          <w:p w14:paraId="30DDD35E" w14:textId="77777777" w:rsidR="00152993" w:rsidRDefault="00152993">
            <w:pPr>
              <w:pStyle w:val="NormalArial"/>
            </w:pPr>
          </w:p>
        </w:tc>
      </w:tr>
      <w:tr w:rsidR="00152993" w14:paraId="4FB12D04" w14:textId="77777777">
        <w:trPr>
          <w:trHeight w:val="440"/>
        </w:trPr>
        <w:tc>
          <w:tcPr>
            <w:tcW w:w="10440" w:type="dxa"/>
            <w:gridSpan w:val="4"/>
            <w:tcBorders>
              <w:top w:val="single" w:sz="4" w:space="0" w:color="auto"/>
            </w:tcBorders>
            <w:shd w:val="clear" w:color="auto" w:fill="FFFFFF"/>
            <w:vAlign w:val="center"/>
          </w:tcPr>
          <w:p w14:paraId="02534600" w14:textId="77777777" w:rsidR="00152993" w:rsidRDefault="00152993">
            <w:pPr>
              <w:pStyle w:val="Header"/>
              <w:jc w:val="center"/>
            </w:pPr>
            <w:r>
              <w:t>Submitter’s Information</w:t>
            </w:r>
          </w:p>
        </w:tc>
      </w:tr>
      <w:tr w:rsidR="00152993" w14:paraId="15B2EA82" w14:textId="77777777">
        <w:trPr>
          <w:trHeight w:val="350"/>
        </w:trPr>
        <w:tc>
          <w:tcPr>
            <w:tcW w:w="2880" w:type="dxa"/>
            <w:gridSpan w:val="2"/>
            <w:shd w:val="clear" w:color="auto" w:fill="FFFFFF"/>
            <w:vAlign w:val="center"/>
          </w:tcPr>
          <w:p w14:paraId="5B18C314" w14:textId="77777777" w:rsidR="00152993" w:rsidRPr="00EC55B3" w:rsidRDefault="00152993" w:rsidP="00EC55B3">
            <w:pPr>
              <w:pStyle w:val="Header"/>
            </w:pPr>
            <w:r w:rsidRPr="00EC55B3">
              <w:t>Name</w:t>
            </w:r>
          </w:p>
        </w:tc>
        <w:tc>
          <w:tcPr>
            <w:tcW w:w="7560" w:type="dxa"/>
            <w:gridSpan w:val="2"/>
            <w:vAlign w:val="center"/>
          </w:tcPr>
          <w:p w14:paraId="6000B1D4" w14:textId="70A20D50" w:rsidR="00152993" w:rsidRDefault="009E6F56">
            <w:pPr>
              <w:pStyle w:val="NormalArial"/>
            </w:pPr>
            <w:r>
              <w:t>John Russ Hubbard</w:t>
            </w:r>
          </w:p>
        </w:tc>
      </w:tr>
      <w:tr w:rsidR="00152993" w14:paraId="79124B39" w14:textId="77777777">
        <w:trPr>
          <w:trHeight w:val="350"/>
        </w:trPr>
        <w:tc>
          <w:tcPr>
            <w:tcW w:w="2880" w:type="dxa"/>
            <w:gridSpan w:val="2"/>
            <w:shd w:val="clear" w:color="auto" w:fill="FFFFFF"/>
            <w:vAlign w:val="center"/>
          </w:tcPr>
          <w:p w14:paraId="0BDB4490" w14:textId="77777777" w:rsidR="00152993" w:rsidRPr="00EC55B3" w:rsidRDefault="00152993" w:rsidP="00EC55B3">
            <w:pPr>
              <w:pStyle w:val="Header"/>
            </w:pPr>
            <w:r w:rsidRPr="00EC55B3">
              <w:t>E-mail Address</w:t>
            </w:r>
          </w:p>
        </w:tc>
        <w:tc>
          <w:tcPr>
            <w:tcW w:w="7560" w:type="dxa"/>
            <w:gridSpan w:val="2"/>
            <w:vAlign w:val="center"/>
          </w:tcPr>
          <w:p w14:paraId="75E1F8CA" w14:textId="492CA48C" w:rsidR="00152993" w:rsidRDefault="009E6F56">
            <w:pPr>
              <w:pStyle w:val="NormalArial"/>
            </w:pPr>
            <w:hyperlink r:id="rId8" w:history="1">
              <w:r w:rsidRPr="00A83BD1">
                <w:rPr>
                  <w:rStyle w:val="Hyperlink"/>
                </w:rPr>
                <w:t>jhubbard@omm.com</w:t>
              </w:r>
            </w:hyperlink>
          </w:p>
        </w:tc>
      </w:tr>
      <w:tr w:rsidR="00152993" w14:paraId="6BCF3180" w14:textId="77777777">
        <w:trPr>
          <w:trHeight w:val="350"/>
        </w:trPr>
        <w:tc>
          <w:tcPr>
            <w:tcW w:w="2880" w:type="dxa"/>
            <w:gridSpan w:val="2"/>
            <w:shd w:val="clear" w:color="auto" w:fill="FFFFFF"/>
            <w:vAlign w:val="center"/>
          </w:tcPr>
          <w:p w14:paraId="4DDCD500" w14:textId="77777777" w:rsidR="00152993" w:rsidRPr="00EC55B3" w:rsidRDefault="00152993" w:rsidP="00EC55B3">
            <w:pPr>
              <w:pStyle w:val="Header"/>
            </w:pPr>
            <w:r w:rsidRPr="00EC55B3">
              <w:t>Company</w:t>
            </w:r>
          </w:p>
        </w:tc>
        <w:tc>
          <w:tcPr>
            <w:tcW w:w="7560" w:type="dxa"/>
            <w:gridSpan w:val="2"/>
            <w:vAlign w:val="center"/>
          </w:tcPr>
          <w:p w14:paraId="2BE42E41" w14:textId="586E6BFF" w:rsidR="00152993" w:rsidRDefault="009E6F56">
            <w:pPr>
              <w:pStyle w:val="NormalArial"/>
            </w:pPr>
            <w:r>
              <w:t>Texas Industrial Energy Consumers (TIEC)</w:t>
            </w:r>
          </w:p>
        </w:tc>
      </w:tr>
      <w:tr w:rsidR="00152993" w14:paraId="5E2A631A" w14:textId="77777777">
        <w:trPr>
          <w:trHeight w:val="350"/>
        </w:trPr>
        <w:tc>
          <w:tcPr>
            <w:tcW w:w="2880" w:type="dxa"/>
            <w:gridSpan w:val="2"/>
            <w:tcBorders>
              <w:bottom w:val="single" w:sz="4" w:space="0" w:color="auto"/>
            </w:tcBorders>
            <w:shd w:val="clear" w:color="auto" w:fill="FFFFFF"/>
            <w:vAlign w:val="center"/>
          </w:tcPr>
          <w:p w14:paraId="06AAFD0E"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68BAB7CF" w14:textId="525A1A66" w:rsidR="00152993" w:rsidRDefault="009E6F56">
            <w:pPr>
              <w:pStyle w:val="NormalArial"/>
            </w:pPr>
            <w:r>
              <w:t>512-964-0415</w:t>
            </w:r>
          </w:p>
        </w:tc>
      </w:tr>
      <w:tr w:rsidR="00075A94" w14:paraId="331ED160" w14:textId="77777777">
        <w:trPr>
          <w:trHeight w:val="350"/>
        </w:trPr>
        <w:tc>
          <w:tcPr>
            <w:tcW w:w="2880" w:type="dxa"/>
            <w:gridSpan w:val="2"/>
            <w:tcBorders>
              <w:bottom w:val="single" w:sz="4" w:space="0" w:color="auto"/>
            </w:tcBorders>
            <w:shd w:val="clear" w:color="auto" w:fill="FFFFFF"/>
            <w:vAlign w:val="center"/>
          </w:tcPr>
          <w:p w14:paraId="6367A282"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19D247F2" w14:textId="07C71EDA" w:rsidR="00075A94" w:rsidRDefault="009E6F56">
            <w:pPr>
              <w:pStyle w:val="NormalArial"/>
            </w:pPr>
            <w:r>
              <w:t>Industrial Customers</w:t>
            </w:r>
          </w:p>
        </w:tc>
      </w:tr>
    </w:tbl>
    <w:p w14:paraId="40532E23" w14:textId="77777777" w:rsidR="00152993" w:rsidRDefault="00152993">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48CF8023" w14:textId="77777777" w:rsidTr="00B5080A">
        <w:trPr>
          <w:trHeight w:val="422"/>
          <w:jc w:val="center"/>
        </w:trPr>
        <w:tc>
          <w:tcPr>
            <w:tcW w:w="10440" w:type="dxa"/>
            <w:vAlign w:val="center"/>
          </w:tcPr>
          <w:p w14:paraId="59AFD01B" w14:textId="77777777" w:rsidR="00075A94" w:rsidRPr="00075A94" w:rsidRDefault="00075A94" w:rsidP="00B5080A">
            <w:pPr>
              <w:pStyle w:val="Header"/>
              <w:jc w:val="center"/>
            </w:pPr>
            <w:r w:rsidRPr="00075A94">
              <w:t>Comments</w:t>
            </w:r>
          </w:p>
        </w:tc>
      </w:tr>
    </w:tbl>
    <w:p w14:paraId="5B73A0DF" w14:textId="77777777" w:rsidR="00152993" w:rsidRDefault="00152993">
      <w:pPr>
        <w:pStyle w:val="NormalArial"/>
      </w:pPr>
    </w:p>
    <w:p w14:paraId="27480DF2" w14:textId="58CBE10E" w:rsidR="00E46221" w:rsidRDefault="00B047A4" w:rsidP="005A3B92">
      <w:pPr>
        <w:pStyle w:val="BodyText"/>
      </w:pPr>
      <w:r w:rsidRPr="00443673">
        <w:t xml:space="preserve">TIEC appreciates the opportunity to comment on </w:t>
      </w:r>
      <w:r w:rsidR="00B81F5D">
        <w:t>Nodal Protocol Revision Request (</w:t>
      </w:r>
      <w:r w:rsidRPr="00443673">
        <w:t>NPRR</w:t>
      </w:r>
      <w:r w:rsidR="00B81F5D">
        <w:t xml:space="preserve">) </w:t>
      </w:r>
      <w:r w:rsidRPr="00443673">
        <w:t xml:space="preserve">1310 and its </w:t>
      </w:r>
      <w:r w:rsidR="00FE0A4D" w:rsidRPr="00443673">
        <w:t xml:space="preserve">market </w:t>
      </w:r>
      <w:r w:rsidRPr="00443673">
        <w:t xml:space="preserve">implications.  </w:t>
      </w:r>
    </w:p>
    <w:p w14:paraId="13421CA5" w14:textId="1D40DFE3" w:rsidR="006A320A" w:rsidRDefault="00B047A4" w:rsidP="005A3B92">
      <w:pPr>
        <w:pStyle w:val="BodyText"/>
      </w:pPr>
      <w:r w:rsidRPr="00443673">
        <w:t xml:space="preserve">At this time, </w:t>
      </w:r>
      <w:r w:rsidR="003527B7">
        <w:t xml:space="preserve">it </w:t>
      </w:r>
      <w:r w:rsidR="00805A46">
        <w:t>is neither</w:t>
      </w:r>
      <w:r w:rsidR="003527B7">
        <w:t xml:space="preserve"> efficient </w:t>
      </w:r>
      <w:r w:rsidR="00E46221">
        <w:t>n</w:t>
      </w:r>
      <w:r w:rsidR="003527B7">
        <w:t xml:space="preserve">or advisable to spend ERCOT and stakeholder resources vetting a proposal that has not been determined </w:t>
      </w:r>
      <w:r w:rsidR="00E46221">
        <w:t xml:space="preserve">by the Commission </w:t>
      </w:r>
      <w:r w:rsidR="003527B7">
        <w:t xml:space="preserve">to be (a) necessary, (b) effective, or (c) the most efficient approach to addressing any potential resource adequacy concerns.  </w:t>
      </w:r>
      <w:r w:rsidR="006A320A">
        <w:t>The authority to identify necessary wholesale market design changes needed to meet reliability goals is vested in the Commission pursuant to PUC Subst. R.</w:t>
      </w:r>
      <w:r w:rsidR="00BA2AC3">
        <w:t xml:space="preserve"> </w:t>
      </w:r>
      <w:r w:rsidR="003C4E58">
        <w:t>§ </w:t>
      </w:r>
      <w:r w:rsidR="00BA2AC3">
        <w:t>25.50</w:t>
      </w:r>
      <w:r w:rsidR="000F087C">
        <w:t>8</w:t>
      </w:r>
      <w:r w:rsidR="00BA2AC3">
        <w:t>.</w:t>
      </w:r>
      <w:r w:rsidR="006A320A">
        <w:t xml:space="preserve"> </w:t>
      </w:r>
      <w:r w:rsidR="00BA2AC3">
        <w:t xml:space="preserve"> </w:t>
      </w:r>
      <w:r w:rsidR="006A320A">
        <w:t>As ERCOT is aware, the Commission must review ERCOT’s reliability assessment</w:t>
      </w:r>
      <w:r w:rsidR="000F087C">
        <w:t>, the independent market monitor’s review, Commission Staff’s recommendations, and stakeholders</w:t>
      </w:r>
      <w:r w:rsidR="004B1458">
        <w:t>’</w:t>
      </w:r>
      <w:r w:rsidR="000F087C">
        <w:t xml:space="preserve"> comments,</w:t>
      </w:r>
      <w:r w:rsidR="006A320A">
        <w:t xml:space="preserve"> and then</w:t>
      </w:r>
      <w:r w:rsidR="00D52773">
        <w:t xml:space="preserve"> “determine whether any market design changes may be necessary.”</w:t>
      </w:r>
      <w:r w:rsidR="00D52773">
        <w:rPr>
          <w:rStyle w:val="FootnoteReference"/>
        </w:rPr>
        <w:footnoteReference w:id="1"/>
      </w:r>
      <w:r w:rsidR="007D7669">
        <w:t xml:space="preserve">  </w:t>
      </w:r>
      <w:r w:rsidR="00687CF0" w:rsidRPr="00443673">
        <w:t xml:space="preserve">NPRR1310 </w:t>
      </w:r>
      <w:r w:rsidR="006A320A">
        <w:t xml:space="preserve">would front-run this process, effectively prejudging that significant market design changes are needed and </w:t>
      </w:r>
      <w:r w:rsidR="00E46221">
        <w:t xml:space="preserve">that </w:t>
      </w:r>
      <w:r w:rsidR="00C771DF">
        <w:t xml:space="preserve">using </w:t>
      </w:r>
      <w:r w:rsidR="00B81F5D" w:rsidRPr="009E6F56">
        <w:t>Dispatchable Reliability Reserve Service</w:t>
      </w:r>
      <w:r w:rsidR="00B81F5D">
        <w:t xml:space="preserve"> (</w:t>
      </w:r>
      <w:r w:rsidR="00C771DF">
        <w:t>DRRS</w:t>
      </w:r>
      <w:r w:rsidR="00B81F5D">
        <w:t>)</w:t>
      </w:r>
      <w:r w:rsidR="00C771DF">
        <w:t xml:space="preserve"> as a vehicle to make</w:t>
      </w:r>
      <w:r w:rsidR="006A320A">
        <w:t xml:space="preserve"> fixed </w:t>
      </w:r>
      <w:r w:rsidR="00687CF0" w:rsidRPr="00443673">
        <w:t xml:space="preserve">capacity payments to </w:t>
      </w:r>
      <w:r w:rsidR="00E46221">
        <w:t>certain generators</w:t>
      </w:r>
      <w:r w:rsidR="00E46221" w:rsidRPr="00443673">
        <w:t xml:space="preserve"> </w:t>
      </w:r>
      <w:r w:rsidR="00C771DF">
        <w:t xml:space="preserve">is </w:t>
      </w:r>
      <w:r w:rsidR="006A320A">
        <w:t>the best approach.</w:t>
      </w:r>
      <w:r w:rsidRPr="00443673">
        <w:t xml:space="preserve"> </w:t>
      </w:r>
      <w:r w:rsidR="006A320A">
        <w:t xml:space="preserve"> </w:t>
      </w:r>
    </w:p>
    <w:p w14:paraId="59C9ECDC" w14:textId="28837FFF" w:rsidR="00805A46" w:rsidRDefault="00805A46" w:rsidP="005A3B92">
      <w:pPr>
        <w:pStyle w:val="BodyText"/>
      </w:pPr>
      <w:r>
        <w:t>On the merits of DRRS+, the predetermined $10/MW</w:t>
      </w:r>
      <w:r w:rsidR="0062401D">
        <w:t>/</w:t>
      </w:r>
      <w:r>
        <w:t xml:space="preserve">h payment is not market-based and appears to be an arbitrary wealth transfer between customers and a certain </w:t>
      </w:r>
      <w:r>
        <w:lastRenderedPageBreak/>
        <w:t xml:space="preserve">set of generators.  </w:t>
      </w:r>
      <w:r w:rsidR="00464ED3">
        <w:t>T</w:t>
      </w:r>
      <w:r>
        <w:t xml:space="preserve">here </w:t>
      </w:r>
      <w:proofErr w:type="gramStart"/>
      <w:r>
        <w:t>is</w:t>
      </w:r>
      <w:proofErr w:type="gramEnd"/>
      <w:r w:rsidR="00464ED3">
        <w:t xml:space="preserve"> </w:t>
      </w:r>
      <w:r>
        <w:t>no analysis or data to support that this $10/MW</w:t>
      </w:r>
      <w:r w:rsidR="0062401D">
        <w:t>/</w:t>
      </w:r>
      <w:r>
        <w:t>h payment will elicit additional investment</w:t>
      </w:r>
      <w:r w:rsidR="00464ED3">
        <w:t>, improve reliability,</w:t>
      </w:r>
      <w:r>
        <w:t xml:space="preserve"> or do anything </w:t>
      </w:r>
      <w:r w:rsidR="00E46221">
        <w:t>but</w:t>
      </w:r>
      <w:r>
        <w:t xml:space="preserve"> enrich existing generators and shift risk to large and small</w:t>
      </w:r>
      <w:r w:rsidR="00E9203C">
        <w:t xml:space="preserve"> customers</w:t>
      </w:r>
      <w:r>
        <w:t xml:space="preserve">.  TIEC understands that ERCOT may be trying to avoid Cost of New Entry (CONE)-based payments </w:t>
      </w:r>
      <w:r w:rsidR="00E46221">
        <w:t xml:space="preserve">since this is a hallmark of a </w:t>
      </w:r>
      <w:r>
        <w:t>capacity market</w:t>
      </w:r>
      <w:r w:rsidR="00464ED3">
        <w:t>,</w:t>
      </w:r>
      <w:r>
        <w:t xml:space="preserve"> perhaps to support an argument that the HB 1500 guardrails do not apply.  But adopting a completely arbitrary $/MW</w:t>
      </w:r>
      <w:r w:rsidR="00E9203C">
        <w:t>/</w:t>
      </w:r>
      <w:r>
        <w:t xml:space="preserve">h payment is even less defensible.  TIEC </w:t>
      </w:r>
      <w:r w:rsidR="00E46221">
        <w:t>anticipates that</w:t>
      </w:r>
      <w:r>
        <w:t xml:space="preserve"> this fee would be considered arbitrary and capricious if legally challenged, given the complete lack of</w:t>
      </w:r>
      <w:r w:rsidR="00E46221">
        <w:t xml:space="preserve"> analysis or</w:t>
      </w:r>
      <w:r>
        <w:t xml:space="preserve"> justification</w:t>
      </w:r>
      <w:r w:rsidR="00464ED3">
        <w:t>.</w:t>
      </w:r>
    </w:p>
    <w:p w14:paraId="5F6FADE7" w14:textId="597C8759" w:rsidR="00462AEF" w:rsidRDefault="00E46221" w:rsidP="005A3B92">
      <w:pPr>
        <w:pStyle w:val="BodyText"/>
      </w:pPr>
      <w:r w:rsidRPr="00443673">
        <w:t>NPRR1309</w:t>
      </w:r>
      <w:r w:rsidR="00CD4835">
        <w:t xml:space="preserve">, </w:t>
      </w:r>
      <w:r w:rsidR="00CD4835" w:rsidRPr="00CD4835">
        <w:t>Board Priority - Dispatchable Reliability Reserve Service Ancillary Service</w:t>
      </w:r>
      <w:r w:rsidR="00CD4835">
        <w:t>,</w:t>
      </w:r>
      <w:r w:rsidRPr="00443673">
        <w:t xml:space="preserve"> </w:t>
      </w:r>
      <w:r>
        <w:t>is</w:t>
      </w:r>
      <w:r w:rsidRPr="00443673">
        <w:t xml:space="preserve"> a </w:t>
      </w:r>
      <w:r>
        <w:t>non-</w:t>
      </w:r>
      <w:r w:rsidRPr="00443673">
        <w:t xml:space="preserve">controversial, operationally grounded </w:t>
      </w:r>
      <w:r>
        <w:t>implementation of DRRS</w:t>
      </w:r>
      <w:r w:rsidRPr="00443673">
        <w:t xml:space="preserve"> that meets statutory requirements and </w:t>
      </w:r>
      <w:r>
        <w:t xml:space="preserve">still </w:t>
      </w:r>
      <w:r w:rsidRPr="00443673">
        <w:t xml:space="preserve">allows for future optionality as directed by the Commission.  </w:t>
      </w:r>
      <w:r>
        <w:t xml:space="preserve">TIEC acknowledges that the Commission desires options for potential market changes in conjunction with the upcoming reliability assessment.  </w:t>
      </w:r>
      <w:r w:rsidR="00743D9D">
        <w:t>However, it appears that</w:t>
      </w:r>
      <w:r>
        <w:t xml:space="preserve"> NPRR1309</w:t>
      </w:r>
      <w:r w:rsidR="00743D9D">
        <w:t xml:space="preserve"> could easily be supplemented with any incremental features of NPRR1310</w:t>
      </w:r>
      <w:r>
        <w:t xml:space="preserve"> </w:t>
      </w:r>
      <w:r w:rsidR="00743D9D">
        <w:t xml:space="preserve">in the future, </w:t>
      </w:r>
      <w:r>
        <w:t>at the Commission’s direction</w:t>
      </w:r>
      <w:r w:rsidR="00C552A7">
        <w:t xml:space="preserve">. </w:t>
      </w:r>
      <w:r>
        <w:t xml:space="preserve"> </w:t>
      </w:r>
      <w:r w:rsidR="00743D9D">
        <w:t xml:space="preserve">Given this, there is no reason to require stakeholders to </w:t>
      </w:r>
      <w:r>
        <w:t>fully build out, vet, and vot</w:t>
      </w:r>
      <w:r w:rsidR="00743D9D">
        <w:t>e</w:t>
      </w:r>
      <w:r>
        <w:t xml:space="preserve"> on DRRS+ </w:t>
      </w:r>
      <w:r w:rsidR="00743D9D">
        <w:t>without</w:t>
      </w:r>
      <w:r>
        <w:t xml:space="preserve"> Commission </w:t>
      </w:r>
      <w:r w:rsidR="00743D9D">
        <w:t>instruction</w:t>
      </w:r>
      <w:r>
        <w:t>.</w:t>
      </w:r>
    </w:p>
    <w:p w14:paraId="567DCE3A" w14:textId="79A89E36" w:rsidR="005127B1" w:rsidRPr="003C4E58" w:rsidRDefault="00E46221" w:rsidP="00132937">
      <w:pPr>
        <w:pStyle w:val="NormalArial"/>
        <w:numPr>
          <w:ilvl w:val="0"/>
          <w:numId w:val="4"/>
        </w:numPr>
        <w:tabs>
          <w:tab w:val="left" w:pos="1080"/>
        </w:tabs>
        <w:spacing w:after="120"/>
        <w:jc w:val="both"/>
        <w:rPr>
          <w:b/>
          <w:bCs/>
        </w:rPr>
      </w:pPr>
      <w:r>
        <w:rPr>
          <w:b/>
          <w:bCs/>
        </w:rPr>
        <w:t>Stakeholder vetting of</w:t>
      </w:r>
      <w:r w:rsidR="00FD3FED">
        <w:rPr>
          <w:b/>
          <w:bCs/>
        </w:rPr>
        <w:t xml:space="preserve"> </w:t>
      </w:r>
      <w:r w:rsidR="00CB70FE" w:rsidRPr="006C2D2E">
        <w:rPr>
          <w:b/>
          <w:bCs/>
        </w:rPr>
        <w:t xml:space="preserve">NPRR1310 </w:t>
      </w:r>
      <w:r w:rsidR="00FD3FED">
        <w:rPr>
          <w:b/>
          <w:bCs/>
        </w:rPr>
        <w:t>is premature</w:t>
      </w:r>
      <w:r w:rsidR="008D4CFF">
        <w:rPr>
          <w:b/>
          <w:bCs/>
        </w:rPr>
        <w:t xml:space="preserve"> </w:t>
      </w:r>
      <w:r w:rsidR="000035B5">
        <w:rPr>
          <w:b/>
          <w:bCs/>
        </w:rPr>
        <w:t xml:space="preserve">and </w:t>
      </w:r>
      <w:r w:rsidR="00FD3FED">
        <w:rPr>
          <w:b/>
          <w:bCs/>
        </w:rPr>
        <w:t>unnecessary</w:t>
      </w:r>
      <w:r w:rsidR="000035B5">
        <w:rPr>
          <w:b/>
          <w:bCs/>
        </w:rPr>
        <w:t xml:space="preserve"> to meet the Commission’s directive for optionality</w:t>
      </w:r>
      <w:r w:rsidR="00CB70FE" w:rsidRPr="006C2D2E">
        <w:rPr>
          <w:b/>
          <w:bCs/>
        </w:rPr>
        <w:t xml:space="preserve">.  </w:t>
      </w:r>
    </w:p>
    <w:p w14:paraId="7B45EE6D" w14:textId="25A4BC64" w:rsidR="00FD3FED" w:rsidRDefault="00E2189E" w:rsidP="00933D8B">
      <w:pPr>
        <w:pStyle w:val="BodyText"/>
      </w:pPr>
      <w:r w:rsidRPr="00443673">
        <w:t xml:space="preserve">NPRR1310 </w:t>
      </w:r>
      <w:r w:rsidR="00E46221">
        <w:t>would implement</w:t>
      </w:r>
      <w:r w:rsidR="00E46221" w:rsidRPr="00443673">
        <w:t xml:space="preserve"> </w:t>
      </w:r>
      <w:r w:rsidR="00E46221">
        <w:t>a</w:t>
      </w:r>
      <w:r w:rsidRPr="00443673">
        <w:t xml:space="preserve"> </w:t>
      </w:r>
      <w:r w:rsidR="00E46221">
        <w:t>“</w:t>
      </w:r>
      <w:r w:rsidR="00E07A39" w:rsidRPr="00443673">
        <w:t>r</w:t>
      </w:r>
      <w:r w:rsidRPr="00443673">
        <w:t xml:space="preserve">elease </w:t>
      </w:r>
      <w:r w:rsidR="00E07A39" w:rsidRPr="00443673">
        <w:t>f</w:t>
      </w:r>
      <w:r w:rsidRPr="00443673">
        <w:t>actor</w:t>
      </w:r>
      <w:r w:rsidR="00E46221">
        <w:t xml:space="preserve">” feature within DRRS </w:t>
      </w:r>
      <w:r w:rsidRPr="00443673">
        <w:t xml:space="preserve">that </w:t>
      </w:r>
      <w:r w:rsidR="00C552A7">
        <w:t>provides</w:t>
      </w:r>
      <w:r w:rsidR="00FD3FED">
        <w:t xml:space="preserve"> certain generators </w:t>
      </w:r>
      <w:r w:rsidR="00C552A7">
        <w:t xml:space="preserve">with </w:t>
      </w:r>
      <w:r w:rsidR="00FD3FED">
        <w:t xml:space="preserve">a </w:t>
      </w:r>
      <w:r w:rsidR="00C552A7">
        <w:t>fixed</w:t>
      </w:r>
      <w:r w:rsidR="00FD3FED" w:rsidRPr="00443673">
        <w:t xml:space="preserve"> </w:t>
      </w:r>
      <w:r w:rsidR="00E46221">
        <w:t>“resource adequacy”</w:t>
      </w:r>
      <w:r w:rsidRPr="00443673">
        <w:t xml:space="preserve"> </w:t>
      </w:r>
      <w:r w:rsidR="00FD3FED">
        <w:t>payment</w:t>
      </w:r>
      <w:r w:rsidR="00E46221">
        <w:t>.  Essentially, it allows DRRS to be used as a vehicle to make pre-determined payments to all generators in the market with certain desirable characteristics.</w:t>
      </w:r>
      <w:r w:rsidR="00FD3FED">
        <w:t xml:space="preserve">  Under NPRR1310</w:t>
      </w:r>
      <w:r w:rsidRPr="00443673">
        <w:t xml:space="preserve">, the </w:t>
      </w:r>
      <w:r w:rsidR="00C552A7">
        <w:t>r</w:t>
      </w:r>
      <w:r w:rsidRPr="00443673">
        <w:t xml:space="preserve">elease </w:t>
      </w:r>
      <w:r w:rsidR="00C552A7">
        <w:t>f</w:t>
      </w:r>
      <w:r w:rsidRPr="00443673">
        <w:t>actor will be set to zero</w:t>
      </w:r>
      <w:r w:rsidR="00FD3FED">
        <w:t xml:space="preserve"> until the Commission provides direction to set a different value.  However, NPRR1310 requires ERCOT and stakeholders to fully develop a</w:t>
      </w:r>
      <w:r w:rsidR="00E46221">
        <w:t>nd vote on a</w:t>
      </w:r>
      <w:r w:rsidR="00FD3FED">
        <w:t xml:space="preserve"> concept that can be “taken off the shelf” to satisfy any needs identified in the reliability assessment.  This is different from </w:t>
      </w:r>
      <w:r w:rsidR="00E46221">
        <w:t xml:space="preserve">providing </w:t>
      </w:r>
      <w:r w:rsidR="00FD3FED">
        <w:t xml:space="preserve">optionality; this is </w:t>
      </w:r>
      <w:r w:rsidR="00E46221">
        <w:t>an effort to ensure that the Commission only has one option</w:t>
      </w:r>
      <w:r w:rsidR="00743D9D">
        <w:t>,</w:t>
      </w:r>
      <w:r w:rsidR="00E46221">
        <w:t xml:space="preserve"> and that </w:t>
      </w:r>
      <w:r w:rsidR="00743D9D">
        <w:t xml:space="preserve">it </w:t>
      </w:r>
      <w:r w:rsidR="00E46221">
        <w:t>is DRRS+</w:t>
      </w:r>
      <w:r w:rsidR="00FD3FED">
        <w:t xml:space="preserve">.  </w:t>
      </w:r>
    </w:p>
    <w:p w14:paraId="7E09F3EF" w14:textId="3D1F9E1F" w:rsidR="00CE693B" w:rsidRPr="008F2263" w:rsidRDefault="00933D8B" w:rsidP="00933D8B">
      <w:pPr>
        <w:pStyle w:val="BodyText"/>
      </w:pPr>
      <w:r>
        <w:t xml:space="preserve">ERCOT </w:t>
      </w:r>
      <w:r w:rsidR="00FD3FED">
        <w:t>is still developing the parameters for the reliability study</w:t>
      </w:r>
      <w:r>
        <w:t xml:space="preserve">, </w:t>
      </w:r>
      <w:r w:rsidR="00FD3FED">
        <w:t xml:space="preserve">and has not </w:t>
      </w:r>
      <w:r>
        <w:t>identified whether an actual problem exists</w:t>
      </w:r>
      <w:r w:rsidR="00743D9D">
        <w:t xml:space="preserve">, much less what the most efficient options are </w:t>
      </w:r>
      <w:r w:rsidR="00743D9D">
        <w:lastRenderedPageBreak/>
        <w:t>for addressing any deficiency</w:t>
      </w:r>
      <w:r>
        <w:t xml:space="preserve">.  </w:t>
      </w:r>
      <w:r w:rsidR="00FD3FED">
        <w:t xml:space="preserve">The Commission has not provided any feedback so far on the study.  </w:t>
      </w:r>
      <w:r w:rsidRPr="00A1573C">
        <w:t>In fact, ERCOT only recently submitted its initial proposed modeling assumptions in its January 15</w:t>
      </w:r>
      <w:r w:rsidRPr="00957706">
        <w:rPr>
          <w:vertAlign w:val="superscript"/>
        </w:rPr>
        <w:t>th</w:t>
      </w:r>
      <w:r>
        <w:t xml:space="preserve"> </w:t>
      </w:r>
      <w:r w:rsidRPr="00A1573C">
        <w:t>filin</w:t>
      </w:r>
      <w:r>
        <w:t>g,</w:t>
      </w:r>
      <w:r>
        <w:rPr>
          <w:rStyle w:val="FootnoteReference"/>
        </w:rPr>
        <w:footnoteReference w:id="2"/>
      </w:r>
      <w:r>
        <w:t xml:space="preserve"> and </w:t>
      </w:r>
      <w:r w:rsidR="003F0A3F">
        <w:t>its</w:t>
      </w:r>
      <w:r>
        <w:t xml:space="preserve"> assumption</w:t>
      </w:r>
      <w:r w:rsidR="003F0A3F">
        <w:t>s</w:t>
      </w:r>
      <w:r>
        <w:t xml:space="preserve"> are subject to comments by stakeholders and the </w:t>
      </w:r>
      <w:r w:rsidR="00CD4835">
        <w:t>Independent Market Monitor (</w:t>
      </w:r>
      <w:r>
        <w:t>IMM</w:t>
      </w:r>
      <w:r w:rsidR="00CD4835">
        <w:t>)</w:t>
      </w:r>
      <w:r>
        <w:t xml:space="preserve"> before Commission approval.  As such, there is still</w:t>
      </w:r>
      <w:r w:rsidRPr="00A1573C">
        <w:t xml:space="preserve"> significant uncertainty regarding </w:t>
      </w:r>
      <w:r>
        <w:t xml:space="preserve">the </w:t>
      </w:r>
      <w:r w:rsidRPr="00A1573C">
        <w:t>reliability standard analysis</w:t>
      </w:r>
      <w:r>
        <w:t xml:space="preserve"> and its results</w:t>
      </w:r>
      <w:r w:rsidRPr="00A1573C">
        <w:t xml:space="preserve">. </w:t>
      </w:r>
      <w:r>
        <w:t xml:space="preserve"> </w:t>
      </w:r>
      <w:r w:rsidR="00CE693B" w:rsidRPr="00443673">
        <w:t xml:space="preserve">Importantly, ERCOT, Staff, and the IMM should have the discretion to recommend </w:t>
      </w:r>
      <w:r w:rsidR="00CE693B" w:rsidRPr="008F2263">
        <w:rPr>
          <w:b/>
          <w:bCs/>
          <w:i/>
          <w:iCs/>
        </w:rPr>
        <w:t>any</w:t>
      </w:r>
      <w:r w:rsidR="00CE693B" w:rsidRPr="00443673">
        <w:t xml:space="preserve"> market design changes that most effectively ensure the reliability of the ERCOT system. Similarly, the Commission should not be pigeon-holed into </w:t>
      </w:r>
      <w:r w:rsidR="00743D9D">
        <w:t>repurposing DRRS as a revenue sufficiency tool just because the stakeholders have been forced to develop it under NPRR1310</w:t>
      </w:r>
      <w:r w:rsidR="00CE693B" w:rsidRPr="00443673">
        <w:t>.</w:t>
      </w:r>
    </w:p>
    <w:p w14:paraId="75BF11E2" w14:textId="1470A2D0" w:rsidR="00443673" w:rsidRDefault="00443673" w:rsidP="00443673">
      <w:pPr>
        <w:pStyle w:val="BodyText"/>
      </w:pPr>
      <w:r w:rsidRPr="00CE693B">
        <w:t>TIEC acknowledges that the Commission instructed ERCOT to maintain the flexibility to adjust the DRRS mechanics in the future.  However,</w:t>
      </w:r>
      <w:r>
        <w:t xml:space="preserve"> moving forward with NPRR1309 still provides </w:t>
      </w:r>
      <w:r w:rsidR="00DB72EE">
        <w:t xml:space="preserve">this </w:t>
      </w:r>
      <w:r>
        <w:t>optionality.  When presenting both NPRRs to the Commission, ERCOT explained that even if both NPRRs were adopted, it is not developing both NPRRs independently.  ERCOT will develop NPRR1309, and then NPRR1310 “adds on top of that” without significant work.</w:t>
      </w:r>
      <w:r>
        <w:rPr>
          <w:rStyle w:val="FootnoteReference"/>
        </w:rPr>
        <w:footnoteReference w:id="3"/>
      </w:r>
      <w:r>
        <w:t xml:space="preserve">  While </w:t>
      </w:r>
      <w:r w:rsidR="0096369C">
        <w:t xml:space="preserve">ERCOT claims it will be </w:t>
      </w:r>
      <w:r>
        <w:t xml:space="preserve">easier and cheaper to design DRRS with the release factor, the concepts in NPRR1310 can be </w:t>
      </w:r>
      <w:r w:rsidR="00DB72EE">
        <w:t xml:space="preserve">incrementally </w:t>
      </w:r>
      <w:r>
        <w:t xml:space="preserve">added </w:t>
      </w:r>
      <w:proofErr w:type="gramStart"/>
      <w:r>
        <w:t>at a later time</w:t>
      </w:r>
      <w:proofErr w:type="gramEnd"/>
      <w:r w:rsidR="00DB72EE">
        <w:t>.  This</w:t>
      </w:r>
      <w:r>
        <w:t xml:space="preserve"> gives the Commission the optionality it requested.</w:t>
      </w:r>
      <w:r w:rsidR="00743D9D">
        <w:t xml:space="preserve"> </w:t>
      </w:r>
      <w:r w:rsidR="00DB72EE">
        <w:t xml:space="preserve"> </w:t>
      </w:r>
      <w:r>
        <w:t xml:space="preserve">Moving forward with NPRR1309 </w:t>
      </w:r>
      <w:r w:rsidR="00DB72EE">
        <w:t xml:space="preserve">and tabling NPRR1310 </w:t>
      </w:r>
      <w:r>
        <w:t xml:space="preserve">provides an operational foundation without pre-committing stakeholders to an “always-on” availability payment or a release-factor construct </w:t>
      </w:r>
      <w:r w:rsidR="00DB72EE">
        <w:t xml:space="preserve">when the </w:t>
      </w:r>
      <w:r>
        <w:t xml:space="preserve">policy </w:t>
      </w:r>
      <w:r w:rsidR="00DB72EE">
        <w:t>implications</w:t>
      </w:r>
      <w:r>
        <w:t xml:space="preserve">, costs, and benefits have not yet been calibrated.  In practical terms, </w:t>
      </w:r>
      <w:r w:rsidR="00DB72EE">
        <w:t xml:space="preserve">NPRR1309 </w:t>
      </w:r>
      <w:r>
        <w:t>delivers immediate reliability value tied to uncertainty and RUC mitigation</w:t>
      </w:r>
      <w:r w:rsidR="00DB72EE">
        <w:t>—and complies with HB 1500—</w:t>
      </w:r>
      <w:r>
        <w:t>while keeping the market’s core pricing signals intact.</w:t>
      </w:r>
    </w:p>
    <w:p w14:paraId="51CDEB13" w14:textId="33F35B68" w:rsidR="00CE693B" w:rsidRPr="0086503B" w:rsidRDefault="00443673" w:rsidP="005A3B92">
      <w:pPr>
        <w:pStyle w:val="BodyText"/>
        <w:rPr>
          <w:highlight w:val="yellow"/>
        </w:rPr>
      </w:pPr>
      <w:r>
        <w:t xml:space="preserve">Importantly, </w:t>
      </w:r>
      <w:r w:rsidR="00DB72EE">
        <w:t xml:space="preserve">having </w:t>
      </w:r>
      <w:r>
        <w:t>NPRR1310</w:t>
      </w:r>
      <w:r w:rsidR="00DB72EE">
        <w:t xml:space="preserve"> under active consideration is likely to chill market activity, as we have seen in the past</w:t>
      </w:r>
      <w:r w:rsidR="00CE693B" w:rsidRPr="005A3B92">
        <w:t xml:space="preserve">. </w:t>
      </w:r>
      <w:r w:rsidR="00DB72EE">
        <w:t xml:space="preserve"> </w:t>
      </w:r>
      <w:r w:rsidR="007A712F">
        <w:t xml:space="preserve">Market uncertainty is the biggest deterrent to future </w:t>
      </w:r>
      <w:r w:rsidR="007A712F">
        <w:lastRenderedPageBreak/>
        <w:t xml:space="preserve">investment.  </w:t>
      </w:r>
      <w:r w:rsidR="0082192A" w:rsidRPr="005A3B92">
        <w:t>NPRR1310</w:t>
      </w:r>
      <w:r w:rsidR="00DB72EE">
        <w:t xml:space="preserve"> states</w:t>
      </w:r>
      <w:r w:rsidR="0082192A" w:rsidRPr="005A3B92">
        <w:t xml:space="preserve"> that Commission direction is required before </w:t>
      </w:r>
      <w:r w:rsidR="00384CF6" w:rsidRPr="005A3B92">
        <w:t xml:space="preserve">the release factor </w:t>
      </w:r>
      <w:r w:rsidR="00DB72EE">
        <w:t>will be</w:t>
      </w:r>
      <w:r w:rsidR="00DB72EE" w:rsidRPr="005A3B92">
        <w:t xml:space="preserve"> </w:t>
      </w:r>
      <w:r w:rsidR="00384CF6" w:rsidRPr="005A3B92">
        <w:t xml:space="preserve">set above 0, </w:t>
      </w:r>
      <w:r w:rsidR="00DB72EE">
        <w:t xml:space="preserve">but while stakeholders are being forced to </w:t>
      </w:r>
      <w:r w:rsidR="007A712F">
        <w:t>actively</w:t>
      </w:r>
      <w:r w:rsidR="007A712F" w:rsidRPr="005A3B92">
        <w:t xml:space="preserve"> </w:t>
      </w:r>
      <w:r w:rsidR="00384CF6" w:rsidRPr="005A3B92">
        <w:t xml:space="preserve">design and </w:t>
      </w:r>
      <w:r w:rsidR="007A712F">
        <w:t xml:space="preserve">debate </w:t>
      </w:r>
      <w:r w:rsidR="00DB72EE">
        <w:t xml:space="preserve">this </w:t>
      </w:r>
      <w:r w:rsidR="00384CF6" w:rsidRPr="005A3B92">
        <w:t>NPRR</w:t>
      </w:r>
      <w:r w:rsidR="00933F3E">
        <w:t>,</w:t>
      </w:r>
      <w:r w:rsidR="007A712F">
        <w:t xml:space="preserve"> the market will wait to see the resolution.  </w:t>
      </w:r>
      <w:r w:rsidR="00FC64C4">
        <w:t xml:space="preserve">As Chairman Gleeson pointed out when there were rounds of discussion about the </w:t>
      </w:r>
      <w:r>
        <w:t>Performance Credit Mechanism (PCM)</w:t>
      </w:r>
      <w:r w:rsidR="00FC64C4">
        <w:t>, companies waited to develop or finalize their projects until there was more certainty around the outcome of the PCM.</w:t>
      </w:r>
      <w:r w:rsidR="00FC64C4">
        <w:rPr>
          <w:rStyle w:val="FootnoteReference"/>
        </w:rPr>
        <w:footnoteReference w:id="4"/>
      </w:r>
      <w:r w:rsidR="00FC64C4">
        <w:t xml:space="preserve">  Implementing NPRR1310 when there are so many unknowns would likely lead to a similar situation.  </w:t>
      </w:r>
      <w:r w:rsidR="00EA1B26" w:rsidRPr="005A3B92">
        <w:t>Developers may delay investment decisions until it is clear whether the Commission will use the release factor</w:t>
      </w:r>
      <w:r w:rsidR="003E09EC">
        <w:t xml:space="preserve"> or not</w:t>
      </w:r>
      <w:r w:rsidR="00EA1B26" w:rsidRPr="005A3B92">
        <w:t xml:space="preserve">.  Alternatively, </w:t>
      </w:r>
      <w:r w:rsidR="00D05B07" w:rsidRPr="005A3B92">
        <w:t>companies with existing fleets</w:t>
      </w:r>
      <w:r w:rsidR="00EA1B26" w:rsidRPr="005A3B92">
        <w:t xml:space="preserve"> may condition further development on the </w:t>
      </w:r>
      <w:r w:rsidR="00D05B07" w:rsidRPr="005A3B92">
        <w:t>use</w:t>
      </w:r>
      <w:r w:rsidR="00EA1B26" w:rsidRPr="005A3B92">
        <w:t xml:space="preserve"> of the release factor, similar to </w:t>
      </w:r>
      <w:r w:rsidR="00F85E2F" w:rsidRPr="005A3B92">
        <w:t>some of the announcements in 2023 following the initial design of the PCM</w:t>
      </w:r>
      <w:r w:rsidR="007E1A6D" w:rsidRPr="005A3B92">
        <w:t xml:space="preserve"> where generators claimed </w:t>
      </w:r>
      <w:r>
        <w:t xml:space="preserve">future </w:t>
      </w:r>
      <w:r w:rsidR="0086503B">
        <w:t xml:space="preserve">generation </w:t>
      </w:r>
      <w:r w:rsidR="00FC64C4" w:rsidRPr="005A3B92">
        <w:t>development</w:t>
      </w:r>
      <w:r w:rsidR="007E1A6D" w:rsidRPr="005A3B92">
        <w:t xml:space="preserve"> was contingent on the Legislature </w:t>
      </w:r>
      <w:r w:rsidR="007A712F">
        <w:t>rejecting</w:t>
      </w:r>
      <w:r w:rsidR="007E1A6D" w:rsidRPr="005A3B92">
        <w:t xml:space="preserve"> PCM guardrails</w:t>
      </w:r>
      <w:r w:rsidR="00F85E2F" w:rsidRPr="005A3B92">
        <w:t>.</w:t>
      </w:r>
      <w:r w:rsidR="007E1A6D" w:rsidRPr="005A3B92">
        <w:rPr>
          <w:rStyle w:val="FootnoteReference"/>
        </w:rPr>
        <w:footnoteReference w:id="5"/>
      </w:r>
      <w:r w:rsidR="00F85E2F" w:rsidRPr="005A3B92">
        <w:t xml:space="preserve"> </w:t>
      </w:r>
      <w:r w:rsidR="00F85E2F" w:rsidRPr="00FC64C4">
        <w:t xml:space="preserve"> To</w:t>
      </w:r>
      <w:r w:rsidR="00F85E2F">
        <w:t xml:space="preserve"> avoid creating additional instability, it</w:t>
      </w:r>
      <w:r w:rsidR="00F85E2F" w:rsidRPr="006D1AF5">
        <w:t xml:space="preserve"> would be best </w:t>
      </w:r>
      <w:r w:rsidR="00F85E2F">
        <w:t>to wait until</w:t>
      </w:r>
      <w:r w:rsidR="00F85E2F" w:rsidRPr="006D1AF5">
        <w:t xml:space="preserve"> after </w:t>
      </w:r>
      <w:r w:rsidR="00F26DED">
        <w:t>the Commission provides direction based on the results of the reliability standard analysis</w:t>
      </w:r>
      <w:r w:rsidR="00F85E2F" w:rsidRPr="006D1AF5">
        <w:t xml:space="preserve"> before </w:t>
      </w:r>
      <w:r w:rsidR="007A712F">
        <w:t>requiring active consideration of</w:t>
      </w:r>
      <w:r w:rsidR="007A712F" w:rsidRPr="006D1AF5">
        <w:t xml:space="preserve"> </w:t>
      </w:r>
      <w:r w:rsidR="00F85E2F" w:rsidRPr="006D1AF5">
        <w:t>any major market design</w:t>
      </w:r>
      <w:r w:rsidR="007A712F">
        <w:t xml:space="preserve"> changes</w:t>
      </w:r>
      <w:r w:rsidR="00F85E2F" w:rsidRPr="006D1AF5">
        <w:t>.</w:t>
      </w:r>
    </w:p>
    <w:p w14:paraId="6118E723" w14:textId="220AB47F" w:rsidR="00443673" w:rsidRDefault="00443673" w:rsidP="003E09EC">
      <w:pPr>
        <w:pStyle w:val="NormalArial"/>
        <w:numPr>
          <w:ilvl w:val="0"/>
          <w:numId w:val="4"/>
        </w:numPr>
        <w:tabs>
          <w:tab w:val="left" w:pos="1080"/>
        </w:tabs>
        <w:spacing w:after="120"/>
        <w:jc w:val="both"/>
      </w:pPr>
      <w:r>
        <w:rPr>
          <w:b/>
          <w:bCs/>
        </w:rPr>
        <w:t>The release factor</w:t>
      </w:r>
      <w:r w:rsidRPr="00AE4656">
        <w:rPr>
          <w:b/>
          <w:bCs/>
        </w:rPr>
        <w:t xml:space="preserve"> is an arbitrary wealth transfer from loads to generators</w:t>
      </w:r>
      <w:r>
        <w:rPr>
          <w:b/>
          <w:bCs/>
        </w:rPr>
        <w:t xml:space="preserve"> that will likely hurt the reliability of the system</w:t>
      </w:r>
      <w:r w:rsidRPr="006C2D2E">
        <w:rPr>
          <w:b/>
          <w:bCs/>
        </w:rPr>
        <w:t xml:space="preserve">.  </w:t>
      </w:r>
    </w:p>
    <w:p w14:paraId="1368189D" w14:textId="504A0977" w:rsidR="00443673" w:rsidRDefault="00443673" w:rsidP="00443673">
      <w:pPr>
        <w:pStyle w:val="BodyText"/>
      </w:pPr>
      <w:r>
        <w:t xml:space="preserve">Based on the information provided regarding NPRR1310, </w:t>
      </w:r>
      <w:r w:rsidRPr="00F63DE3">
        <w:t xml:space="preserve">TIEC has serious concerns </w:t>
      </w:r>
      <w:r w:rsidR="00724420">
        <w:t>about</w:t>
      </w:r>
      <w:r w:rsidR="00724420" w:rsidRPr="00F63DE3">
        <w:t xml:space="preserve"> </w:t>
      </w:r>
      <w:r w:rsidRPr="00F63DE3">
        <w:t xml:space="preserve">the proposed </w:t>
      </w:r>
      <w:r>
        <w:t>r</w:t>
      </w:r>
      <w:r w:rsidRPr="00F63DE3">
        <w:t xml:space="preserve">elease </w:t>
      </w:r>
      <w:r>
        <w:t>f</w:t>
      </w:r>
      <w:r w:rsidRPr="00F63DE3">
        <w:t>actor</w:t>
      </w:r>
      <w:r>
        <w:t xml:space="preserve">.  Currently, it is designed </w:t>
      </w:r>
      <w:r w:rsidRPr="00F63DE3">
        <w:t>a</w:t>
      </w:r>
      <w:r>
        <w:t>s</w:t>
      </w:r>
      <w:r w:rsidRPr="00F63DE3">
        <w:t xml:space="preserve"> a flat daily $10/MW/h requirement applied to reserves procured beyond the </w:t>
      </w:r>
      <w:r>
        <w:t>operational reserve</w:t>
      </w:r>
      <w:r w:rsidRPr="00F63DE3">
        <w:t xml:space="preserve"> requirement</w:t>
      </w:r>
      <w:r>
        <w:t xml:space="preserve">.  </w:t>
      </w:r>
      <w:r w:rsidRPr="00183B65">
        <w:t xml:space="preserve">ERCOT </w:t>
      </w:r>
      <w:r>
        <w:t>explained</w:t>
      </w:r>
      <w:r w:rsidRPr="00183B65">
        <w:t xml:space="preserve"> during the </w:t>
      </w:r>
      <w:r w:rsidR="0044179B">
        <w:t xml:space="preserve">first DRRS </w:t>
      </w:r>
      <w:r>
        <w:t>W</w:t>
      </w:r>
      <w:r w:rsidRPr="00183B65">
        <w:t xml:space="preserve">orkshop that </w:t>
      </w:r>
      <w:r>
        <w:t>this</w:t>
      </w:r>
      <w:r w:rsidRPr="00183B65">
        <w:t xml:space="preserve"> contemplated $10</w:t>
      </w:r>
      <w:r>
        <w:t>/MW/h</w:t>
      </w:r>
      <w:r w:rsidRPr="00183B65">
        <w:t xml:space="preserve"> requirement was intended “as a flat payment for every hour of every year,” </w:t>
      </w:r>
      <w:r w:rsidRPr="00183B65">
        <w:lastRenderedPageBreak/>
        <w:t>conceptually reflective of resource adequacy support and “loosely” related to a</w:t>
      </w:r>
      <w:r>
        <w:t xml:space="preserve"> “</w:t>
      </w:r>
      <w:r w:rsidRPr="00183B65">
        <w:t>CONE-like</w:t>
      </w:r>
      <w:r w:rsidR="009330B5">
        <w:t>”</w:t>
      </w:r>
      <w:r w:rsidRPr="00183B65">
        <w:t xml:space="preserve"> concept, though not exactly CONE.</w:t>
      </w:r>
      <w:r>
        <w:rPr>
          <w:rStyle w:val="FootnoteReference"/>
        </w:rPr>
        <w:footnoteReference w:id="6"/>
      </w:r>
      <w:r w:rsidRPr="00183B65">
        <w:t xml:space="preserve"> </w:t>
      </w:r>
      <w:r>
        <w:t xml:space="preserve"> While ERCOT acknowledged that $10/MW/h is only a starting point </w:t>
      </w:r>
      <w:r w:rsidR="009330B5">
        <w:t xml:space="preserve">open to </w:t>
      </w:r>
      <w:r>
        <w:t xml:space="preserve">discussion, creating a flat charge during every interval, regardless </w:t>
      </w:r>
      <w:r w:rsidR="0062401D">
        <w:t xml:space="preserve">of </w:t>
      </w:r>
      <w:r w:rsidR="007A712F">
        <w:t>reliability status</w:t>
      </w:r>
      <w:r>
        <w:t xml:space="preserve">, will function as an </w:t>
      </w:r>
      <w:r w:rsidR="007A712F">
        <w:t xml:space="preserve">arbitrary, </w:t>
      </w:r>
      <w:r>
        <w:t xml:space="preserve">administrative transfer of wealth from consumers to </w:t>
      </w:r>
      <w:r w:rsidR="007A712F">
        <w:t>generators</w:t>
      </w:r>
      <w:r>
        <w:t xml:space="preserve">.  </w:t>
      </w:r>
      <w:r w:rsidRPr="00F63DE3">
        <w:t xml:space="preserve">For loads, the charge operates as a non-voluntary </w:t>
      </w:r>
      <w:r w:rsidR="00724420">
        <w:t>electricity tax</w:t>
      </w:r>
      <w:r w:rsidR="00724420" w:rsidRPr="00F63DE3">
        <w:t xml:space="preserve"> </w:t>
      </w:r>
      <w:r w:rsidRPr="00F63DE3">
        <w:t>without an analytical rationale</w:t>
      </w:r>
      <w:r w:rsidR="007A712F">
        <w:t xml:space="preserve"> or cost justification.  </w:t>
      </w:r>
      <w:r w:rsidRPr="00F63DE3">
        <w:t xml:space="preserve">This design effectively converts </w:t>
      </w:r>
      <w:r>
        <w:t xml:space="preserve">DRRS </w:t>
      </w:r>
      <w:r w:rsidRPr="00F63DE3">
        <w:t xml:space="preserve">into a </w:t>
      </w:r>
      <w:r w:rsidR="007A712F">
        <w:t xml:space="preserve">tool that allows ERCOT to </w:t>
      </w:r>
      <w:r>
        <w:t xml:space="preserve">shift revenues </w:t>
      </w:r>
      <w:r w:rsidR="007A712F">
        <w:t>to certain generators through administrative fiat, unrelated to any actual</w:t>
      </w:r>
      <w:r w:rsidRPr="00F63DE3">
        <w:t xml:space="preserve"> risk reduction</w:t>
      </w:r>
      <w:r w:rsidR="007A712F">
        <w:t xml:space="preserve"> or reliability improvement</w:t>
      </w:r>
      <w:r>
        <w:t>.</w:t>
      </w:r>
    </w:p>
    <w:p w14:paraId="0FBA34A7" w14:textId="5D6522C6" w:rsidR="002C5F13" w:rsidRDefault="007A712F" w:rsidP="0002557B">
      <w:pPr>
        <w:pStyle w:val="BodyText"/>
      </w:pPr>
      <w:r>
        <w:t xml:space="preserve">Because this fixed DRRS+ payment </w:t>
      </w:r>
      <w:r w:rsidR="00443673" w:rsidRPr="00E07A39">
        <w:t>is not linked to the marginal reliability value of additional reserves—which varies with system conditions such as load, outages, and renewable availability—it</w:t>
      </w:r>
      <w:r>
        <w:t xml:space="preserve"> </w:t>
      </w:r>
      <w:proofErr w:type="gramStart"/>
      <w:r>
        <w:t>actually</w:t>
      </w:r>
      <w:r w:rsidR="00443673" w:rsidRPr="00E07A39">
        <w:t xml:space="preserve"> risks</w:t>
      </w:r>
      <w:proofErr w:type="gramEnd"/>
      <w:r w:rsidR="00443673" w:rsidRPr="00E07A39">
        <w:t xml:space="preserve"> </w:t>
      </w:r>
      <w:r w:rsidR="00443673" w:rsidRPr="0062401D">
        <w:rPr>
          <w:b/>
          <w:bCs/>
          <w:i/>
          <w:iCs/>
        </w:rPr>
        <w:t>undermining</w:t>
      </w:r>
      <w:r w:rsidR="00443673" w:rsidRPr="00E07A39">
        <w:t xml:space="preserve"> market signals by increasing generator revenues </w:t>
      </w:r>
      <w:r>
        <w:t xml:space="preserve">independent of </w:t>
      </w:r>
      <w:r w:rsidR="00443673" w:rsidRPr="00E07A39">
        <w:t xml:space="preserve">any reliability need.  Under NPRR1310, loads would fund a </w:t>
      </w:r>
      <w:r>
        <w:t>constant fixed</w:t>
      </w:r>
      <w:r w:rsidR="00443673" w:rsidRPr="00E07A39">
        <w:t xml:space="preserve"> charge even in hours when operational requirements do not warrant it, producing an outcome that is decoupled from system conditions. </w:t>
      </w:r>
      <w:r w:rsidR="00443673" w:rsidRPr="00E07A39" w:rsidDel="00A05DCA">
        <w:t xml:space="preserve"> </w:t>
      </w:r>
      <w:r w:rsidR="00443673" w:rsidRPr="00E07A39">
        <w:t xml:space="preserve">Increasing revenues across all intervals deteriorates generators’ performance incentives by reducing the amount of their revenues that are earned by being available when it matters, and paying them instead for just “existing.”  This will raise consumer costs </w:t>
      </w:r>
      <w:r w:rsidR="003D4E1F">
        <w:t xml:space="preserve">while potentially </w:t>
      </w:r>
      <w:r w:rsidR="003D4E1F">
        <w:rPr>
          <w:b/>
          <w:bCs/>
          <w:i/>
          <w:iCs/>
        </w:rPr>
        <w:t>reducing</w:t>
      </w:r>
      <w:r w:rsidR="00443673" w:rsidRPr="00E07A39">
        <w:t xml:space="preserve"> reliability.  As an example, if there </w:t>
      </w:r>
      <w:proofErr w:type="gramStart"/>
      <w:r w:rsidR="00443673" w:rsidRPr="00E07A39">
        <w:t>is</w:t>
      </w:r>
      <w:proofErr w:type="gramEnd"/>
      <w:r w:rsidR="00443673" w:rsidRPr="00E07A39">
        <w:t xml:space="preserve"> a flat $10 demand curve and significant payments are made during off-peak hours to resources that are not actually needed at that time, it does not lead to </w:t>
      </w:r>
      <w:r w:rsidR="00443673">
        <w:t xml:space="preserve">a </w:t>
      </w:r>
      <w:r w:rsidR="00443673" w:rsidRPr="00E07A39">
        <w:t xml:space="preserve">meaningful dispatch of resources for critical winter storm events.  Over time, such a </w:t>
      </w:r>
      <w:proofErr w:type="gramStart"/>
      <w:r w:rsidR="00443673" w:rsidRPr="00E07A39">
        <w:t>construct</w:t>
      </w:r>
      <w:proofErr w:type="gramEnd"/>
      <w:r w:rsidR="00443673" w:rsidRPr="00E07A39">
        <w:t xml:space="preserve"> can distort incentives, crowd out more efficient products, and undermine confidence in market outcomes.  </w:t>
      </w:r>
      <w:r w:rsidR="00443673" w:rsidRPr="00E009AE">
        <w:t>Given ERCOT’s own description that the $10 is intended to apply every hour and is “meant to…support something beyond just operational uncertainty,”</w:t>
      </w:r>
      <w:r w:rsidR="00443673" w:rsidRPr="00E009AE">
        <w:rPr>
          <w:rStyle w:val="FootnoteReference"/>
        </w:rPr>
        <w:footnoteReference w:id="7"/>
      </w:r>
      <w:r w:rsidR="00443673" w:rsidRPr="00E009AE">
        <w:t xml:space="preserve"> the proposal risks disconnecting payments from measurable </w:t>
      </w:r>
      <w:r w:rsidR="00CD4835">
        <w:lastRenderedPageBreak/>
        <w:t>R</w:t>
      </w:r>
      <w:r w:rsidR="00443673" w:rsidRPr="00E009AE">
        <w:t>eal</w:t>
      </w:r>
      <w:r w:rsidR="00443673" w:rsidRPr="00E009AE">
        <w:rPr>
          <w:rFonts w:ascii="Cambria Math" w:hAnsi="Cambria Math" w:cs="Cambria Math"/>
        </w:rPr>
        <w:t>‑</w:t>
      </w:r>
      <w:r w:rsidR="00CD4835">
        <w:t>T</w:t>
      </w:r>
      <w:r w:rsidR="00443673" w:rsidRPr="00E009AE">
        <w:t xml:space="preserve">ime reliability needs.  That disconnect is the hallmark of an arbitrary </w:t>
      </w:r>
      <w:r w:rsidR="003D4E1F">
        <w:t xml:space="preserve">wealth </w:t>
      </w:r>
      <w:r w:rsidR="00443673" w:rsidRPr="00E009AE">
        <w:t xml:space="preserve">transfer, not a </w:t>
      </w:r>
      <w:r w:rsidR="00443673" w:rsidRPr="003D4E1F">
        <w:t>cost</w:t>
      </w:r>
      <w:r w:rsidR="00443673" w:rsidRPr="003D4E1F">
        <w:rPr>
          <w:rFonts w:ascii="Cambria Math" w:hAnsi="Cambria Math" w:cs="Cambria Math"/>
        </w:rPr>
        <w:t>‑</w:t>
      </w:r>
      <w:r w:rsidR="00443673" w:rsidRPr="003D4E1F">
        <w:t>causation</w:t>
      </w:r>
      <w:r w:rsidR="003D4E1F" w:rsidRPr="002C5F13">
        <w:t xml:space="preserve"> based</w:t>
      </w:r>
      <w:r w:rsidR="00443673" w:rsidRPr="003D4E1F">
        <w:t xml:space="preserve"> </w:t>
      </w:r>
      <w:r w:rsidR="00CD4835">
        <w:t>A</w:t>
      </w:r>
      <w:r w:rsidR="00443673" w:rsidRPr="003D4E1F">
        <w:t>ncillary</w:t>
      </w:r>
      <w:r w:rsidR="00443673" w:rsidRPr="00E009AE">
        <w:t xml:space="preserve"> </w:t>
      </w:r>
      <w:r w:rsidR="00CD4835">
        <w:t>S</w:t>
      </w:r>
      <w:r w:rsidR="00443673" w:rsidRPr="00E009AE">
        <w:t>ervice charge</w:t>
      </w:r>
      <w:r w:rsidR="00443673" w:rsidRPr="00E07A39">
        <w:t>.</w:t>
      </w:r>
    </w:p>
    <w:p w14:paraId="2C1E570F" w14:textId="171F94A2" w:rsidR="004E7714" w:rsidRPr="003C4E58" w:rsidRDefault="004E7714" w:rsidP="003E09EC">
      <w:pPr>
        <w:pStyle w:val="NormalArial"/>
        <w:numPr>
          <w:ilvl w:val="0"/>
          <w:numId w:val="4"/>
        </w:numPr>
        <w:tabs>
          <w:tab w:val="left" w:pos="1080"/>
        </w:tabs>
        <w:spacing w:after="120"/>
        <w:jc w:val="both"/>
        <w:rPr>
          <w:rFonts w:cs="Arial"/>
        </w:rPr>
      </w:pPr>
      <w:r>
        <w:rPr>
          <w:b/>
          <w:bCs/>
        </w:rPr>
        <w:t xml:space="preserve">There is insufficient information to move forward with </w:t>
      </w:r>
      <w:r w:rsidR="009330B5">
        <w:rPr>
          <w:b/>
          <w:bCs/>
        </w:rPr>
        <w:t xml:space="preserve">the design of </w:t>
      </w:r>
      <w:r>
        <w:rPr>
          <w:b/>
          <w:bCs/>
        </w:rPr>
        <w:t>NPRR1310</w:t>
      </w:r>
      <w:r w:rsidRPr="006C2D2E">
        <w:rPr>
          <w:b/>
          <w:bCs/>
        </w:rPr>
        <w:t xml:space="preserve">.  </w:t>
      </w:r>
    </w:p>
    <w:p w14:paraId="52BBA1D1" w14:textId="79D82FDF" w:rsidR="00145C07" w:rsidRDefault="004A45F5" w:rsidP="005A3B92">
      <w:pPr>
        <w:pStyle w:val="BodyText"/>
      </w:pPr>
      <w:r>
        <w:t xml:space="preserve">ERCOT has not provided any analysis or quantitative data showing how the quantity of DRRS, the release factors, or the DRRS </w:t>
      </w:r>
      <w:r w:rsidR="00CD4835">
        <w:t>A</w:t>
      </w:r>
      <w:r w:rsidR="00724420">
        <w:t xml:space="preserve">ncillary </w:t>
      </w:r>
      <w:r w:rsidR="00CD4835">
        <w:t>S</w:t>
      </w:r>
      <w:r w:rsidR="00724420">
        <w:t xml:space="preserve">ervice </w:t>
      </w:r>
      <w:r w:rsidR="00CD4835">
        <w:t>D</w:t>
      </w:r>
      <w:r w:rsidR="00724420">
        <w:t xml:space="preserve">emand </w:t>
      </w:r>
      <w:r w:rsidR="00CD4835">
        <w:t>C</w:t>
      </w:r>
      <w:r w:rsidR="00724420">
        <w:t>urve (</w:t>
      </w:r>
      <w:r>
        <w:t>ASDC</w:t>
      </w:r>
      <w:r w:rsidR="00724420">
        <w:t>)</w:t>
      </w:r>
      <w:r>
        <w:t xml:space="preserve"> could impact price formation or additional revenue in the market.  </w:t>
      </w:r>
      <w:r w:rsidR="00145C07">
        <w:t xml:space="preserve">Essentially, ERCOT is asking stakeholders to evaluate this NPRR in a vacuum.  </w:t>
      </w:r>
      <w:r w:rsidR="00E67ACD">
        <w:t>D</w:t>
      </w:r>
      <w:r w:rsidR="00145C07" w:rsidRPr="004A45F5">
        <w:t>uring the Aurora Workshop, ERCOT acknowledged that it was unsure if it plans to procure 100% of eligible capacity because it will not know what the requirements are until the reliability study is complete.</w:t>
      </w:r>
      <w:r w:rsidR="00145C07" w:rsidRPr="004A45F5">
        <w:rPr>
          <w:rStyle w:val="FootnoteReference"/>
        </w:rPr>
        <w:footnoteReference w:id="8"/>
      </w:r>
      <w:r w:rsidR="00145C07" w:rsidRPr="004A45F5">
        <w:t xml:space="preserve">  Additionally, at the DRRS Workshop, ERCOT indicated that it will eventually require a separate process that will likely involve reviewing “where [ERCOT is] against a reliability standard, [to determine] what</w:t>
      </w:r>
      <w:r w:rsidR="00E810D0">
        <w:t>…</w:t>
      </w:r>
      <w:r w:rsidR="00145C07" w:rsidRPr="004A45F5">
        <w:t>incremental capacity [is] required” and to determine what procurement amounts will be require</w:t>
      </w:r>
      <w:r w:rsidR="00145C07">
        <w:t>d to support that resource adequacy outcome.</w:t>
      </w:r>
      <w:r w:rsidR="00145C07">
        <w:rPr>
          <w:rStyle w:val="FootnoteReference"/>
        </w:rPr>
        <w:footnoteReference w:id="9"/>
      </w:r>
      <w:r w:rsidR="00145C07">
        <w:t xml:space="preserve">  </w:t>
      </w:r>
      <w:r w:rsidR="00E810D0">
        <w:t xml:space="preserve">Again, this </w:t>
      </w:r>
      <w:r w:rsidR="00145C07" w:rsidRPr="00CC735C">
        <w:t>demonstrates that ERCOT is proceeding with the development of</w:t>
      </w:r>
      <w:r w:rsidR="0008726E">
        <w:t xml:space="preserve"> the </w:t>
      </w:r>
      <w:r w:rsidR="00145C07" w:rsidRPr="00CC735C">
        <w:t>release factor prior to establishing a substantiated need for it</w:t>
      </w:r>
      <w:r w:rsidR="00145C07">
        <w:t xml:space="preserve"> </w:t>
      </w:r>
      <w:r w:rsidR="0008726E">
        <w:t>or sufficient</w:t>
      </w:r>
      <w:r w:rsidR="00145C07">
        <w:t xml:space="preserve"> analysis</w:t>
      </w:r>
      <w:r w:rsidR="0008726E">
        <w:t xml:space="preserve"> for its design</w:t>
      </w:r>
      <w:r w:rsidR="00145C07" w:rsidRPr="00CC735C">
        <w:t>.</w:t>
      </w:r>
      <w:r w:rsidR="00145C07">
        <w:t xml:space="preserve">  </w:t>
      </w:r>
    </w:p>
    <w:p w14:paraId="3E41C875" w14:textId="4BE62C4F" w:rsidR="0008726E" w:rsidRDefault="0008726E" w:rsidP="005A3B92">
      <w:pPr>
        <w:pStyle w:val="BodyText"/>
      </w:pPr>
      <w:r>
        <w:t xml:space="preserve">Notably, the only real analysis that has been done around NPRR1310 comes from the Aurora study.  However, ERCOT </w:t>
      </w:r>
      <w:r w:rsidR="003D4E1F">
        <w:t>repeatedly stated during the DRRS</w:t>
      </w:r>
      <w:r>
        <w:t xml:space="preserve"> Workshop that the Aurora study is not actually representative of how NPRR1310 was ultimately designed.</w:t>
      </w:r>
      <w:r>
        <w:rPr>
          <w:rStyle w:val="FootnoteReference"/>
        </w:rPr>
        <w:footnoteReference w:id="10"/>
      </w:r>
      <w:r>
        <w:t xml:space="preserve">  The Aurora study utilized completely different mechanisms for producing the revenue, and that revenue is distributed differently.  T</w:t>
      </w:r>
      <w:r w:rsidRPr="00525E0B">
        <w:t xml:space="preserve">here is no defined demand curve consistent with the NPRR1310 design, and procurement volumes function as scaling </w:t>
      </w:r>
      <w:r w:rsidRPr="00525E0B">
        <w:lastRenderedPageBreak/>
        <w:t>factors rather than outputs of a market-based construct</w:t>
      </w:r>
      <w:r w:rsidRPr="00443673">
        <w:t xml:space="preserve">.  </w:t>
      </w:r>
      <w:r w:rsidRPr="005A3B92">
        <w:t xml:space="preserve">Without a transparent analytical bridge from the </w:t>
      </w:r>
      <w:r w:rsidR="00443673" w:rsidRPr="005A3B92">
        <w:t>Aurora analysis and the</w:t>
      </w:r>
      <w:r w:rsidRPr="005A3B92">
        <w:t xml:space="preserve"> NPRR1310 approach, it is difficult to evaluate the proposal on its merits or to determine whether it would achieve the intended reliability outcome</w:t>
      </w:r>
    </w:p>
    <w:p w14:paraId="4DD59F42" w14:textId="75B176DE" w:rsidR="00BD7258" w:rsidRDefault="00145C07" w:rsidP="00CD4835">
      <w:pPr>
        <w:pStyle w:val="BodyText"/>
      </w:pPr>
      <w:r w:rsidRPr="00145C07">
        <w:t xml:space="preserve">At </w:t>
      </w:r>
      <w:r w:rsidRPr="005A3B92">
        <w:t xml:space="preserve">present, there is no clear, testable analysis demonstrating how the </w:t>
      </w:r>
      <w:r w:rsidR="00443673">
        <w:t xml:space="preserve">NPRR1310 </w:t>
      </w:r>
      <w:r w:rsidRPr="005A3B92">
        <w:t xml:space="preserve">proposal would operate under varied market conditions, nor is there a comparative assessment against the NPRR1310 framework.  As several stakeholders suggested at the </w:t>
      </w:r>
      <w:r w:rsidR="00443673">
        <w:t>recent w</w:t>
      </w:r>
      <w:r w:rsidRPr="005A3B92">
        <w:t xml:space="preserve">orkshop, the absence of scenario-based analysis, sensitivity testing, and validation of expected outcomes makes it challenging to understand, let alone approve, the </w:t>
      </w:r>
      <w:proofErr w:type="gramStart"/>
      <w:r w:rsidRPr="005A3B92">
        <w:t>construct</w:t>
      </w:r>
      <w:proofErr w:type="gramEnd"/>
      <w:r w:rsidRPr="005A3B92">
        <w:t xml:space="preserve">.  </w:t>
      </w:r>
      <w:r w:rsidR="00795B47" w:rsidRPr="00795B47">
        <w:t xml:space="preserve">Rather than debating this feature at this stage, it would be more prudent to proceed with NPRR1309 and await the completion of the reliability assessment </w:t>
      </w:r>
      <w:r w:rsidR="0008726E">
        <w:t xml:space="preserve">and additional analyses </w:t>
      </w:r>
      <w:r w:rsidR="00795B47" w:rsidRPr="00795B47">
        <w:t xml:space="preserve">before determining whether any additional </w:t>
      </w:r>
      <w:r w:rsidR="00443673">
        <w:t xml:space="preserve">NPRR1310-style </w:t>
      </w:r>
      <w:r w:rsidR="00795B47" w:rsidRPr="00795B47">
        <w:t xml:space="preserve">features </w:t>
      </w:r>
      <w:r w:rsidR="0008726E">
        <w:t>may be</w:t>
      </w:r>
      <w:r w:rsidR="0008726E" w:rsidRPr="00795B47">
        <w:t xml:space="preserve"> </w:t>
      </w:r>
      <w:r w:rsidR="00795B47" w:rsidRPr="00795B47">
        <w:t>necessary.</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461B294A" w14:textId="77777777" w:rsidTr="00B5080A">
        <w:trPr>
          <w:trHeight w:val="350"/>
        </w:trPr>
        <w:tc>
          <w:tcPr>
            <w:tcW w:w="10440" w:type="dxa"/>
            <w:tcBorders>
              <w:bottom w:val="single" w:sz="4" w:space="0" w:color="auto"/>
            </w:tcBorders>
            <w:shd w:val="clear" w:color="auto" w:fill="FFFFFF"/>
            <w:vAlign w:val="center"/>
          </w:tcPr>
          <w:p w14:paraId="174B7D86" w14:textId="77777777" w:rsidR="00BD7258" w:rsidRDefault="00BD7258" w:rsidP="00B5080A">
            <w:pPr>
              <w:pStyle w:val="Header"/>
              <w:jc w:val="center"/>
            </w:pPr>
            <w:r>
              <w:t>Revised Cover Page Language</w:t>
            </w:r>
          </w:p>
        </w:tc>
      </w:tr>
    </w:tbl>
    <w:p w14:paraId="1BE06603" w14:textId="549B4A7E" w:rsidR="00BD7258" w:rsidRPr="00CD4835" w:rsidRDefault="009E6F56" w:rsidP="00CD4835">
      <w:pPr>
        <w:pStyle w:val="BodyText"/>
        <w:ind w:firstLine="0"/>
        <w:rPr>
          <w:bCs/>
        </w:rPr>
      </w:pPr>
      <w:r w:rsidRPr="009E6F56">
        <w:rPr>
          <w:bCs/>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D75748C" w14:textId="77777777">
        <w:trPr>
          <w:trHeight w:val="350"/>
        </w:trPr>
        <w:tc>
          <w:tcPr>
            <w:tcW w:w="10440" w:type="dxa"/>
            <w:tcBorders>
              <w:bottom w:val="single" w:sz="4" w:space="0" w:color="auto"/>
            </w:tcBorders>
            <w:shd w:val="clear" w:color="auto" w:fill="FFFFFF"/>
            <w:vAlign w:val="center"/>
          </w:tcPr>
          <w:p w14:paraId="0AB644AE" w14:textId="77777777" w:rsidR="00152993" w:rsidRDefault="00152993">
            <w:pPr>
              <w:pStyle w:val="Header"/>
              <w:jc w:val="center"/>
            </w:pPr>
            <w:r>
              <w:t>Revised Proposed Protocol Language</w:t>
            </w:r>
          </w:p>
        </w:tc>
      </w:tr>
    </w:tbl>
    <w:p w14:paraId="4967E607" w14:textId="3E415A61" w:rsidR="00152993" w:rsidRPr="009E6F56" w:rsidRDefault="009E6F56" w:rsidP="00CD4835">
      <w:pPr>
        <w:pStyle w:val="BodyText"/>
        <w:ind w:firstLine="0"/>
        <w:rPr>
          <w:bCs/>
        </w:rPr>
      </w:pPr>
      <w:r w:rsidRPr="009E6F56">
        <w:rPr>
          <w:bCs/>
        </w:rPr>
        <w:t>None.</w:t>
      </w:r>
    </w:p>
    <w:sectPr w:rsidR="00152993" w:rsidRPr="009E6F56"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8D1A" w14:textId="77777777" w:rsidR="002D1D54" w:rsidRDefault="002D1D54">
      <w:r>
        <w:separator/>
      </w:r>
    </w:p>
  </w:endnote>
  <w:endnote w:type="continuationSeparator" w:id="0">
    <w:p w14:paraId="176ADB1E" w14:textId="77777777" w:rsidR="002D1D54" w:rsidRDefault="002D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ED88" w14:textId="4C7D2A73"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CD4835">
      <w:rPr>
        <w:rFonts w:ascii="Arial" w:hAnsi="Arial"/>
        <w:noProof/>
        <w:sz w:val="18"/>
      </w:rPr>
      <w:t>1310NPRR-08 TIEC Comments 012826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29D1342D"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1FAF1" w14:textId="77777777" w:rsidR="002D1D54" w:rsidRDefault="002D1D54">
      <w:r>
        <w:separator/>
      </w:r>
    </w:p>
  </w:footnote>
  <w:footnote w:type="continuationSeparator" w:id="0">
    <w:p w14:paraId="3FC3D426" w14:textId="77777777" w:rsidR="002D1D54" w:rsidRDefault="002D1D54">
      <w:r>
        <w:continuationSeparator/>
      </w:r>
    </w:p>
  </w:footnote>
  <w:footnote w:id="1">
    <w:p w14:paraId="74080C95" w14:textId="79EF63A7" w:rsidR="00D52773" w:rsidRPr="0044179B" w:rsidRDefault="00D52773">
      <w:pPr>
        <w:pStyle w:val="FootnoteText"/>
        <w:rPr>
          <w:rFonts w:ascii="Arial" w:hAnsi="Arial" w:cs="Arial"/>
        </w:rPr>
      </w:pPr>
      <w:r w:rsidRPr="0044179B">
        <w:rPr>
          <w:rStyle w:val="FootnoteReference"/>
          <w:rFonts w:ascii="Arial" w:hAnsi="Arial" w:cs="Arial"/>
        </w:rPr>
        <w:footnoteRef/>
      </w:r>
      <w:r w:rsidRPr="0044179B">
        <w:rPr>
          <w:rFonts w:ascii="Arial" w:hAnsi="Arial" w:cs="Arial"/>
        </w:rPr>
        <w:t xml:space="preserve"> 16 TAC § 25</w:t>
      </w:r>
      <w:r w:rsidR="007D7669" w:rsidRPr="0044179B">
        <w:rPr>
          <w:rFonts w:ascii="Arial" w:hAnsi="Arial" w:cs="Arial"/>
        </w:rPr>
        <w:t>.508(c)(3)(D)</w:t>
      </w:r>
      <w:r w:rsidR="003C4E58">
        <w:rPr>
          <w:rFonts w:ascii="Arial" w:hAnsi="Arial" w:cs="Arial"/>
        </w:rPr>
        <w:t>.</w:t>
      </w:r>
    </w:p>
  </w:footnote>
  <w:footnote w:id="2">
    <w:p w14:paraId="23C0C079" w14:textId="5FC5C39B" w:rsidR="00933D8B" w:rsidRPr="0044179B" w:rsidRDefault="00933D8B" w:rsidP="00933D8B">
      <w:pPr>
        <w:pStyle w:val="FootnoteText"/>
        <w:rPr>
          <w:rFonts w:ascii="Arial" w:hAnsi="Arial" w:cs="Arial"/>
        </w:rPr>
      </w:pPr>
      <w:r w:rsidRPr="0044179B">
        <w:rPr>
          <w:rStyle w:val="FootnoteReference"/>
          <w:rFonts w:ascii="Arial" w:hAnsi="Arial" w:cs="Arial"/>
        </w:rPr>
        <w:footnoteRef/>
      </w:r>
      <w:r w:rsidRPr="0044179B">
        <w:rPr>
          <w:rFonts w:ascii="Arial" w:hAnsi="Arial" w:cs="Arial"/>
        </w:rPr>
        <w:t xml:space="preserve"> </w:t>
      </w:r>
      <w:r w:rsidRPr="0044179B">
        <w:rPr>
          <w:rFonts w:ascii="Arial" w:hAnsi="Arial" w:cs="Arial"/>
          <w:i/>
          <w:iCs/>
        </w:rPr>
        <w:t>Triennial Reliability Assessment for the ERCOT Region Under § 25.508</w:t>
      </w:r>
      <w:r w:rsidRPr="0044179B">
        <w:rPr>
          <w:rFonts w:ascii="Arial" w:hAnsi="Arial" w:cs="Arial"/>
        </w:rPr>
        <w:t>, Project No. 58777</w:t>
      </w:r>
      <w:r w:rsidR="00DB1E38" w:rsidRPr="0044179B">
        <w:rPr>
          <w:rFonts w:ascii="Arial" w:hAnsi="Arial" w:cs="Arial"/>
        </w:rPr>
        <w:t>,</w:t>
      </w:r>
      <w:r w:rsidRPr="0044179B">
        <w:rPr>
          <w:rFonts w:ascii="Arial" w:hAnsi="Arial" w:cs="Arial"/>
        </w:rPr>
        <w:t xml:space="preserve"> </w:t>
      </w:r>
      <w:r w:rsidR="00DB1E38" w:rsidRPr="0044179B">
        <w:rPr>
          <w:rFonts w:ascii="Arial" w:hAnsi="Arial" w:cs="Arial"/>
        </w:rPr>
        <w:t xml:space="preserve">ERCOT Initial Proposed Modeling Assumptions for the 2026 Reliability Assessment, </w:t>
      </w:r>
      <w:r w:rsidRPr="0044179B">
        <w:rPr>
          <w:rFonts w:ascii="Arial" w:hAnsi="Arial" w:cs="Arial"/>
        </w:rPr>
        <w:t>(available at: https://interchange.puc.texas.gov/Documents/58777_6_1575182.PDF).</w:t>
      </w:r>
    </w:p>
  </w:footnote>
  <w:footnote w:id="3">
    <w:p w14:paraId="3E1DF281" w14:textId="04FD45B4" w:rsidR="00443673" w:rsidRPr="0044179B" w:rsidRDefault="00443673" w:rsidP="00443673">
      <w:pPr>
        <w:pStyle w:val="FootnoteText"/>
        <w:rPr>
          <w:rFonts w:ascii="Arial" w:hAnsi="Arial" w:cs="Arial"/>
        </w:rPr>
      </w:pPr>
      <w:r w:rsidRPr="0044179B">
        <w:rPr>
          <w:rStyle w:val="FootnoteReference"/>
          <w:rFonts w:ascii="Arial" w:hAnsi="Arial" w:cs="Arial"/>
        </w:rPr>
        <w:footnoteRef/>
      </w:r>
      <w:r w:rsidRPr="0044179B">
        <w:rPr>
          <w:rFonts w:ascii="Arial" w:hAnsi="Arial" w:cs="Arial"/>
        </w:rPr>
        <w:t xml:space="preserve"> </w:t>
      </w:r>
      <w:proofErr w:type="spellStart"/>
      <w:r w:rsidR="00CF3615" w:rsidRPr="0044179B">
        <w:rPr>
          <w:rFonts w:ascii="Arial" w:hAnsi="Arial" w:cs="Arial"/>
        </w:rPr>
        <w:t>GridMonitor</w:t>
      </w:r>
      <w:proofErr w:type="spellEnd"/>
      <w:r w:rsidR="00CF3615" w:rsidRPr="0044179B">
        <w:rPr>
          <w:rFonts w:ascii="Arial" w:hAnsi="Arial" w:cs="Arial"/>
        </w:rPr>
        <w:t>, Meeting of the Public Utility Commission of Texas at 1:29:16-1:30:11 (Nov. 14, 2026)(</w:t>
      </w:r>
      <w:r w:rsidR="005C44B4" w:rsidRPr="0044179B">
        <w:rPr>
          <w:rFonts w:ascii="Arial" w:hAnsi="Arial" w:cs="Arial"/>
        </w:rPr>
        <w:t xml:space="preserve">available at: </w:t>
      </w:r>
      <w:r w:rsidR="00C72D45" w:rsidRPr="0044179B">
        <w:rPr>
          <w:rFonts w:ascii="Arial" w:hAnsi="Arial" w:cs="Arial"/>
        </w:rPr>
        <w:t>https://dash2.gridmonitor.com/sharing/?token=78194eea-b896-43b4-8a27-21a4d2b2a575</w:t>
      </w:r>
      <w:r w:rsidR="00CF3615" w:rsidRPr="0044179B">
        <w:rPr>
          <w:rFonts w:ascii="Arial" w:hAnsi="Arial" w:cs="Arial"/>
        </w:rPr>
        <w:t>).</w:t>
      </w:r>
    </w:p>
  </w:footnote>
  <w:footnote w:id="4">
    <w:p w14:paraId="53721DFF" w14:textId="0367C2D1" w:rsidR="00FC64C4" w:rsidRPr="0044179B" w:rsidRDefault="00FC64C4" w:rsidP="00FC64C4">
      <w:pPr>
        <w:pStyle w:val="FootnoteText"/>
        <w:rPr>
          <w:rFonts w:ascii="Arial" w:hAnsi="Arial" w:cs="Arial"/>
        </w:rPr>
      </w:pPr>
      <w:r w:rsidRPr="0044179B">
        <w:rPr>
          <w:rStyle w:val="FootnoteReference"/>
          <w:rFonts w:ascii="Arial" w:hAnsi="Arial" w:cs="Arial"/>
        </w:rPr>
        <w:footnoteRef/>
      </w:r>
      <w:r w:rsidRPr="0044179B">
        <w:rPr>
          <w:rFonts w:ascii="Arial" w:hAnsi="Arial" w:cs="Arial"/>
        </w:rPr>
        <w:t xml:space="preserve"> </w:t>
      </w:r>
      <w:proofErr w:type="spellStart"/>
      <w:r w:rsidR="005C44B4" w:rsidRPr="0044179B">
        <w:rPr>
          <w:rFonts w:ascii="Arial" w:hAnsi="Arial" w:cs="Arial"/>
        </w:rPr>
        <w:t>GridMonitor</w:t>
      </w:r>
      <w:proofErr w:type="spellEnd"/>
      <w:r w:rsidR="005C44B4" w:rsidRPr="0044179B">
        <w:rPr>
          <w:rFonts w:ascii="Arial" w:hAnsi="Arial" w:cs="Arial"/>
        </w:rPr>
        <w:t>, Meeting of the Public Utility Commission of Texas at 1:26:37-1:27:29</w:t>
      </w:r>
      <w:r w:rsidRPr="0044179B">
        <w:rPr>
          <w:rFonts w:ascii="Arial" w:hAnsi="Arial" w:cs="Arial"/>
        </w:rPr>
        <w:t xml:space="preserve"> </w:t>
      </w:r>
      <w:r w:rsidR="005C44B4" w:rsidRPr="0044179B">
        <w:rPr>
          <w:rFonts w:ascii="Arial" w:hAnsi="Arial" w:cs="Arial"/>
        </w:rPr>
        <w:t>(Nov. 14, 2026)(available at: https://dash2.gridmonitor.com/sharing/?token=a3595dc4-7fba-4d65-a795-f7fcf17d6c0a).</w:t>
      </w:r>
    </w:p>
  </w:footnote>
  <w:footnote w:id="5">
    <w:p w14:paraId="38FE7F5B" w14:textId="2814C09D" w:rsidR="007E1A6D" w:rsidRPr="0044179B" w:rsidRDefault="007E1A6D">
      <w:pPr>
        <w:pStyle w:val="FootnoteText"/>
        <w:rPr>
          <w:rFonts w:ascii="Arial" w:hAnsi="Arial" w:cs="Arial"/>
        </w:rPr>
      </w:pPr>
      <w:r w:rsidRPr="0044179B">
        <w:rPr>
          <w:rStyle w:val="FootnoteReference"/>
          <w:rFonts w:ascii="Arial" w:hAnsi="Arial" w:cs="Arial"/>
        </w:rPr>
        <w:footnoteRef/>
      </w:r>
      <w:r w:rsidRPr="0044179B">
        <w:rPr>
          <w:rFonts w:ascii="Arial" w:hAnsi="Arial" w:cs="Arial"/>
        </w:rPr>
        <w:t xml:space="preserve">  </w:t>
      </w:r>
      <w:r w:rsidRPr="0044179B">
        <w:rPr>
          <w:rFonts w:ascii="Arial" w:hAnsi="Arial" w:cs="Arial"/>
          <w:i/>
          <w:iCs/>
        </w:rPr>
        <w:t>See</w:t>
      </w:r>
      <w:r w:rsidR="00FC64C4" w:rsidRPr="0044179B">
        <w:rPr>
          <w:rFonts w:ascii="Arial" w:hAnsi="Arial" w:cs="Arial"/>
          <w:i/>
          <w:iCs/>
        </w:rPr>
        <w:t xml:space="preserve"> e.g.,</w:t>
      </w:r>
      <w:r w:rsidRPr="0044179B">
        <w:rPr>
          <w:rFonts w:ascii="Arial" w:hAnsi="Arial" w:cs="Arial"/>
          <w:i/>
          <w:iCs/>
        </w:rPr>
        <w:t xml:space="preserve"> </w:t>
      </w:r>
      <w:r w:rsidRPr="0044179B">
        <w:rPr>
          <w:rFonts w:ascii="Arial" w:hAnsi="Arial" w:cs="Arial"/>
        </w:rPr>
        <w:t xml:space="preserve">Calpine, </w:t>
      </w:r>
      <w:r w:rsidRPr="0044179B">
        <w:rPr>
          <w:rFonts w:ascii="Arial" w:hAnsi="Arial" w:cs="Arial"/>
          <w:i/>
          <w:iCs/>
        </w:rPr>
        <w:t>Calpine Affirms Ambitious Texas Power Development Program</w:t>
      </w:r>
      <w:r w:rsidRPr="0044179B">
        <w:rPr>
          <w:rFonts w:ascii="Arial" w:hAnsi="Arial" w:cs="Arial"/>
        </w:rPr>
        <w:t xml:space="preserve"> (April 12, 2023) (available at: </w:t>
      </w:r>
      <w:hyperlink r:id="rId1" w:history="1">
        <w:r w:rsidRPr="0044179B">
          <w:rPr>
            <w:rStyle w:val="Hyperlink"/>
            <w:rFonts w:ascii="Arial" w:hAnsi="Arial" w:cs="Arial"/>
          </w:rPr>
          <w:t>https://www.calpine.com/calpine-affirms-ambitious-texas-power-development-program/</w:t>
        </w:r>
      </w:hyperlink>
      <w:r w:rsidRPr="0044179B">
        <w:rPr>
          <w:rFonts w:ascii="Arial" w:hAnsi="Arial" w:cs="Arial"/>
        </w:rPr>
        <w:t xml:space="preserve">)(announcing a new 425 MW gas-fired power plant with the hopes that the Legislature would not intervene); NRG, </w:t>
      </w:r>
      <w:r w:rsidRPr="0044179B">
        <w:rPr>
          <w:rFonts w:ascii="Arial" w:hAnsi="Arial" w:cs="Arial"/>
          <w:i/>
          <w:iCs/>
        </w:rPr>
        <w:t>Power Texas</w:t>
      </w:r>
      <w:r w:rsidRPr="0044179B">
        <w:rPr>
          <w:rFonts w:ascii="Arial" w:hAnsi="Arial" w:cs="Arial"/>
        </w:rPr>
        <w:t xml:space="preserve"> (April 18, 2023) </w:t>
      </w:r>
      <w:r w:rsidR="00FC64C4" w:rsidRPr="0044179B">
        <w:rPr>
          <w:rFonts w:ascii="Arial" w:hAnsi="Arial" w:cs="Arial"/>
        </w:rPr>
        <w:t xml:space="preserve">(available at: </w:t>
      </w:r>
      <w:hyperlink r:id="rId2" w:history="1">
        <w:r w:rsidR="00FC64C4" w:rsidRPr="0044179B">
          <w:rPr>
            <w:rStyle w:val="Hyperlink"/>
            <w:rFonts w:ascii="Arial" w:hAnsi="Arial" w:cs="Arial"/>
          </w:rPr>
          <w:t>https://www.nrg.com/assets/documents/energy-policy/2023-ERCOT-Development-One-Pager4-18-23_Final.pdf?utm_source=chatgpt.com</w:t>
        </w:r>
      </w:hyperlink>
      <w:r w:rsidR="00FC64C4" w:rsidRPr="0044179B">
        <w:rPr>
          <w:rFonts w:ascii="Arial" w:hAnsi="Arial" w:cs="Arial"/>
        </w:rPr>
        <w:t xml:space="preserve">) </w:t>
      </w:r>
      <w:r w:rsidRPr="0044179B">
        <w:rPr>
          <w:rFonts w:ascii="Arial" w:hAnsi="Arial" w:cs="Arial"/>
        </w:rPr>
        <w:t>(announcing a new 689 MW gas generating unit contingent on the Legislature reaffirming its support for a functional PCM)</w:t>
      </w:r>
      <w:r w:rsidR="00FC64C4" w:rsidRPr="0044179B">
        <w:rPr>
          <w:rFonts w:ascii="Arial" w:hAnsi="Arial" w:cs="Arial"/>
        </w:rPr>
        <w:t xml:space="preserve">; Vistra, </w:t>
      </w:r>
      <w:r w:rsidR="00FC64C4" w:rsidRPr="0044179B">
        <w:rPr>
          <w:rFonts w:ascii="Arial" w:hAnsi="Arial" w:cs="Arial"/>
          <w:i/>
          <w:iCs/>
        </w:rPr>
        <w:t>Vistra Announces Plans to Add up to 2,000 MW of Gas-Fueled Dispatchable Power in ERCOT</w:t>
      </w:r>
      <w:r w:rsidR="00FC64C4" w:rsidRPr="0044179B">
        <w:rPr>
          <w:rFonts w:ascii="Arial" w:hAnsi="Arial" w:cs="Arial"/>
        </w:rPr>
        <w:t xml:space="preserve"> (May 30, 2024) (available at: </w:t>
      </w:r>
      <w:hyperlink r:id="rId3" w:history="1">
        <w:r w:rsidR="00FC64C4" w:rsidRPr="0044179B">
          <w:rPr>
            <w:rStyle w:val="Hyperlink"/>
            <w:rFonts w:ascii="Arial" w:hAnsi="Arial" w:cs="Arial"/>
          </w:rPr>
          <w:t>https://investor.vistracorp.com/2024-05-30-Vistra-Announces-Plans-to-Add-Up-to-2,000-MW-of-Gas-Fueled-Dispatchable-Power-in-ERCOT</w:t>
        </w:r>
      </w:hyperlink>
      <w:r w:rsidR="00FC64C4" w:rsidRPr="0044179B">
        <w:rPr>
          <w:rFonts w:ascii="Arial" w:hAnsi="Arial" w:cs="Arial"/>
        </w:rPr>
        <w:t xml:space="preserve">) (announcing its new </w:t>
      </w:r>
      <w:proofErr w:type="spellStart"/>
      <w:r w:rsidR="00FC64C4" w:rsidRPr="0044179B">
        <w:rPr>
          <w:rFonts w:ascii="Arial" w:hAnsi="Arial" w:cs="Arial"/>
        </w:rPr>
        <w:t>peaker</w:t>
      </w:r>
      <w:proofErr w:type="spellEnd"/>
      <w:r w:rsidR="00FC64C4" w:rsidRPr="0044179B">
        <w:rPr>
          <w:rFonts w:ascii="Arial" w:hAnsi="Arial" w:cs="Arial"/>
        </w:rPr>
        <w:t xml:space="preserve"> plants are based on market reforms and successful implementation of the PCM, among other things). </w:t>
      </w:r>
    </w:p>
  </w:footnote>
  <w:footnote w:id="6">
    <w:p w14:paraId="2ECA465A" w14:textId="05491EEC" w:rsidR="00443673" w:rsidRPr="0044179B" w:rsidRDefault="00443673" w:rsidP="00443673">
      <w:pPr>
        <w:pStyle w:val="FootnoteText"/>
        <w:rPr>
          <w:rFonts w:ascii="Arial" w:hAnsi="Arial" w:cs="Arial"/>
        </w:rPr>
      </w:pPr>
      <w:r w:rsidRPr="0044179B">
        <w:rPr>
          <w:rStyle w:val="FootnoteReference"/>
          <w:rFonts w:ascii="Arial" w:hAnsi="Arial" w:cs="Arial"/>
        </w:rPr>
        <w:footnoteRef/>
      </w:r>
      <w:r w:rsidRPr="0044179B">
        <w:rPr>
          <w:rFonts w:ascii="Arial" w:hAnsi="Arial" w:cs="Arial"/>
        </w:rPr>
        <w:t xml:space="preserve"> </w:t>
      </w:r>
      <w:proofErr w:type="spellStart"/>
      <w:r w:rsidR="005C44B4" w:rsidRPr="0044179B">
        <w:rPr>
          <w:rFonts w:ascii="Arial" w:hAnsi="Arial" w:cs="Arial"/>
        </w:rPr>
        <w:t>GridMonitor</w:t>
      </w:r>
      <w:proofErr w:type="spellEnd"/>
      <w:r w:rsidR="005C44B4" w:rsidRPr="0044179B">
        <w:rPr>
          <w:rFonts w:ascii="Arial" w:hAnsi="Arial" w:cs="Arial"/>
        </w:rPr>
        <w:t xml:space="preserve">, </w:t>
      </w:r>
      <w:r w:rsidR="00713EA7" w:rsidRPr="0044179B">
        <w:rPr>
          <w:rFonts w:ascii="Arial" w:hAnsi="Arial" w:cs="Arial"/>
        </w:rPr>
        <w:t>TAC Dispatchable Reliability Reserve Service (DRRS) Workshop 1 at</w:t>
      </w:r>
      <w:r w:rsidRPr="0044179B">
        <w:rPr>
          <w:rFonts w:ascii="Arial" w:hAnsi="Arial" w:cs="Arial"/>
        </w:rPr>
        <w:t xml:space="preserve"> 00:51:28</w:t>
      </w:r>
      <w:r w:rsidR="00713EA7" w:rsidRPr="0044179B">
        <w:rPr>
          <w:rFonts w:ascii="Arial" w:hAnsi="Arial" w:cs="Arial"/>
        </w:rPr>
        <w:t xml:space="preserve">-00:52:19 (Jan. 7, 2026)(available at: </w:t>
      </w:r>
      <w:r w:rsidRPr="0044179B">
        <w:rPr>
          <w:rFonts w:ascii="Arial" w:hAnsi="Arial" w:cs="Arial"/>
        </w:rPr>
        <w:t>https://dash2.gridmonitor.com/pages/calendar/meeting/smart-agenda/?event_id=4923</w:t>
      </w:r>
      <w:r w:rsidR="00713EA7" w:rsidRPr="0044179B">
        <w:rPr>
          <w:rFonts w:ascii="Arial" w:hAnsi="Arial" w:cs="Arial"/>
        </w:rPr>
        <w:t>).</w:t>
      </w:r>
    </w:p>
  </w:footnote>
  <w:footnote w:id="7">
    <w:p w14:paraId="20F9BE51" w14:textId="33E573EA" w:rsidR="00443673" w:rsidRPr="0044179B" w:rsidRDefault="00443673" w:rsidP="00443673">
      <w:pPr>
        <w:pStyle w:val="FootnoteText"/>
        <w:rPr>
          <w:rFonts w:ascii="Arial" w:hAnsi="Arial" w:cs="Arial"/>
        </w:rPr>
      </w:pPr>
      <w:r w:rsidRPr="0044179B">
        <w:rPr>
          <w:rStyle w:val="FootnoteReference"/>
          <w:rFonts w:ascii="Arial" w:hAnsi="Arial" w:cs="Arial"/>
        </w:rPr>
        <w:footnoteRef/>
      </w:r>
      <w:r w:rsidRPr="0044179B">
        <w:rPr>
          <w:rFonts w:ascii="Arial" w:hAnsi="Arial" w:cs="Arial"/>
        </w:rPr>
        <w:t xml:space="preserve"> </w:t>
      </w:r>
      <w:proofErr w:type="spellStart"/>
      <w:r w:rsidR="00B7283B" w:rsidRPr="0044179B">
        <w:rPr>
          <w:rFonts w:ascii="Arial" w:hAnsi="Arial" w:cs="Arial"/>
        </w:rPr>
        <w:t>GridMonitor</w:t>
      </w:r>
      <w:proofErr w:type="spellEnd"/>
      <w:r w:rsidR="00B7283B" w:rsidRPr="0044179B">
        <w:rPr>
          <w:rFonts w:ascii="Arial" w:hAnsi="Arial" w:cs="Arial"/>
        </w:rPr>
        <w:t xml:space="preserve">, TAC Dispatchable Reliability Reserve Service (DRRS) Workshop 1 at </w:t>
      </w:r>
      <w:r w:rsidRPr="0044179B">
        <w:rPr>
          <w:rFonts w:ascii="Arial" w:hAnsi="Arial" w:cs="Arial"/>
        </w:rPr>
        <w:t>00:</w:t>
      </w:r>
      <w:r w:rsidR="00B7283B" w:rsidRPr="0044179B">
        <w:rPr>
          <w:rFonts w:ascii="Arial" w:hAnsi="Arial" w:cs="Arial"/>
        </w:rPr>
        <w:t>16</w:t>
      </w:r>
      <w:r w:rsidRPr="0044179B">
        <w:rPr>
          <w:rFonts w:ascii="Arial" w:hAnsi="Arial" w:cs="Arial"/>
        </w:rPr>
        <w:t>:</w:t>
      </w:r>
      <w:r w:rsidR="00B7283B" w:rsidRPr="0044179B">
        <w:rPr>
          <w:rFonts w:ascii="Arial" w:hAnsi="Arial" w:cs="Arial"/>
        </w:rPr>
        <w:t>09-00:16:26</w:t>
      </w:r>
      <w:r w:rsidRPr="0044179B">
        <w:rPr>
          <w:rFonts w:ascii="Arial" w:hAnsi="Arial" w:cs="Arial"/>
        </w:rPr>
        <w:t xml:space="preserve"> </w:t>
      </w:r>
      <w:r w:rsidR="00B7283B" w:rsidRPr="0044179B">
        <w:rPr>
          <w:rFonts w:ascii="Arial" w:hAnsi="Arial" w:cs="Arial"/>
        </w:rPr>
        <w:t>(Jan. 7, 2026)(available at: https://dash2.gridmonitor.com/sharing/?token=68018f09-63f9-4994-8812-3545d152f23e).</w:t>
      </w:r>
    </w:p>
  </w:footnote>
  <w:footnote w:id="8">
    <w:p w14:paraId="74384623" w14:textId="5031AD3E" w:rsidR="00145C07" w:rsidRPr="0044179B" w:rsidRDefault="00145C07" w:rsidP="00145C07">
      <w:pPr>
        <w:pStyle w:val="FootnoteText"/>
        <w:rPr>
          <w:rFonts w:ascii="Arial" w:hAnsi="Arial" w:cs="Arial"/>
        </w:rPr>
      </w:pPr>
      <w:r w:rsidRPr="0044179B">
        <w:rPr>
          <w:rStyle w:val="FootnoteReference"/>
          <w:rFonts w:ascii="Arial" w:hAnsi="Arial" w:cs="Arial"/>
        </w:rPr>
        <w:footnoteRef/>
      </w:r>
      <w:r w:rsidRPr="0044179B">
        <w:rPr>
          <w:rFonts w:ascii="Arial" w:hAnsi="Arial" w:cs="Arial"/>
        </w:rPr>
        <w:t xml:space="preserve"> </w:t>
      </w:r>
      <w:proofErr w:type="spellStart"/>
      <w:r w:rsidR="00B7283B" w:rsidRPr="0044179B">
        <w:rPr>
          <w:rFonts w:ascii="Arial" w:hAnsi="Arial" w:cs="Arial"/>
        </w:rPr>
        <w:t>GridMonitor</w:t>
      </w:r>
      <w:proofErr w:type="spellEnd"/>
      <w:r w:rsidR="00B7283B" w:rsidRPr="0044179B">
        <w:rPr>
          <w:rFonts w:ascii="Arial" w:hAnsi="Arial" w:cs="Arial"/>
        </w:rPr>
        <w:t xml:space="preserve">, </w:t>
      </w:r>
      <w:r w:rsidR="002D2573" w:rsidRPr="0044179B">
        <w:rPr>
          <w:rFonts w:ascii="Arial" w:hAnsi="Arial" w:cs="Arial"/>
        </w:rPr>
        <w:t>Aurora Energy Research</w:t>
      </w:r>
      <w:r w:rsidR="00B7283B" w:rsidRPr="0044179B">
        <w:rPr>
          <w:rFonts w:ascii="Arial" w:hAnsi="Arial" w:cs="Arial"/>
        </w:rPr>
        <w:t xml:space="preserve"> Workshop at 01:03:59-00:16:26 (</w:t>
      </w:r>
      <w:r w:rsidR="002D2573" w:rsidRPr="0044179B">
        <w:rPr>
          <w:rFonts w:ascii="Arial" w:hAnsi="Arial" w:cs="Arial"/>
        </w:rPr>
        <w:t>Dec</w:t>
      </w:r>
      <w:r w:rsidR="00B7283B" w:rsidRPr="0044179B">
        <w:rPr>
          <w:rFonts w:ascii="Arial" w:hAnsi="Arial" w:cs="Arial"/>
        </w:rPr>
        <w:t xml:space="preserve">. </w:t>
      </w:r>
      <w:r w:rsidR="002D2573" w:rsidRPr="0044179B">
        <w:rPr>
          <w:rFonts w:ascii="Arial" w:hAnsi="Arial" w:cs="Arial"/>
        </w:rPr>
        <w:t>1</w:t>
      </w:r>
      <w:r w:rsidR="00B7283B" w:rsidRPr="0044179B">
        <w:rPr>
          <w:rFonts w:ascii="Arial" w:hAnsi="Arial" w:cs="Arial"/>
        </w:rPr>
        <w:t>7, 2026)</w:t>
      </w:r>
      <w:r w:rsidR="00D523AD" w:rsidRPr="0044179B">
        <w:rPr>
          <w:rFonts w:ascii="Arial" w:hAnsi="Arial" w:cs="Arial"/>
        </w:rPr>
        <w:t>(available</w:t>
      </w:r>
      <w:r w:rsidR="007A7079" w:rsidRPr="0044179B">
        <w:rPr>
          <w:rFonts w:ascii="Arial" w:hAnsi="Arial" w:cs="Arial"/>
        </w:rPr>
        <w:t xml:space="preserve"> </w:t>
      </w:r>
      <w:r w:rsidR="00B7283B" w:rsidRPr="0044179B">
        <w:rPr>
          <w:rFonts w:ascii="Arial" w:hAnsi="Arial" w:cs="Arial"/>
        </w:rPr>
        <w:t xml:space="preserve">at: </w:t>
      </w:r>
      <w:r w:rsidR="007A7079" w:rsidRPr="0044179B">
        <w:rPr>
          <w:rFonts w:ascii="Arial" w:hAnsi="Arial" w:cs="Arial"/>
        </w:rPr>
        <w:t>0</w:t>
      </w:r>
      <w:r w:rsidRPr="0044179B">
        <w:rPr>
          <w:rFonts w:ascii="Arial" w:hAnsi="Arial" w:cs="Arial"/>
        </w:rPr>
        <w:t>1:03:</w:t>
      </w:r>
      <w:r w:rsidR="007A7079" w:rsidRPr="0044179B">
        <w:rPr>
          <w:rFonts w:ascii="Arial" w:hAnsi="Arial" w:cs="Arial"/>
        </w:rPr>
        <w:t>41-01:03:59</w:t>
      </w:r>
      <w:r w:rsidRPr="0044179B">
        <w:rPr>
          <w:rFonts w:ascii="Arial" w:hAnsi="Arial" w:cs="Arial"/>
        </w:rPr>
        <w:t xml:space="preserve"> </w:t>
      </w:r>
      <w:r w:rsidR="007A7079" w:rsidRPr="0044179B">
        <w:rPr>
          <w:rFonts w:ascii="Arial" w:hAnsi="Arial" w:cs="Arial"/>
        </w:rPr>
        <w:t xml:space="preserve">(available at: </w:t>
      </w:r>
      <w:r w:rsidR="002C5606" w:rsidRPr="0044179B">
        <w:rPr>
          <w:rFonts w:ascii="Arial" w:hAnsi="Arial" w:cs="Arial"/>
        </w:rPr>
        <w:t>https://dash2.gridmonitor.com/sharing/?token=70624cc3-5125-408d-9d0c-818a3737ffb4).</w:t>
      </w:r>
    </w:p>
  </w:footnote>
  <w:footnote w:id="9">
    <w:p w14:paraId="2DE7AE1E" w14:textId="5CA805D6" w:rsidR="00145C07" w:rsidRPr="0044179B" w:rsidRDefault="00145C07" w:rsidP="00145C07">
      <w:pPr>
        <w:pStyle w:val="FootnoteText"/>
        <w:rPr>
          <w:rFonts w:ascii="Arial" w:hAnsi="Arial" w:cs="Arial"/>
        </w:rPr>
      </w:pPr>
      <w:r w:rsidRPr="0044179B">
        <w:rPr>
          <w:rStyle w:val="FootnoteReference"/>
          <w:rFonts w:ascii="Arial" w:hAnsi="Arial" w:cs="Arial"/>
        </w:rPr>
        <w:footnoteRef/>
      </w:r>
      <w:r w:rsidRPr="0044179B">
        <w:rPr>
          <w:rFonts w:ascii="Arial" w:hAnsi="Arial" w:cs="Arial"/>
        </w:rPr>
        <w:t xml:space="preserve"> </w:t>
      </w:r>
      <w:proofErr w:type="spellStart"/>
      <w:r w:rsidR="002C5606" w:rsidRPr="0044179B">
        <w:rPr>
          <w:rFonts w:ascii="Arial" w:hAnsi="Arial" w:cs="Arial"/>
        </w:rPr>
        <w:t>GridMonitor</w:t>
      </w:r>
      <w:proofErr w:type="spellEnd"/>
      <w:r w:rsidR="002C5606" w:rsidRPr="0044179B">
        <w:rPr>
          <w:rFonts w:ascii="Arial" w:hAnsi="Arial" w:cs="Arial"/>
        </w:rPr>
        <w:t>, TAC Dispatchable Reliability Reserve Service (DRRS) Workshop 1 at</w:t>
      </w:r>
      <w:r w:rsidRPr="0044179B">
        <w:rPr>
          <w:rFonts w:ascii="Arial" w:hAnsi="Arial" w:cs="Arial"/>
        </w:rPr>
        <w:t xml:space="preserve"> 00:55:23</w:t>
      </w:r>
      <w:r w:rsidR="002C5606" w:rsidRPr="0044179B">
        <w:rPr>
          <w:rFonts w:ascii="Arial" w:hAnsi="Arial" w:cs="Arial"/>
        </w:rPr>
        <w:t>-00:56:13</w:t>
      </w:r>
      <w:r w:rsidR="00D523AD" w:rsidRPr="0044179B">
        <w:rPr>
          <w:rFonts w:ascii="Arial" w:hAnsi="Arial" w:cs="Arial"/>
        </w:rPr>
        <w:t xml:space="preserve"> (Jan. 7, 2026)</w:t>
      </w:r>
      <w:r w:rsidR="002C5606" w:rsidRPr="0044179B">
        <w:rPr>
          <w:rFonts w:ascii="Arial" w:hAnsi="Arial" w:cs="Arial"/>
        </w:rPr>
        <w:t>(available at: https://dash2.gridmonitor.com/sharing/?token=a56ef6b2-2c9b-4f5f-a5cc-3d7c67f2140d).</w:t>
      </w:r>
      <w:r w:rsidRPr="0044179B">
        <w:rPr>
          <w:rFonts w:ascii="Arial" w:hAnsi="Arial" w:cs="Arial"/>
        </w:rPr>
        <w:t xml:space="preserve"> </w:t>
      </w:r>
    </w:p>
  </w:footnote>
  <w:footnote w:id="10">
    <w:p w14:paraId="6D2C18D8" w14:textId="15AFD4AA" w:rsidR="0008726E" w:rsidRPr="0044179B" w:rsidRDefault="0008726E" w:rsidP="0008726E">
      <w:pPr>
        <w:pStyle w:val="FootnoteText"/>
        <w:rPr>
          <w:rFonts w:ascii="Arial" w:hAnsi="Arial" w:cs="Arial"/>
        </w:rPr>
      </w:pPr>
      <w:r w:rsidRPr="0044179B">
        <w:rPr>
          <w:rStyle w:val="FootnoteReference"/>
          <w:rFonts w:ascii="Arial" w:hAnsi="Arial" w:cs="Arial"/>
        </w:rPr>
        <w:footnoteRef/>
      </w:r>
      <w:r w:rsidRPr="0044179B">
        <w:rPr>
          <w:rFonts w:ascii="Arial" w:hAnsi="Arial" w:cs="Arial"/>
        </w:rPr>
        <w:t xml:space="preserve"> </w:t>
      </w:r>
      <w:r w:rsidR="00D523AD" w:rsidRPr="0044179B">
        <w:rPr>
          <w:rFonts w:ascii="Arial" w:hAnsi="Arial" w:cs="Arial"/>
          <w:i/>
          <w:iCs/>
        </w:rPr>
        <w:t xml:space="preserve">See </w:t>
      </w:r>
      <w:proofErr w:type="spellStart"/>
      <w:r w:rsidR="00D523AD" w:rsidRPr="0044179B">
        <w:rPr>
          <w:rFonts w:ascii="Arial" w:hAnsi="Arial" w:cs="Arial"/>
        </w:rPr>
        <w:t>GridMonitor</w:t>
      </w:r>
      <w:proofErr w:type="spellEnd"/>
      <w:r w:rsidR="00D523AD" w:rsidRPr="0044179B">
        <w:rPr>
          <w:rFonts w:ascii="Arial" w:hAnsi="Arial" w:cs="Arial"/>
        </w:rPr>
        <w:t>, TAC Dispatchable Reliability Reserve Service (DRRS) Workshop 1 at</w:t>
      </w:r>
      <w:r w:rsidRPr="0044179B">
        <w:rPr>
          <w:rFonts w:ascii="Arial" w:hAnsi="Arial" w:cs="Arial"/>
        </w:rPr>
        <w:t xml:space="preserve"> 00:53:13</w:t>
      </w:r>
      <w:r w:rsidR="00D523AD" w:rsidRPr="0044179B">
        <w:rPr>
          <w:rFonts w:ascii="Arial" w:hAnsi="Arial" w:cs="Arial"/>
        </w:rPr>
        <w:t>-00:54:11 (Jan. 7, 2026)(available at:</w:t>
      </w:r>
      <w:r w:rsidR="005A3B92" w:rsidRPr="0044179B">
        <w:rPr>
          <w:rFonts w:ascii="Arial" w:hAnsi="Arial" w:cs="Arial"/>
        </w:rPr>
        <w:t xml:space="preserve"> https://dash2.gridmonitor.com/sharing/?token=949fb70d-b6eb-4a86-946c-d5ea3f74cd9f)</w:t>
      </w:r>
      <w:r w:rsidRPr="0044179B">
        <w:rPr>
          <w:rFonts w:ascii="Arial" w:hAnsi="Arial" w:cs="Arial"/>
        </w:rPr>
        <w:t>(“The intent is not to shape the parameters in NPRR1310 to match how Aurora performed their study and assumptions that they made.”); (“the point is not to try to get NPRR1310 to match Aurora.  This is what we are proceeding with independently.”).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6FD5" w14:textId="77777777" w:rsidR="00EE6681" w:rsidRDefault="00EE6681">
    <w:pPr>
      <w:pStyle w:val="Header"/>
      <w:jc w:val="center"/>
      <w:rPr>
        <w:sz w:val="32"/>
      </w:rPr>
    </w:pPr>
    <w:r>
      <w:rPr>
        <w:sz w:val="32"/>
      </w:rPr>
      <w:t>NPRR Comments</w:t>
    </w:r>
  </w:p>
  <w:p w14:paraId="01D40F88"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6AD2187"/>
    <w:multiLevelType w:val="hybridMultilevel"/>
    <w:tmpl w:val="A1F482B4"/>
    <w:lvl w:ilvl="0" w:tplc="0A6AD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2F2230"/>
    <w:multiLevelType w:val="hybridMultilevel"/>
    <w:tmpl w:val="86EA1F6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95E624B"/>
    <w:multiLevelType w:val="hybridMultilevel"/>
    <w:tmpl w:val="4DE26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511793">
    <w:abstractNumId w:val="0"/>
  </w:num>
  <w:num w:numId="2" w16cid:durableId="1977953866">
    <w:abstractNumId w:val="3"/>
  </w:num>
  <w:num w:numId="3" w16cid:durableId="1212881740">
    <w:abstractNumId w:val="4"/>
  </w:num>
  <w:num w:numId="4" w16cid:durableId="1265764362">
    <w:abstractNumId w:val="1"/>
  </w:num>
  <w:num w:numId="5" w16cid:durableId="1455518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4E0"/>
    <w:rsid w:val="000035B5"/>
    <w:rsid w:val="00014A9C"/>
    <w:rsid w:val="00017A66"/>
    <w:rsid w:val="0002557B"/>
    <w:rsid w:val="000270BC"/>
    <w:rsid w:val="00027149"/>
    <w:rsid w:val="00037668"/>
    <w:rsid w:val="00040F52"/>
    <w:rsid w:val="00051C87"/>
    <w:rsid w:val="00065138"/>
    <w:rsid w:val="00075A94"/>
    <w:rsid w:val="0008726E"/>
    <w:rsid w:val="00087576"/>
    <w:rsid w:val="00096ADA"/>
    <w:rsid w:val="000A0F10"/>
    <w:rsid w:val="000A28F5"/>
    <w:rsid w:val="000A423E"/>
    <w:rsid w:val="000C53D1"/>
    <w:rsid w:val="000F087C"/>
    <w:rsid w:val="000F1CC7"/>
    <w:rsid w:val="000F557A"/>
    <w:rsid w:val="001039FA"/>
    <w:rsid w:val="00103ACF"/>
    <w:rsid w:val="001116C3"/>
    <w:rsid w:val="00127E5C"/>
    <w:rsid w:val="00132855"/>
    <w:rsid w:val="00132937"/>
    <w:rsid w:val="00132F7A"/>
    <w:rsid w:val="00133D00"/>
    <w:rsid w:val="00145C07"/>
    <w:rsid w:val="00152993"/>
    <w:rsid w:val="00170297"/>
    <w:rsid w:val="00183B65"/>
    <w:rsid w:val="001A0413"/>
    <w:rsid w:val="001A20DD"/>
    <w:rsid w:val="001A227D"/>
    <w:rsid w:val="001A5075"/>
    <w:rsid w:val="001B0A37"/>
    <w:rsid w:val="001B653D"/>
    <w:rsid w:val="001C360C"/>
    <w:rsid w:val="001E2032"/>
    <w:rsid w:val="001E3FF0"/>
    <w:rsid w:val="001E794A"/>
    <w:rsid w:val="001F00C2"/>
    <w:rsid w:val="001F7565"/>
    <w:rsid w:val="00213D7D"/>
    <w:rsid w:val="00224F44"/>
    <w:rsid w:val="00230137"/>
    <w:rsid w:val="00243CAF"/>
    <w:rsid w:val="00255C81"/>
    <w:rsid w:val="002816D3"/>
    <w:rsid w:val="002A35A2"/>
    <w:rsid w:val="002A41D0"/>
    <w:rsid w:val="002B5D7E"/>
    <w:rsid w:val="002C5606"/>
    <w:rsid w:val="002C5F13"/>
    <w:rsid w:val="002D1D54"/>
    <w:rsid w:val="002D2573"/>
    <w:rsid w:val="002E7D6E"/>
    <w:rsid w:val="002F2354"/>
    <w:rsid w:val="002F28B9"/>
    <w:rsid w:val="003010C0"/>
    <w:rsid w:val="00312EF0"/>
    <w:rsid w:val="00332A97"/>
    <w:rsid w:val="00335269"/>
    <w:rsid w:val="0034068C"/>
    <w:rsid w:val="0034357C"/>
    <w:rsid w:val="00350C00"/>
    <w:rsid w:val="003527B7"/>
    <w:rsid w:val="00366113"/>
    <w:rsid w:val="00384CF6"/>
    <w:rsid w:val="00390FE5"/>
    <w:rsid w:val="003A18B7"/>
    <w:rsid w:val="003A5DC2"/>
    <w:rsid w:val="003B3BE2"/>
    <w:rsid w:val="003C1F9B"/>
    <w:rsid w:val="003C270C"/>
    <w:rsid w:val="003C4E58"/>
    <w:rsid w:val="003D0994"/>
    <w:rsid w:val="003D0BE7"/>
    <w:rsid w:val="003D4E1F"/>
    <w:rsid w:val="003D712B"/>
    <w:rsid w:val="003E09EC"/>
    <w:rsid w:val="003F0A3F"/>
    <w:rsid w:val="003F6DA4"/>
    <w:rsid w:val="00402CC2"/>
    <w:rsid w:val="004076F4"/>
    <w:rsid w:val="00423824"/>
    <w:rsid w:val="0043567D"/>
    <w:rsid w:val="00436851"/>
    <w:rsid w:val="004406F6"/>
    <w:rsid w:val="0044179B"/>
    <w:rsid w:val="00443673"/>
    <w:rsid w:val="00443E62"/>
    <w:rsid w:val="00445062"/>
    <w:rsid w:val="00446799"/>
    <w:rsid w:val="00452B60"/>
    <w:rsid w:val="00453D41"/>
    <w:rsid w:val="004575D5"/>
    <w:rsid w:val="00460C0B"/>
    <w:rsid w:val="00462AEF"/>
    <w:rsid w:val="00464ED3"/>
    <w:rsid w:val="00465F7E"/>
    <w:rsid w:val="004748FF"/>
    <w:rsid w:val="004873B4"/>
    <w:rsid w:val="004A45F5"/>
    <w:rsid w:val="004B1458"/>
    <w:rsid w:val="004B7B90"/>
    <w:rsid w:val="004D66EF"/>
    <w:rsid w:val="004E2C19"/>
    <w:rsid w:val="004E7714"/>
    <w:rsid w:val="004F2E76"/>
    <w:rsid w:val="004F462E"/>
    <w:rsid w:val="00506917"/>
    <w:rsid w:val="005127B1"/>
    <w:rsid w:val="00525E0B"/>
    <w:rsid w:val="005568F2"/>
    <w:rsid w:val="0057582D"/>
    <w:rsid w:val="005A3B92"/>
    <w:rsid w:val="005C44B4"/>
    <w:rsid w:val="005D284C"/>
    <w:rsid w:val="005E6CC3"/>
    <w:rsid w:val="00604512"/>
    <w:rsid w:val="00612060"/>
    <w:rsid w:val="00623116"/>
    <w:rsid w:val="0062401D"/>
    <w:rsid w:val="00633E23"/>
    <w:rsid w:val="00636B37"/>
    <w:rsid w:val="006376F2"/>
    <w:rsid w:val="00644CC5"/>
    <w:rsid w:val="00654A40"/>
    <w:rsid w:val="006716D1"/>
    <w:rsid w:val="00673B94"/>
    <w:rsid w:val="00680AC6"/>
    <w:rsid w:val="006835D8"/>
    <w:rsid w:val="00687CF0"/>
    <w:rsid w:val="006A0113"/>
    <w:rsid w:val="006A320A"/>
    <w:rsid w:val="006B69BF"/>
    <w:rsid w:val="006C2BCE"/>
    <w:rsid w:val="006C2D2E"/>
    <w:rsid w:val="006C2FAF"/>
    <w:rsid w:val="006C316E"/>
    <w:rsid w:val="006C4EAF"/>
    <w:rsid w:val="006C5A5E"/>
    <w:rsid w:val="006D0757"/>
    <w:rsid w:val="006D0F7C"/>
    <w:rsid w:val="006E4550"/>
    <w:rsid w:val="006E7BD4"/>
    <w:rsid w:val="0070594A"/>
    <w:rsid w:val="00710C97"/>
    <w:rsid w:val="00713EA7"/>
    <w:rsid w:val="00720253"/>
    <w:rsid w:val="00724420"/>
    <w:rsid w:val="007269C4"/>
    <w:rsid w:val="00727247"/>
    <w:rsid w:val="00732692"/>
    <w:rsid w:val="0074209E"/>
    <w:rsid w:val="0074350E"/>
    <w:rsid w:val="00743D9D"/>
    <w:rsid w:val="007503A6"/>
    <w:rsid w:val="00755CE1"/>
    <w:rsid w:val="00757683"/>
    <w:rsid w:val="00763D02"/>
    <w:rsid w:val="00795B47"/>
    <w:rsid w:val="007A7079"/>
    <w:rsid w:val="007A712F"/>
    <w:rsid w:val="007B4E2A"/>
    <w:rsid w:val="007B6E99"/>
    <w:rsid w:val="007C75B8"/>
    <w:rsid w:val="007D11C4"/>
    <w:rsid w:val="007D7669"/>
    <w:rsid w:val="007D770C"/>
    <w:rsid w:val="007D7A25"/>
    <w:rsid w:val="007E1031"/>
    <w:rsid w:val="007E1A6D"/>
    <w:rsid w:val="007F2CA8"/>
    <w:rsid w:val="007F7161"/>
    <w:rsid w:val="00803752"/>
    <w:rsid w:val="00805A46"/>
    <w:rsid w:val="008123D1"/>
    <w:rsid w:val="00820A5B"/>
    <w:rsid w:val="00820DE0"/>
    <w:rsid w:val="0082192A"/>
    <w:rsid w:val="00821AE7"/>
    <w:rsid w:val="00837FC7"/>
    <w:rsid w:val="008540D9"/>
    <w:rsid w:val="0085559E"/>
    <w:rsid w:val="0086503B"/>
    <w:rsid w:val="00884138"/>
    <w:rsid w:val="00892681"/>
    <w:rsid w:val="00896B1B"/>
    <w:rsid w:val="008D4CFF"/>
    <w:rsid w:val="008D5DD3"/>
    <w:rsid w:val="008E559E"/>
    <w:rsid w:val="008E5C3D"/>
    <w:rsid w:val="008F0B61"/>
    <w:rsid w:val="008F2263"/>
    <w:rsid w:val="008F5F77"/>
    <w:rsid w:val="00915FC7"/>
    <w:rsid w:val="00916080"/>
    <w:rsid w:val="00921A68"/>
    <w:rsid w:val="009330B5"/>
    <w:rsid w:val="00933D8B"/>
    <w:rsid w:val="00933F3E"/>
    <w:rsid w:val="00937F83"/>
    <w:rsid w:val="0094562F"/>
    <w:rsid w:val="009468CA"/>
    <w:rsid w:val="009500CF"/>
    <w:rsid w:val="00957706"/>
    <w:rsid w:val="00962850"/>
    <w:rsid w:val="0096369C"/>
    <w:rsid w:val="0098314B"/>
    <w:rsid w:val="009C3F95"/>
    <w:rsid w:val="009C7FC6"/>
    <w:rsid w:val="009E59AD"/>
    <w:rsid w:val="009E6F56"/>
    <w:rsid w:val="00A015C4"/>
    <w:rsid w:val="00A05DCA"/>
    <w:rsid w:val="00A15172"/>
    <w:rsid w:val="00A1573C"/>
    <w:rsid w:val="00A16534"/>
    <w:rsid w:val="00A2470A"/>
    <w:rsid w:val="00A67681"/>
    <w:rsid w:val="00A74D01"/>
    <w:rsid w:val="00A75C8E"/>
    <w:rsid w:val="00AA7987"/>
    <w:rsid w:val="00AC62EB"/>
    <w:rsid w:val="00AC65D5"/>
    <w:rsid w:val="00AD04C2"/>
    <w:rsid w:val="00AD7F3F"/>
    <w:rsid w:val="00AE3813"/>
    <w:rsid w:val="00AE4656"/>
    <w:rsid w:val="00AE5847"/>
    <w:rsid w:val="00AF324D"/>
    <w:rsid w:val="00B01B87"/>
    <w:rsid w:val="00B047A4"/>
    <w:rsid w:val="00B079F0"/>
    <w:rsid w:val="00B13939"/>
    <w:rsid w:val="00B20070"/>
    <w:rsid w:val="00B25876"/>
    <w:rsid w:val="00B25CE1"/>
    <w:rsid w:val="00B41787"/>
    <w:rsid w:val="00B5080A"/>
    <w:rsid w:val="00B66BC1"/>
    <w:rsid w:val="00B7283B"/>
    <w:rsid w:val="00B81F5D"/>
    <w:rsid w:val="00B87E7E"/>
    <w:rsid w:val="00B900B2"/>
    <w:rsid w:val="00B943AE"/>
    <w:rsid w:val="00BA2AC3"/>
    <w:rsid w:val="00BB2CF1"/>
    <w:rsid w:val="00BB3100"/>
    <w:rsid w:val="00BD7258"/>
    <w:rsid w:val="00BE5704"/>
    <w:rsid w:val="00BF758B"/>
    <w:rsid w:val="00C0598D"/>
    <w:rsid w:val="00C11956"/>
    <w:rsid w:val="00C36ABE"/>
    <w:rsid w:val="00C42E12"/>
    <w:rsid w:val="00C507B5"/>
    <w:rsid w:val="00C552A7"/>
    <w:rsid w:val="00C602E5"/>
    <w:rsid w:val="00C67C80"/>
    <w:rsid w:val="00C72D45"/>
    <w:rsid w:val="00C748FD"/>
    <w:rsid w:val="00C771DF"/>
    <w:rsid w:val="00C85BCC"/>
    <w:rsid w:val="00C8758E"/>
    <w:rsid w:val="00CA1C97"/>
    <w:rsid w:val="00CA6CF5"/>
    <w:rsid w:val="00CB2C55"/>
    <w:rsid w:val="00CB2DD9"/>
    <w:rsid w:val="00CB55D5"/>
    <w:rsid w:val="00CB70FE"/>
    <w:rsid w:val="00CC0E25"/>
    <w:rsid w:val="00CC735C"/>
    <w:rsid w:val="00CD0639"/>
    <w:rsid w:val="00CD4835"/>
    <w:rsid w:val="00CE28FF"/>
    <w:rsid w:val="00CE4123"/>
    <w:rsid w:val="00CE693B"/>
    <w:rsid w:val="00CF3615"/>
    <w:rsid w:val="00CF5347"/>
    <w:rsid w:val="00D05B07"/>
    <w:rsid w:val="00D2672D"/>
    <w:rsid w:val="00D3477D"/>
    <w:rsid w:val="00D37D9F"/>
    <w:rsid w:val="00D4046E"/>
    <w:rsid w:val="00D4362F"/>
    <w:rsid w:val="00D523AD"/>
    <w:rsid w:val="00D52773"/>
    <w:rsid w:val="00D90A3E"/>
    <w:rsid w:val="00D95A5F"/>
    <w:rsid w:val="00DB1E38"/>
    <w:rsid w:val="00DB72EE"/>
    <w:rsid w:val="00DC7B7F"/>
    <w:rsid w:val="00DD2D70"/>
    <w:rsid w:val="00DD3EC5"/>
    <w:rsid w:val="00DD4739"/>
    <w:rsid w:val="00DD774F"/>
    <w:rsid w:val="00DE5F33"/>
    <w:rsid w:val="00DF4CC0"/>
    <w:rsid w:val="00E07A39"/>
    <w:rsid w:val="00E07B54"/>
    <w:rsid w:val="00E11F78"/>
    <w:rsid w:val="00E2189E"/>
    <w:rsid w:val="00E46221"/>
    <w:rsid w:val="00E60053"/>
    <w:rsid w:val="00E60725"/>
    <w:rsid w:val="00E621E1"/>
    <w:rsid w:val="00E65048"/>
    <w:rsid w:val="00E67ACD"/>
    <w:rsid w:val="00E71FDD"/>
    <w:rsid w:val="00E74639"/>
    <w:rsid w:val="00E810D0"/>
    <w:rsid w:val="00E8169F"/>
    <w:rsid w:val="00E91436"/>
    <w:rsid w:val="00E9203C"/>
    <w:rsid w:val="00EA1B26"/>
    <w:rsid w:val="00EA28F0"/>
    <w:rsid w:val="00EC55B3"/>
    <w:rsid w:val="00EC7239"/>
    <w:rsid w:val="00ED1E27"/>
    <w:rsid w:val="00EE31B2"/>
    <w:rsid w:val="00EE6681"/>
    <w:rsid w:val="00EF748B"/>
    <w:rsid w:val="00F12818"/>
    <w:rsid w:val="00F1702D"/>
    <w:rsid w:val="00F26DED"/>
    <w:rsid w:val="00F358A7"/>
    <w:rsid w:val="00F36846"/>
    <w:rsid w:val="00F53098"/>
    <w:rsid w:val="00F57BBC"/>
    <w:rsid w:val="00F6118C"/>
    <w:rsid w:val="00F63DE3"/>
    <w:rsid w:val="00F73278"/>
    <w:rsid w:val="00F81A87"/>
    <w:rsid w:val="00F82FA7"/>
    <w:rsid w:val="00F84EDA"/>
    <w:rsid w:val="00F85E2F"/>
    <w:rsid w:val="00F93D87"/>
    <w:rsid w:val="00F96FB2"/>
    <w:rsid w:val="00FB51D8"/>
    <w:rsid w:val="00FB65AE"/>
    <w:rsid w:val="00FC64C4"/>
    <w:rsid w:val="00FD08E8"/>
    <w:rsid w:val="00FD3FED"/>
    <w:rsid w:val="00FE0A4D"/>
    <w:rsid w:val="00FE40C5"/>
    <w:rsid w:val="00FE6301"/>
    <w:rsid w:val="00FE7E0A"/>
    <w:rsid w:val="00FF0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75D33"/>
  <w15:chartTrackingRefBased/>
  <w15:docId w15:val="{1DB8B80A-3F11-43A5-B0AA-F13C3124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link w:val="BodyTextChar"/>
    <w:rsid w:val="00443673"/>
    <w:pPr>
      <w:spacing w:before="120" w:after="120" w:line="360" w:lineRule="auto"/>
      <w:ind w:firstLine="720"/>
      <w:jc w:val="both"/>
    </w:pPr>
    <w:rPr>
      <w:rFonts w:ascii="Arial" w:hAnsi="Arial" w:cs="Arial"/>
    </w:r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9E6F56"/>
    <w:rPr>
      <w:color w:val="605E5C"/>
      <w:shd w:val="clear" w:color="auto" w:fill="E1DFDD"/>
    </w:rPr>
  </w:style>
  <w:style w:type="character" w:styleId="FollowedHyperlink">
    <w:name w:val="FollowedHyperlink"/>
    <w:rsid w:val="006C2D2E"/>
    <w:rPr>
      <w:color w:val="96607D"/>
      <w:u w:val="single"/>
    </w:rPr>
  </w:style>
  <w:style w:type="paragraph" w:styleId="FootnoteText">
    <w:name w:val="footnote text"/>
    <w:basedOn w:val="Normal"/>
    <w:link w:val="FootnoteTextChar"/>
    <w:rsid w:val="00644CC5"/>
    <w:rPr>
      <w:sz w:val="20"/>
      <w:szCs w:val="20"/>
    </w:rPr>
  </w:style>
  <w:style w:type="character" w:customStyle="1" w:styleId="FootnoteTextChar">
    <w:name w:val="Footnote Text Char"/>
    <w:basedOn w:val="DefaultParagraphFont"/>
    <w:link w:val="FootnoteText"/>
    <w:rsid w:val="00644CC5"/>
  </w:style>
  <w:style w:type="character" w:styleId="FootnoteReference">
    <w:name w:val="footnote reference"/>
    <w:rsid w:val="00644CC5"/>
    <w:rPr>
      <w:vertAlign w:val="superscript"/>
    </w:rPr>
  </w:style>
  <w:style w:type="paragraph" w:styleId="BodyTextFirstIndent">
    <w:name w:val="Body Text First Indent"/>
    <w:basedOn w:val="BodyText"/>
    <w:link w:val="BodyTextFirstIndentChar"/>
    <w:rsid w:val="00B01B87"/>
    <w:pPr>
      <w:spacing w:before="0"/>
      <w:ind w:firstLine="210"/>
    </w:pPr>
  </w:style>
  <w:style w:type="character" w:customStyle="1" w:styleId="BodyTextChar">
    <w:name w:val="Body Text Char"/>
    <w:link w:val="BodyText"/>
    <w:rsid w:val="00443673"/>
    <w:rPr>
      <w:rFonts w:ascii="Arial" w:hAnsi="Arial" w:cs="Arial"/>
      <w:sz w:val="24"/>
      <w:szCs w:val="24"/>
    </w:rPr>
  </w:style>
  <w:style w:type="character" w:customStyle="1" w:styleId="BodyTextFirstIndentChar">
    <w:name w:val="Body Text First Indent Char"/>
    <w:link w:val="BodyTextFirstIndent"/>
    <w:rsid w:val="00B01B87"/>
    <w:rPr>
      <w:sz w:val="24"/>
      <w:szCs w:val="24"/>
    </w:rPr>
  </w:style>
  <w:style w:type="paragraph" w:styleId="NormalWeb">
    <w:name w:val="Normal (Web)"/>
    <w:basedOn w:val="Normal"/>
    <w:rsid w:val="00EE31B2"/>
  </w:style>
  <w:style w:type="paragraph" w:styleId="Revision">
    <w:name w:val="Revision"/>
    <w:hidden/>
    <w:uiPriority w:val="99"/>
    <w:semiHidden/>
    <w:rsid w:val="00687CF0"/>
    <w:rPr>
      <w:sz w:val="24"/>
      <w:szCs w:val="24"/>
    </w:rPr>
  </w:style>
  <w:style w:type="paragraph" w:customStyle="1" w:styleId="BodyText11pt">
    <w:name w:val="Body Text + 11 pt"/>
    <w:basedOn w:val="BodyText"/>
    <w:rsid w:val="0044367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40058">
      <w:bodyDiv w:val="1"/>
      <w:marLeft w:val="0"/>
      <w:marRight w:val="0"/>
      <w:marTop w:val="0"/>
      <w:marBottom w:val="0"/>
      <w:divBdr>
        <w:top w:val="none" w:sz="0" w:space="0" w:color="auto"/>
        <w:left w:val="none" w:sz="0" w:space="0" w:color="auto"/>
        <w:bottom w:val="none" w:sz="0" w:space="0" w:color="auto"/>
        <w:right w:val="none" w:sz="0" w:space="0" w:color="auto"/>
      </w:divBdr>
    </w:div>
    <w:div w:id="398789450">
      <w:bodyDiv w:val="1"/>
      <w:marLeft w:val="0"/>
      <w:marRight w:val="0"/>
      <w:marTop w:val="0"/>
      <w:marBottom w:val="0"/>
      <w:divBdr>
        <w:top w:val="none" w:sz="0" w:space="0" w:color="auto"/>
        <w:left w:val="none" w:sz="0" w:space="0" w:color="auto"/>
        <w:bottom w:val="none" w:sz="0" w:space="0" w:color="auto"/>
        <w:right w:val="none" w:sz="0" w:space="0" w:color="auto"/>
      </w:divBdr>
    </w:div>
    <w:div w:id="432822248">
      <w:bodyDiv w:val="1"/>
      <w:marLeft w:val="0"/>
      <w:marRight w:val="0"/>
      <w:marTop w:val="0"/>
      <w:marBottom w:val="0"/>
      <w:divBdr>
        <w:top w:val="none" w:sz="0" w:space="0" w:color="auto"/>
        <w:left w:val="none" w:sz="0" w:space="0" w:color="auto"/>
        <w:bottom w:val="none" w:sz="0" w:space="0" w:color="auto"/>
        <w:right w:val="none" w:sz="0" w:space="0" w:color="auto"/>
      </w:divBdr>
    </w:div>
    <w:div w:id="667707450">
      <w:bodyDiv w:val="1"/>
      <w:marLeft w:val="0"/>
      <w:marRight w:val="0"/>
      <w:marTop w:val="0"/>
      <w:marBottom w:val="0"/>
      <w:divBdr>
        <w:top w:val="none" w:sz="0" w:space="0" w:color="auto"/>
        <w:left w:val="none" w:sz="0" w:space="0" w:color="auto"/>
        <w:bottom w:val="none" w:sz="0" w:space="0" w:color="auto"/>
        <w:right w:val="none" w:sz="0" w:space="0" w:color="auto"/>
      </w:divBdr>
      <w:divsChild>
        <w:div w:id="210001571">
          <w:marLeft w:val="0"/>
          <w:marRight w:val="0"/>
          <w:marTop w:val="0"/>
          <w:marBottom w:val="0"/>
          <w:divBdr>
            <w:top w:val="none" w:sz="0" w:space="0" w:color="auto"/>
            <w:left w:val="none" w:sz="0" w:space="0" w:color="auto"/>
            <w:bottom w:val="none" w:sz="0" w:space="0" w:color="auto"/>
            <w:right w:val="none" w:sz="0" w:space="0" w:color="auto"/>
          </w:divBdr>
          <w:divsChild>
            <w:div w:id="1801999039">
              <w:marLeft w:val="165"/>
              <w:marRight w:val="165"/>
              <w:marTop w:val="165"/>
              <w:marBottom w:val="165"/>
              <w:divBdr>
                <w:top w:val="none" w:sz="0" w:space="0" w:color="auto"/>
                <w:left w:val="none" w:sz="0" w:space="0" w:color="auto"/>
                <w:bottom w:val="none" w:sz="0" w:space="0" w:color="auto"/>
                <w:right w:val="none" w:sz="0" w:space="0" w:color="auto"/>
              </w:divBdr>
            </w:div>
          </w:divsChild>
        </w:div>
      </w:divsChild>
    </w:div>
    <w:div w:id="945229315">
      <w:bodyDiv w:val="1"/>
      <w:marLeft w:val="0"/>
      <w:marRight w:val="0"/>
      <w:marTop w:val="0"/>
      <w:marBottom w:val="0"/>
      <w:divBdr>
        <w:top w:val="none" w:sz="0" w:space="0" w:color="auto"/>
        <w:left w:val="none" w:sz="0" w:space="0" w:color="auto"/>
        <w:bottom w:val="none" w:sz="0" w:space="0" w:color="auto"/>
        <w:right w:val="none" w:sz="0" w:space="0" w:color="auto"/>
      </w:divBdr>
      <w:divsChild>
        <w:div w:id="707073360">
          <w:marLeft w:val="0"/>
          <w:marRight w:val="0"/>
          <w:marTop w:val="0"/>
          <w:marBottom w:val="0"/>
          <w:divBdr>
            <w:top w:val="none" w:sz="0" w:space="0" w:color="auto"/>
            <w:left w:val="none" w:sz="0" w:space="0" w:color="auto"/>
            <w:bottom w:val="none" w:sz="0" w:space="0" w:color="auto"/>
            <w:right w:val="none" w:sz="0" w:space="0" w:color="auto"/>
          </w:divBdr>
          <w:divsChild>
            <w:div w:id="412165560">
              <w:marLeft w:val="165"/>
              <w:marRight w:val="165"/>
              <w:marTop w:val="165"/>
              <w:marBottom w:val="165"/>
              <w:divBdr>
                <w:top w:val="none" w:sz="0" w:space="0" w:color="auto"/>
                <w:left w:val="none" w:sz="0" w:space="0" w:color="auto"/>
                <w:bottom w:val="none" w:sz="0" w:space="0" w:color="auto"/>
                <w:right w:val="none" w:sz="0" w:space="0" w:color="auto"/>
              </w:divBdr>
            </w:div>
          </w:divsChild>
        </w:div>
      </w:divsChild>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329863951">
      <w:bodyDiv w:val="1"/>
      <w:marLeft w:val="0"/>
      <w:marRight w:val="0"/>
      <w:marTop w:val="0"/>
      <w:marBottom w:val="0"/>
      <w:divBdr>
        <w:top w:val="none" w:sz="0" w:space="0" w:color="auto"/>
        <w:left w:val="none" w:sz="0" w:space="0" w:color="auto"/>
        <w:bottom w:val="none" w:sz="0" w:space="0" w:color="auto"/>
        <w:right w:val="none" w:sz="0" w:space="0" w:color="auto"/>
      </w:divBdr>
      <w:divsChild>
        <w:div w:id="1702169443">
          <w:marLeft w:val="0"/>
          <w:marRight w:val="0"/>
          <w:marTop w:val="0"/>
          <w:marBottom w:val="0"/>
          <w:divBdr>
            <w:top w:val="none" w:sz="0" w:space="0" w:color="auto"/>
            <w:left w:val="none" w:sz="0" w:space="0" w:color="auto"/>
            <w:bottom w:val="none" w:sz="0" w:space="0" w:color="auto"/>
            <w:right w:val="none" w:sz="0" w:space="0" w:color="auto"/>
          </w:divBdr>
          <w:divsChild>
            <w:div w:id="165632089">
              <w:marLeft w:val="165"/>
              <w:marRight w:val="165"/>
              <w:marTop w:val="165"/>
              <w:marBottom w:val="165"/>
              <w:divBdr>
                <w:top w:val="none" w:sz="0" w:space="0" w:color="auto"/>
                <w:left w:val="none" w:sz="0" w:space="0" w:color="auto"/>
                <w:bottom w:val="none" w:sz="0" w:space="0" w:color="auto"/>
                <w:right w:val="none" w:sz="0" w:space="0" w:color="auto"/>
              </w:divBdr>
            </w:div>
          </w:divsChild>
        </w:div>
      </w:divsChild>
    </w:div>
    <w:div w:id="1435205336">
      <w:bodyDiv w:val="1"/>
      <w:marLeft w:val="0"/>
      <w:marRight w:val="0"/>
      <w:marTop w:val="0"/>
      <w:marBottom w:val="0"/>
      <w:divBdr>
        <w:top w:val="none" w:sz="0" w:space="0" w:color="auto"/>
        <w:left w:val="none" w:sz="0" w:space="0" w:color="auto"/>
        <w:bottom w:val="none" w:sz="0" w:space="0" w:color="auto"/>
        <w:right w:val="none" w:sz="0" w:space="0" w:color="auto"/>
      </w:divBdr>
      <w:divsChild>
        <w:div w:id="1849103373">
          <w:marLeft w:val="0"/>
          <w:marRight w:val="0"/>
          <w:marTop w:val="0"/>
          <w:marBottom w:val="0"/>
          <w:divBdr>
            <w:top w:val="none" w:sz="0" w:space="0" w:color="auto"/>
            <w:left w:val="none" w:sz="0" w:space="0" w:color="auto"/>
            <w:bottom w:val="none" w:sz="0" w:space="0" w:color="auto"/>
            <w:right w:val="none" w:sz="0" w:space="0" w:color="auto"/>
          </w:divBdr>
          <w:divsChild>
            <w:div w:id="1553730000">
              <w:marLeft w:val="165"/>
              <w:marRight w:val="165"/>
              <w:marTop w:val="165"/>
              <w:marBottom w:val="165"/>
              <w:divBdr>
                <w:top w:val="none" w:sz="0" w:space="0" w:color="auto"/>
                <w:left w:val="none" w:sz="0" w:space="0" w:color="auto"/>
                <w:bottom w:val="none" w:sz="0" w:space="0" w:color="auto"/>
                <w:right w:val="none" w:sz="0" w:space="0" w:color="auto"/>
              </w:divBdr>
            </w:div>
          </w:divsChild>
        </w:div>
      </w:divsChild>
    </w:div>
    <w:div w:id="1462264756">
      <w:bodyDiv w:val="1"/>
      <w:marLeft w:val="0"/>
      <w:marRight w:val="0"/>
      <w:marTop w:val="0"/>
      <w:marBottom w:val="0"/>
      <w:divBdr>
        <w:top w:val="none" w:sz="0" w:space="0" w:color="auto"/>
        <w:left w:val="none" w:sz="0" w:space="0" w:color="auto"/>
        <w:bottom w:val="none" w:sz="0" w:space="0" w:color="auto"/>
        <w:right w:val="none" w:sz="0" w:space="0" w:color="auto"/>
      </w:divBdr>
      <w:divsChild>
        <w:div w:id="717978388">
          <w:marLeft w:val="0"/>
          <w:marRight w:val="0"/>
          <w:marTop w:val="0"/>
          <w:marBottom w:val="0"/>
          <w:divBdr>
            <w:top w:val="none" w:sz="0" w:space="0" w:color="auto"/>
            <w:left w:val="none" w:sz="0" w:space="0" w:color="auto"/>
            <w:bottom w:val="none" w:sz="0" w:space="0" w:color="auto"/>
            <w:right w:val="none" w:sz="0" w:space="0" w:color="auto"/>
          </w:divBdr>
          <w:divsChild>
            <w:div w:id="1032458776">
              <w:marLeft w:val="165"/>
              <w:marRight w:val="165"/>
              <w:marTop w:val="165"/>
              <w:marBottom w:val="165"/>
              <w:divBdr>
                <w:top w:val="none" w:sz="0" w:space="0" w:color="auto"/>
                <w:left w:val="none" w:sz="0" w:space="0" w:color="auto"/>
                <w:bottom w:val="none" w:sz="0" w:space="0" w:color="auto"/>
                <w:right w:val="none" w:sz="0" w:space="0" w:color="auto"/>
              </w:divBdr>
            </w:div>
          </w:divsChild>
        </w:div>
      </w:divsChild>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642997324">
      <w:bodyDiv w:val="1"/>
      <w:marLeft w:val="0"/>
      <w:marRight w:val="0"/>
      <w:marTop w:val="0"/>
      <w:marBottom w:val="0"/>
      <w:divBdr>
        <w:top w:val="none" w:sz="0" w:space="0" w:color="auto"/>
        <w:left w:val="none" w:sz="0" w:space="0" w:color="auto"/>
        <w:bottom w:val="none" w:sz="0" w:space="0" w:color="auto"/>
        <w:right w:val="none" w:sz="0" w:space="0" w:color="auto"/>
      </w:divBdr>
      <w:divsChild>
        <w:div w:id="1529180564">
          <w:marLeft w:val="0"/>
          <w:marRight w:val="0"/>
          <w:marTop w:val="0"/>
          <w:marBottom w:val="0"/>
          <w:divBdr>
            <w:top w:val="none" w:sz="0" w:space="0" w:color="auto"/>
            <w:left w:val="none" w:sz="0" w:space="0" w:color="auto"/>
            <w:bottom w:val="none" w:sz="0" w:space="0" w:color="auto"/>
            <w:right w:val="none" w:sz="0" w:space="0" w:color="auto"/>
          </w:divBdr>
          <w:divsChild>
            <w:div w:id="1797523929">
              <w:marLeft w:val="165"/>
              <w:marRight w:val="165"/>
              <w:marTop w:val="165"/>
              <w:marBottom w:val="165"/>
              <w:divBdr>
                <w:top w:val="none" w:sz="0" w:space="0" w:color="auto"/>
                <w:left w:val="none" w:sz="0" w:space="0" w:color="auto"/>
                <w:bottom w:val="none" w:sz="0" w:space="0" w:color="auto"/>
                <w:right w:val="none" w:sz="0" w:space="0" w:color="auto"/>
              </w:divBdr>
            </w:div>
          </w:divsChild>
        </w:div>
      </w:divsChild>
    </w:div>
    <w:div w:id="1735858934">
      <w:bodyDiv w:val="1"/>
      <w:marLeft w:val="0"/>
      <w:marRight w:val="0"/>
      <w:marTop w:val="0"/>
      <w:marBottom w:val="0"/>
      <w:divBdr>
        <w:top w:val="none" w:sz="0" w:space="0" w:color="auto"/>
        <w:left w:val="none" w:sz="0" w:space="0" w:color="auto"/>
        <w:bottom w:val="none" w:sz="0" w:space="0" w:color="auto"/>
        <w:right w:val="none" w:sz="0" w:space="0" w:color="auto"/>
      </w:divBdr>
      <w:divsChild>
        <w:div w:id="1211721451">
          <w:marLeft w:val="0"/>
          <w:marRight w:val="0"/>
          <w:marTop w:val="0"/>
          <w:marBottom w:val="0"/>
          <w:divBdr>
            <w:top w:val="none" w:sz="0" w:space="0" w:color="auto"/>
            <w:left w:val="none" w:sz="0" w:space="0" w:color="auto"/>
            <w:bottom w:val="none" w:sz="0" w:space="0" w:color="auto"/>
            <w:right w:val="none" w:sz="0" w:space="0" w:color="auto"/>
          </w:divBdr>
          <w:divsChild>
            <w:div w:id="1517696399">
              <w:marLeft w:val="165"/>
              <w:marRight w:val="165"/>
              <w:marTop w:val="165"/>
              <w:marBottom w:val="165"/>
              <w:divBdr>
                <w:top w:val="none" w:sz="0" w:space="0" w:color="auto"/>
                <w:left w:val="none" w:sz="0" w:space="0" w:color="auto"/>
                <w:bottom w:val="none" w:sz="0" w:space="0" w:color="auto"/>
                <w:right w:val="none" w:sz="0" w:space="0" w:color="auto"/>
              </w:divBdr>
            </w:div>
          </w:divsChild>
        </w:div>
      </w:divsChild>
    </w:div>
    <w:div w:id="1761635460">
      <w:bodyDiv w:val="1"/>
      <w:marLeft w:val="0"/>
      <w:marRight w:val="0"/>
      <w:marTop w:val="0"/>
      <w:marBottom w:val="0"/>
      <w:divBdr>
        <w:top w:val="none" w:sz="0" w:space="0" w:color="auto"/>
        <w:left w:val="none" w:sz="0" w:space="0" w:color="auto"/>
        <w:bottom w:val="none" w:sz="0" w:space="0" w:color="auto"/>
        <w:right w:val="none" w:sz="0" w:space="0" w:color="auto"/>
      </w:divBdr>
    </w:div>
    <w:div w:id="1967736684">
      <w:bodyDiv w:val="1"/>
      <w:marLeft w:val="0"/>
      <w:marRight w:val="0"/>
      <w:marTop w:val="0"/>
      <w:marBottom w:val="0"/>
      <w:divBdr>
        <w:top w:val="none" w:sz="0" w:space="0" w:color="auto"/>
        <w:left w:val="none" w:sz="0" w:space="0" w:color="auto"/>
        <w:bottom w:val="none" w:sz="0" w:space="0" w:color="auto"/>
        <w:right w:val="none" w:sz="0" w:space="0" w:color="auto"/>
      </w:divBdr>
    </w:div>
    <w:div w:id="2061055397">
      <w:bodyDiv w:val="1"/>
      <w:marLeft w:val="0"/>
      <w:marRight w:val="0"/>
      <w:marTop w:val="0"/>
      <w:marBottom w:val="0"/>
      <w:divBdr>
        <w:top w:val="none" w:sz="0" w:space="0" w:color="auto"/>
        <w:left w:val="none" w:sz="0" w:space="0" w:color="auto"/>
        <w:bottom w:val="none" w:sz="0" w:space="0" w:color="auto"/>
        <w:right w:val="none" w:sz="0" w:space="0" w:color="auto"/>
      </w:divBdr>
    </w:div>
    <w:div w:id="214211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hubbard@omm.com" TargetMode="External"/><Relationship Id="rId3" Type="http://schemas.openxmlformats.org/officeDocument/2006/relationships/settings" Target="settings.xml"/><Relationship Id="rId7" Type="http://schemas.openxmlformats.org/officeDocument/2006/relationships/hyperlink" Target="https://www.ercot.com/mktrules/issues/NPRR13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investor.vistracorp.com/2024-05-30-Vistra-Announces-Plans-to-Add-Up-to-2,000-MW-of-Gas-Fueled-Dispatchable-Power-in-ERCOT" TargetMode="External"/><Relationship Id="rId2" Type="http://schemas.openxmlformats.org/officeDocument/2006/relationships/hyperlink" Target="https://www.nrg.com/assets/documents/energy-policy/2023-ERCOT-Development-One-Pager4-18-23_Final.pdf?utm_source=chatgpt.com" TargetMode="External"/><Relationship Id="rId1" Type="http://schemas.openxmlformats.org/officeDocument/2006/relationships/hyperlink" Target="https://www.calpine.com/calpine-affirms-ambitious-texas-power-developmen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ebcf4a5-ef84-4173-ad45-ee4536d75be6}" enabled="0" method="" siteId="{4ebcf4a5-ef84-4173-ad45-ee4536d75be6}"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7</Pages>
  <Words>1882</Words>
  <Characters>11046</Characters>
  <Application>Microsoft Office Word</Application>
  <DocSecurity>0</DocSecurity>
  <Lines>193</Lines>
  <Paragraphs>45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Joint Commenters 012826</cp:lastModifiedBy>
  <cp:revision>3</cp:revision>
  <cp:lastPrinted>2026-01-21T23:28:00Z</cp:lastPrinted>
  <dcterms:created xsi:type="dcterms:W3CDTF">2026-01-28T22:31:00Z</dcterms:created>
  <dcterms:modified xsi:type="dcterms:W3CDTF">2026-01-28T22:36:00Z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4935-9235-7001</vt:lpwstr>
  </property>
  <property fmtid="{D5CDD505-2E9C-101B-9397-08002B2CF9AE}" pid="3" name="MSIP_Label_7084cbda-52b8-46fb-a7b7-cb5bd465ed85_Enabled">
    <vt:lpwstr>true</vt:lpwstr>
  </property>
  <property fmtid="{D5CDD505-2E9C-101B-9397-08002B2CF9AE}" pid="4" name="MSIP_Label_7084cbda-52b8-46fb-a7b7-cb5bd465ed85_SetDate">
    <vt:lpwstr>2026-01-28T22:31:00Z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cd5b48a8-2f4f-4ff1-8dfa-b930d29d327a</vt:lpwstr>
  </property>
  <property fmtid="{D5CDD505-2E9C-101B-9397-08002B2CF9AE}" pid="9" name="MSIP_Label_7084cbda-52b8-46fb-a7b7-cb5bd465ed85_ContentBits">
    <vt:lpwstr>0</vt:lpwstr>
  </property>
  <property fmtid="{D5CDD505-2E9C-101B-9397-08002B2CF9AE}" pid="10" name="MSIP_Label_7084cbda-52b8-46fb-a7b7-cb5bd465ed85_Tag">
    <vt:lpwstr>10, 3, 0, 1</vt:lpwstr>
  </property>
</Properties>
</file>