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4324163E" w14:textId="77777777">
        <w:tc>
          <w:tcPr>
            <w:tcW w:w="1620" w:type="dxa"/>
            <w:tcBorders>
              <w:bottom w:val="single" w:sz="4" w:space="0" w:color="auto"/>
            </w:tcBorders>
            <w:shd w:val="clear" w:color="auto" w:fill="FFFFFF"/>
            <w:vAlign w:val="center"/>
          </w:tcPr>
          <w:p w14:paraId="7436E55E"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790A482C" w14:textId="1135F33F" w:rsidR="00152993" w:rsidRDefault="008163B4">
            <w:pPr>
              <w:pStyle w:val="Header"/>
            </w:pPr>
            <w:hyperlink r:id="rId11" w:history="1">
              <w:r w:rsidRPr="008163B4">
                <w:rPr>
                  <w:rStyle w:val="Hyperlink"/>
                </w:rPr>
                <w:t>1310</w:t>
              </w:r>
            </w:hyperlink>
          </w:p>
        </w:tc>
        <w:tc>
          <w:tcPr>
            <w:tcW w:w="900" w:type="dxa"/>
            <w:tcBorders>
              <w:bottom w:val="single" w:sz="4" w:space="0" w:color="auto"/>
            </w:tcBorders>
            <w:shd w:val="clear" w:color="auto" w:fill="FFFFFF"/>
            <w:vAlign w:val="center"/>
          </w:tcPr>
          <w:p w14:paraId="1A7FB819" w14:textId="77777777" w:rsidR="00152993" w:rsidRDefault="00EE6681">
            <w:pPr>
              <w:pStyle w:val="Header"/>
            </w:pPr>
            <w:r>
              <w:t>N</w:t>
            </w:r>
            <w:r w:rsidR="00152993">
              <w:t>PRR Title</w:t>
            </w:r>
          </w:p>
        </w:tc>
        <w:tc>
          <w:tcPr>
            <w:tcW w:w="6660" w:type="dxa"/>
            <w:tcBorders>
              <w:bottom w:val="single" w:sz="4" w:space="0" w:color="auto"/>
            </w:tcBorders>
            <w:vAlign w:val="center"/>
          </w:tcPr>
          <w:p w14:paraId="30C65127" w14:textId="58749735" w:rsidR="00152993" w:rsidRDefault="008163B4">
            <w:pPr>
              <w:pStyle w:val="Header"/>
            </w:pPr>
            <w:bookmarkStart w:id="0" w:name="_Hlk214556874"/>
            <w:r w:rsidRPr="008163B4">
              <w:t>Dispatchable Reliability Reserve Service Plus Energy Storage Resource Participation and Release Factor</w:t>
            </w:r>
            <w:bookmarkEnd w:id="0"/>
          </w:p>
        </w:tc>
      </w:tr>
      <w:tr w:rsidR="00152993" w14:paraId="02E0BEEB" w14:textId="77777777">
        <w:trPr>
          <w:trHeight w:val="413"/>
        </w:trPr>
        <w:tc>
          <w:tcPr>
            <w:tcW w:w="2880" w:type="dxa"/>
            <w:gridSpan w:val="2"/>
            <w:tcBorders>
              <w:top w:val="nil"/>
              <w:left w:val="nil"/>
              <w:bottom w:val="single" w:sz="4" w:space="0" w:color="auto"/>
              <w:right w:val="nil"/>
            </w:tcBorders>
            <w:vAlign w:val="center"/>
          </w:tcPr>
          <w:p w14:paraId="5A761087"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7E64FA3C" w14:textId="77777777" w:rsidR="00152993" w:rsidRDefault="00152993">
            <w:pPr>
              <w:pStyle w:val="NormalArial"/>
            </w:pPr>
          </w:p>
        </w:tc>
      </w:tr>
      <w:tr w:rsidR="00152993" w14:paraId="75605E41"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308FF3D"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B346DAE" w14:textId="5DACA384" w:rsidR="00152993" w:rsidRDefault="00461586">
            <w:pPr>
              <w:pStyle w:val="NormalArial"/>
            </w:pPr>
            <w:r>
              <w:t>January 28, 2026</w:t>
            </w:r>
          </w:p>
        </w:tc>
      </w:tr>
      <w:tr w:rsidR="00152993" w14:paraId="69EB4F90" w14:textId="77777777">
        <w:trPr>
          <w:trHeight w:val="467"/>
        </w:trPr>
        <w:tc>
          <w:tcPr>
            <w:tcW w:w="2880" w:type="dxa"/>
            <w:gridSpan w:val="2"/>
            <w:tcBorders>
              <w:top w:val="single" w:sz="4" w:space="0" w:color="auto"/>
              <w:left w:val="nil"/>
              <w:bottom w:val="nil"/>
              <w:right w:val="nil"/>
            </w:tcBorders>
            <w:shd w:val="clear" w:color="auto" w:fill="FFFFFF"/>
            <w:vAlign w:val="center"/>
          </w:tcPr>
          <w:p w14:paraId="0D0CE915" w14:textId="77777777" w:rsidR="00152993" w:rsidRDefault="00152993">
            <w:pPr>
              <w:pStyle w:val="NormalArial"/>
            </w:pPr>
          </w:p>
        </w:tc>
        <w:tc>
          <w:tcPr>
            <w:tcW w:w="7560" w:type="dxa"/>
            <w:gridSpan w:val="2"/>
            <w:tcBorders>
              <w:top w:val="nil"/>
              <w:left w:val="nil"/>
              <w:bottom w:val="nil"/>
              <w:right w:val="nil"/>
            </w:tcBorders>
            <w:vAlign w:val="center"/>
          </w:tcPr>
          <w:p w14:paraId="435689A5" w14:textId="77777777" w:rsidR="00152993" w:rsidRDefault="00152993">
            <w:pPr>
              <w:pStyle w:val="NormalArial"/>
            </w:pPr>
          </w:p>
        </w:tc>
      </w:tr>
      <w:tr w:rsidR="00152993" w14:paraId="698C095A" w14:textId="77777777">
        <w:trPr>
          <w:trHeight w:val="440"/>
        </w:trPr>
        <w:tc>
          <w:tcPr>
            <w:tcW w:w="10440" w:type="dxa"/>
            <w:gridSpan w:val="4"/>
            <w:tcBorders>
              <w:top w:val="single" w:sz="4" w:space="0" w:color="auto"/>
            </w:tcBorders>
            <w:shd w:val="clear" w:color="auto" w:fill="FFFFFF"/>
            <w:vAlign w:val="center"/>
          </w:tcPr>
          <w:p w14:paraId="0358323D" w14:textId="77777777" w:rsidR="00152993" w:rsidRDefault="00152993">
            <w:pPr>
              <w:pStyle w:val="Header"/>
              <w:jc w:val="center"/>
            </w:pPr>
            <w:r>
              <w:t>Submitter’s Information</w:t>
            </w:r>
          </w:p>
        </w:tc>
      </w:tr>
      <w:tr w:rsidR="00C449BF" w14:paraId="183DE0AC" w14:textId="77777777">
        <w:trPr>
          <w:trHeight w:val="350"/>
        </w:trPr>
        <w:tc>
          <w:tcPr>
            <w:tcW w:w="2880" w:type="dxa"/>
            <w:gridSpan w:val="2"/>
            <w:shd w:val="clear" w:color="auto" w:fill="FFFFFF"/>
            <w:vAlign w:val="center"/>
          </w:tcPr>
          <w:p w14:paraId="3C4FAE91" w14:textId="77777777" w:rsidR="00C449BF" w:rsidRPr="00EC55B3" w:rsidRDefault="00C449BF" w:rsidP="00C449BF">
            <w:pPr>
              <w:pStyle w:val="Header"/>
            </w:pPr>
            <w:r w:rsidRPr="00EC55B3">
              <w:t>Name</w:t>
            </w:r>
          </w:p>
        </w:tc>
        <w:tc>
          <w:tcPr>
            <w:tcW w:w="7560" w:type="dxa"/>
            <w:gridSpan w:val="2"/>
            <w:vAlign w:val="center"/>
          </w:tcPr>
          <w:p w14:paraId="57E8C797" w14:textId="30CD0788" w:rsidR="00C449BF" w:rsidRDefault="00C449BF" w:rsidP="00C449BF">
            <w:pPr>
              <w:pStyle w:val="NormalArial"/>
            </w:pPr>
            <w:r>
              <w:t>Blake Holt, Trevor Safko</w:t>
            </w:r>
          </w:p>
        </w:tc>
      </w:tr>
      <w:tr w:rsidR="00C449BF" w14:paraId="7EDBF112" w14:textId="77777777">
        <w:trPr>
          <w:trHeight w:val="350"/>
        </w:trPr>
        <w:tc>
          <w:tcPr>
            <w:tcW w:w="2880" w:type="dxa"/>
            <w:gridSpan w:val="2"/>
            <w:shd w:val="clear" w:color="auto" w:fill="FFFFFF"/>
            <w:vAlign w:val="center"/>
          </w:tcPr>
          <w:p w14:paraId="18E0E0C8" w14:textId="77777777" w:rsidR="00C449BF" w:rsidRPr="00EC55B3" w:rsidRDefault="00C449BF" w:rsidP="00C449BF">
            <w:pPr>
              <w:pStyle w:val="Header"/>
            </w:pPr>
            <w:r w:rsidRPr="00EC55B3">
              <w:t>E-mail Address</w:t>
            </w:r>
          </w:p>
        </w:tc>
        <w:tc>
          <w:tcPr>
            <w:tcW w:w="7560" w:type="dxa"/>
            <w:gridSpan w:val="2"/>
            <w:vAlign w:val="center"/>
          </w:tcPr>
          <w:p w14:paraId="061C1846" w14:textId="407BE154" w:rsidR="00C449BF" w:rsidRDefault="00C449BF" w:rsidP="00C449BF">
            <w:pPr>
              <w:pStyle w:val="NormalArial"/>
            </w:pPr>
            <w:hyperlink r:id="rId12" w:history="1">
              <w:r>
                <w:rPr>
                  <w:rStyle w:val="Hyperlink"/>
                </w:rPr>
                <w:t>blake.holt@lcra.org</w:t>
              </w:r>
            </w:hyperlink>
            <w:r>
              <w:t xml:space="preserve">, </w:t>
            </w:r>
            <w:hyperlink r:id="rId13" w:history="1">
              <w:r w:rsidRPr="00BB2877">
                <w:rPr>
                  <w:rStyle w:val="Hyperlink"/>
                </w:rPr>
                <w:t>trevor.safko@lcra.org</w:t>
              </w:r>
            </w:hyperlink>
          </w:p>
        </w:tc>
      </w:tr>
      <w:tr w:rsidR="00C449BF" w14:paraId="5D270E1A" w14:textId="77777777">
        <w:trPr>
          <w:trHeight w:val="350"/>
        </w:trPr>
        <w:tc>
          <w:tcPr>
            <w:tcW w:w="2880" w:type="dxa"/>
            <w:gridSpan w:val="2"/>
            <w:shd w:val="clear" w:color="auto" w:fill="FFFFFF"/>
            <w:vAlign w:val="center"/>
          </w:tcPr>
          <w:p w14:paraId="56BC2FDB" w14:textId="77777777" w:rsidR="00C449BF" w:rsidRPr="00EC55B3" w:rsidRDefault="00C449BF" w:rsidP="00C449BF">
            <w:pPr>
              <w:pStyle w:val="Header"/>
            </w:pPr>
            <w:r w:rsidRPr="00EC55B3">
              <w:t>Company</w:t>
            </w:r>
          </w:p>
        </w:tc>
        <w:tc>
          <w:tcPr>
            <w:tcW w:w="7560" w:type="dxa"/>
            <w:gridSpan w:val="2"/>
            <w:vAlign w:val="center"/>
          </w:tcPr>
          <w:p w14:paraId="0C84C931" w14:textId="22958093" w:rsidR="00C449BF" w:rsidRDefault="00C449BF" w:rsidP="00C449BF">
            <w:pPr>
              <w:pStyle w:val="NormalArial"/>
            </w:pPr>
            <w:r>
              <w:t>Lower Colorado River Authority (LCRA)</w:t>
            </w:r>
          </w:p>
        </w:tc>
      </w:tr>
      <w:tr w:rsidR="00C449BF" w14:paraId="0B87EF1C" w14:textId="77777777">
        <w:trPr>
          <w:trHeight w:val="350"/>
        </w:trPr>
        <w:tc>
          <w:tcPr>
            <w:tcW w:w="2880" w:type="dxa"/>
            <w:gridSpan w:val="2"/>
            <w:tcBorders>
              <w:bottom w:val="single" w:sz="4" w:space="0" w:color="auto"/>
            </w:tcBorders>
            <w:shd w:val="clear" w:color="auto" w:fill="FFFFFF"/>
            <w:vAlign w:val="center"/>
          </w:tcPr>
          <w:p w14:paraId="3E54E937" w14:textId="77777777" w:rsidR="00C449BF" w:rsidRPr="00EC55B3" w:rsidRDefault="00C449BF" w:rsidP="00C449BF">
            <w:pPr>
              <w:pStyle w:val="Header"/>
            </w:pPr>
            <w:r w:rsidRPr="00EC55B3">
              <w:t>Phone Number</w:t>
            </w:r>
          </w:p>
        </w:tc>
        <w:tc>
          <w:tcPr>
            <w:tcW w:w="7560" w:type="dxa"/>
            <w:gridSpan w:val="2"/>
            <w:tcBorders>
              <w:bottom w:val="single" w:sz="4" w:space="0" w:color="auto"/>
            </w:tcBorders>
            <w:vAlign w:val="center"/>
          </w:tcPr>
          <w:p w14:paraId="5A83C0CA" w14:textId="5C723FAC" w:rsidR="00C449BF" w:rsidRDefault="00C449BF" w:rsidP="00C449BF">
            <w:pPr>
              <w:pStyle w:val="NormalArial"/>
            </w:pPr>
            <w:r>
              <w:t>254-913-8096</w:t>
            </w:r>
          </w:p>
        </w:tc>
      </w:tr>
      <w:tr w:rsidR="00C449BF" w14:paraId="19668AC7" w14:textId="77777777">
        <w:trPr>
          <w:trHeight w:val="350"/>
        </w:trPr>
        <w:tc>
          <w:tcPr>
            <w:tcW w:w="2880" w:type="dxa"/>
            <w:gridSpan w:val="2"/>
            <w:shd w:val="clear" w:color="auto" w:fill="FFFFFF"/>
            <w:vAlign w:val="center"/>
          </w:tcPr>
          <w:p w14:paraId="78ECC3F5" w14:textId="77777777" w:rsidR="00C449BF" w:rsidRPr="00EC55B3" w:rsidRDefault="00C449BF" w:rsidP="00C449BF">
            <w:pPr>
              <w:pStyle w:val="Header"/>
            </w:pPr>
            <w:r>
              <w:t>Cell</w:t>
            </w:r>
            <w:r w:rsidRPr="00EC55B3">
              <w:t xml:space="preserve"> Number</w:t>
            </w:r>
          </w:p>
        </w:tc>
        <w:tc>
          <w:tcPr>
            <w:tcW w:w="7560" w:type="dxa"/>
            <w:gridSpan w:val="2"/>
            <w:vAlign w:val="center"/>
          </w:tcPr>
          <w:p w14:paraId="2E269673" w14:textId="77777777" w:rsidR="00C449BF" w:rsidRDefault="00C449BF" w:rsidP="00C449BF">
            <w:pPr>
              <w:pStyle w:val="NormalArial"/>
            </w:pPr>
          </w:p>
        </w:tc>
      </w:tr>
      <w:tr w:rsidR="00C449BF" w14:paraId="068E95C3" w14:textId="77777777">
        <w:trPr>
          <w:trHeight w:val="350"/>
        </w:trPr>
        <w:tc>
          <w:tcPr>
            <w:tcW w:w="2880" w:type="dxa"/>
            <w:gridSpan w:val="2"/>
            <w:tcBorders>
              <w:bottom w:val="single" w:sz="4" w:space="0" w:color="auto"/>
            </w:tcBorders>
            <w:shd w:val="clear" w:color="auto" w:fill="FFFFFF"/>
            <w:vAlign w:val="center"/>
          </w:tcPr>
          <w:p w14:paraId="0DE6B556" w14:textId="77777777" w:rsidR="00C449BF" w:rsidRPr="00EC55B3" w:rsidDel="00075A94" w:rsidRDefault="00C449BF" w:rsidP="00C449BF">
            <w:pPr>
              <w:pStyle w:val="Header"/>
            </w:pPr>
            <w:r>
              <w:t>Market Segment</w:t>
            </w:r>
          </w:p>
        </w:tc>
        <w:tc>
          <w:tcPr>
            <w:tcW w:w="7560" w:type="dxa"/>
            <w:gridSpan w:val="2"/>
            <w:tcBorders>
              <w:bottom w:val="single" w:sz="4" w:space="0" w:color="auto"/>
            </w:tcBorders>
            <w:vAlign w:val="center"/>
          </w:tcPr>
          <w:p w14:paraId="66C74AD4" w14:textId="26019323" w:rsidR="00C449BF" w:rsidRDefault="00C449BF" w:rsidP="00C449BF">
            <w:pPr>
              <w:pStyle w:val="NormalArial"/>
            </w:pPr>
            <w:r>
              <w:t>Cooperative</w:t>
            </w:r>
          </w:p>
        </w:tc>
      </w:tr>
    </w:tbl>
    <w:p w14:paraId="27141F26"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61586" w:rsidRPr="00E4193B" w14:paraId="3FA65A65" w14:textId="77777777" w:rsidTr="004B58B8">
        <w:trPr>
          <w:trHeight w:val="440"/>
        </w:trPr>
        <w:tc>
          <w:tcPr>
            <w:tcW w:w="10440" w:type="dxa"/>
            <w:tcBorders>
              <w:top w:val="single" w:sz="4" w:space="0" w:color="auto"/>
              <w:left w:val="single" w:sz="4" w:space="0" w:color="auto"/>
              <w:bottom w:val="single" w:sz="4" w:space="0" w:color="auto"/>
              <w:right w:val="single" w:sz="4" w:space="0" w:color="auto"/>
            </w:tcBorders>
            <w:vAlign w:val="center"/>
          </w:tcPr>
          <w:p w14:paraId="11C7F8F4" w14:textId="77777777" w:rsidR="00461586" w:rsidRPr="00E4193B" w:rsidRDefault="00461586" w:rsidP="004B58B8">
            <w:pPr>
              <w:pStyle w:val="Header"/>
              <w:jc w:val="center"/>
              <w:rPr>
                <w:rFonts w:cs="Arial"/>
              </w:rPr>
            </w:pPr>
            <w:r>
              <w:rPr>
                <w:rFonts w:cs="Arial"/>
              </w:rPr>
              <w:t>Comments</w:t>
            </w:r>
          </w:p>
        </w:tc>
      </w:tr>
    </w:tbl>
    <w:p w14:paraId="134B370A" w14:textId="0E39EB5A" w:rsidR="00B456EA" w:rsidRDefault="0086411D" w:rsidP="00461586">
      <w:pPr>
        <w:pStyle w:val="NormalArial"/>
        <w:spacing w:before="120" w:after="120"/>
        <w:jc w:val="both"/>
      </w:pPr>
      <w:r>
        <w:t xml:space="preserve">LCRA submits </w:t>
      </w:r>
      <w:r w:rsidR="00151348">
        <w:t xml:space="preserve">these comments </w:t>
      </w:r>
      <w:r w:rsidR="00FF3C99">
        <w:t xml:space="preserve">to support development of Nodal Protocol Revision Request (NPRR) 1310 </w:t>
      </w:r>
      <w:r w:rsidR="00394285">
        <w:t xml:space="preserve">as a resource adequacy tool enabling ERCOT to better </w:t>
      </w:r>
      <w:r w:rsidR="00782DFE">
        <w:t xml:space="preserve">meet </w:t>
      </w:r>
      <w:r w:rsidR="003231FF">
        <w:t>its</w:t>
      </w:r>
      <w:r w:rsidR="00782DFE">
        <w:t xml:space="preserve"> PUC-</w:t>
      </w:r>
      <w:r w:rsidR="003231FF">
        <w:t xml:space="preserve">mandated </w:t>
      </w:r>
      <w:r w:rsidR="00782DFE">
        <w:t>reliability standard.</w:t>
      </w:r>
      <w:r w:rsidR="003231FF">
        <w:t xml:space="preserve"> A</w:t>
      </w:r>
      <w:r w:rsidR="000F320D">
        <w:t>s of</w:t>
      </w:r>
      <w:r w:rsidR="003231FF">
        <w:t xml:space="preserve"> this </w:t>
      </w:r>
      <w:r w:rsidR="000A55C9">
        <w:t>date</w:t>
      </w:r>
      <w:r w:rsidR="003231FF">
        <w:t xml:space="preserve">, ERCOT has not yet completed </w:t>
      </w:r>
      <w:r w:rsidR="000A55C9">
        <w:t xml:space="preserve">its first reliability standard </w:t>
      </w:r>
      <w:r w:rsidR="00400ED8">
        <w:t>assessment,</w:t>
      </w:r>
      <w:r w:rsidR="000A55C9">
        <w:t xml:space="preserve"> </w:t>
      </w:r>
      <w:r w:rsidR="00FF19DC">
        <w:t>so</w:t>
      </w:r>
      <w:r w:rsidR="000A55C9">
        <w:t xml:space="preserve"> the </w:t>
      </w:r>
      <w:r w:rsidR="00016DD7">
        <w:t>exact</w:t>
      </w:r>
      <w:r w:rsidR="000A55C9">
        <w:t xml:space="preserve"> dimensions of its resource adequacy </w:t>
      </w:r>
      <w:r w:rsidR="007C7BE6">
        <w:t>challenges</w:t>
      </w:r>
      <w:r w:rsidR="000A55C9">
        <w:t xml:space="preserve"> remain unknown. Nevertheless, </w:t>
      </w:r>
      <w:r w:rsidR="000F320D">
        <w:t>numerous resource adequacy studies</w:t>
      </w:r>
      <w:r w:rsidR="000F320D">
        <w:rPr>
          <w:rStyle w:val="FootnoteReference"/>
        </w:rPr>
        <w:footnoteReference w:id="1"/>
      </w:r>
      <w:r w:rsidR="000F320D">
        <w:rPr>
          <w:vertAlign w:val="superscript"/>
        </w:rPr>
        <w:t>,</w:t>
      </w:r>
      <w:r w:rsidR="000F320D">
        <w:rPr>
          <w:rStyle w:val="FootnoteReference"/>
        </w:rPr>
        <w:footnoteReference w:id="2"/>
      </w:r>
      <w:r w:rsidR="000F320D">
        <w:t xml:space="preserve"> have indicated that ERCOT lacks sufficient </w:t>
      </w:r>
      <w:r w:rsidR="00C90F7A">
        <w:t>long-duration</w:t>
      </w:r>
      <w:r w:rsidR="000F320D">
        <w:t xml:space="preserve"> capacity to meet the reliability standard in the absence of </w:t>
      </w:r>
      <w:r w:rsidR="000F320D" w:rsidRPr="000F320D">
        <w:rPr>
          <w:i/>
          <w:iCs/>
        </w:rPr>
        <w:t>significant</w:t>
      </w:r>
      <w:r w:rsidR="000F320D">
        <w:t xml:space="preserve"> market design improvements.</w:t>
      </w:r>
      <w:r w:rsidR="0097346C">
        <w:t xml:space="preserve"> </w:t>
      </w:r>
      <w:r w:rsidR="00B843F0">
        <w:t xml:space="preserve">The seriousness of </w:t>
      </w:r>
      <w:r w:rsidR="004A5939">
        <w:t xml:space="preserve">this reliability challenge threatens the competitive design </w:t>
      </w:r>
      <w:r w:rsidR="007B4E9E">
        <w:t xml:space="preserve">of </w:t>
      </w:r>
      <w:r w:rsidR="00FE1439">
        <w:t xml:space="preserve">the </w:t>
      </w:r>
      <w:r w:rsidR="007B4E9E">
        <w:t>ERCOT wholesale market.</w:t>
      </w:r>
      <w:r w:rsidR="008701E6">
        <w:t xml:space="preserve"> LCRA commits to collaborating with ERCOT and stakeholders </w:t>
      </w:r>
      <w:r w:rsidR="00A81E1A">
        <w:t xml:space="preserve">in the development of a holistic resource adequacy solution, of which </w:t>
      </w:r>
      <w:r w:rsidR="00866A48">
        <w:t>D</w:t>
      </w:r>
      <w:r w:rsidR="00DF32A6">
        <w:t xml:space="preserve">ispatchable </w:t>
      </w:r>
      <w:r w:rsidR="00866A48">
        <w:t>R</w:t>
      </w:r>
      <w:r w:rsidR="00DF32A6">
        <w:t xml:space="preserve">eliability </w:t>
      </w:r>
      <w:r w:rsidR="00866A48">
        <w:t>R</w:t>
      </w:r>
      <w:r w:rsidR="00DF32A6">
        <w:t xml:space="preserve">eserve </w:t>
      </w:r>
      <w:r w:rsidR="00866A48">
        <w:t>S</w:t>
      </w:r>
      <w:r w:rsidR="00C1584E">
        <w:t>ervice (DRRS)</w:t>
      </w:r>
      <w:r w:rsidR="00A81E1A">
        <w:t xml:space="preserve"> may play a significant role.</w:t>
      </w:r>
      <w:r w:rsidR="00A06385">
        <w:t xml:space="preserve"> To </w:t>
      </w:r>
      <w:r w:rsidR="00D47366">
        <w:t>that end, LCRA offers</w:t>
      </w:r>
      <w:r w:rsidR="00344A85">
        <w:t xml:space="preserve"> </w:t>
      </w:r>
      <w:r w:rsidR="00D47366">
        <w:t xml:space="preserve">several initial recommendations </w:t>
      </w:r>
      <w:r w:rsidR="00E535A0">
        <w:t xml:space="preserve">to improve NPRR1310 as a resource adequacy </w:t>
      </w:r>
      <w:r w:rsidR="00C1584E">
        <w:t xml:space="preserve">tool </w:t>
      </w:r>
      <w:r w:rsidR="00E21211">
        <w:t xml:space="preserve">and </w:t>
      </w:r>
      <w:r w:rsidR="00C04A60">
        <w:t xml:space="preserve">requests additional quantitative analysis of DRRS price formation to assist stakeholders and policymakers in calibrating DRRS </w:t>
      </w:r>
      <w:r w:rsidR="00C90F7A">
        <w:t xml:space="preserve">to solve </w:t>
      </w:r>
      <w:r w:rsidR="00C04A60">
        <w:t>for resource adequacy.</w:t>
      </w:r>
    </w:p>
    <w:p w14:paraId="03525546" w14:textId="0FD4883B" w:rsidR="00001C90" w:rsidRPr="00001C90" w:rsidRDefault="003744F4" w:rsidP="00461586">
      <w:pPr>
        <w:pStyle w:val="NormalArial"/>
        <w:spacing w:before="120" w:after="120"/>
        <w:jc w:val="both"/>
        <w:rPr>
          <w:b/>
          <w:bCs/>
        </w:rPr>
      </w:pPr>
      <w:r>
        <w:rPr>
          <w:b/>
          <w:bCs/>
        </w:rPr>
        <w:t>ERCOT</w:t>
      </w:r>
      <w:r w:rsidR="003F054C">
        <w:rPr>
          <w:b/>
          <w:bCs/>
        </w:rPr>
        <w:t>’s</w:t>
      </w:r>
      <w:r>
        <w:rPr>
          <w:b/>
          <w:bCs/>
        </w:rPr>
        <w:t xml:space="preserve"> </w:t>
      </w:r>
      <w:r w:rsidR="003F054C">
        <w:rPr>
          <w:b/>
          <w:bCs/>
        </w:rPr>
        <w:t xml:space="preserve">current </w:t>
      </w:r>
      <w:r>
        <w:rPr>
          <w:b/>
          <w:bCs/>
        </w:rPr>
        <w:t xml:space="preserve">market design </w:t>
      </w:r>
      <w:r w:rsidR="003F054C">
        <w:rPr>
          <w:b/>
          <w:bCs/>
        </w:rPr>
        <w:t>is insufficient to meet expected demand growth.</w:t>
      </w:r>
    </w:p>
    <w:p w14:paraId="605413C6" w14:textId="008B05F6" w:rsidR="003A187C" w:rsidRDefault="00D257BD" w:rsidP="00461586">
      <w:pPr>
        <w:pStyle w:val="NormalArial"/>
        <w:spacing w:before="120" w:after="120"/>
        <w:jc w:val="both"/>
      </w:pPr>
      <w:r>
        <w:t>ERCOT</w:t>
      </w:r>
      <w:r w:rsidR="00C81AAE">
        <w:t xml:space="preserve">’s energy-only </w:t>
      </w:r>
      <w:r w:rsidR="00A23D0D">
        <w:t xml:space="preserve">market </w:t>
      </w:r>
      <w:r w:rsidR="00C81AAE">
        <w:t>design</w:t>
      </w:r>
      <w:r>
        <w:t xml:space="preserve"> relies on price signals from its wholesale energy and </w:t>
      </w:r>
      <w:r w:rsidR="00866A48">
        <w:t>A</w:t>
      </w:r>
      <w:r>
        <w:t xml:space="preserve">ncillary </w:t>
      </w:r>
      <w:r w:rsidR="00866A48">
        <w:t>S</w:t>
      </w:r>
      <w:r>
        <w:t>ervice</w:t>
      </w:r>
      <w:r w:rsidR="00866A48">
        <w:t xml:space="preserve"> </w:t>
      </w:r>
      <w:r>
        <w:t xml:space="preserve">markets to attract </w:t>
      </w:r>
      <w:r w:rsidR="00B42F2B">
        <w:t xml:space="preserve">new investment in generation. </w:t>
      </w:r>
      <w:r w:rsidR="00347D3A">
        <w:t xml:space="preserve">In a </w:t>
      </w:r>
      <w:r w:rsidR="00A94F07">
        <w:t>well-designed</w:t>
      </w:r>
      <w:r w:rsidR="00347D3A">
        <w:t xml:space="preserve"> </w:t>
      </w:r>
      <w:r w:rsidR="00347D3A">
        <w:lastRenderedPageBreak/>
        <w:t xml:space="preserve">market, these </w:t>
      </w:r>
      <w:r w:rsidR="00C90F7A">
        <w:t xml:space="preserve">spot market </w:t>
      </w:r>
      <w:r w:rsidR="00347D3A">
        <w:t xml:space="preserve">price signals </w:t>
      </w:r>
      <w:r w:rsidR="00C90F7A">
        <w:t>influence prices in forward markets and</w:t>
      </w:r>
      <w:r w:rsidR="0024351F">
        <w:t xml:space="preserve"> </w:t>
      </w:r>
      <w:r w:rsidR="009475DE">
        <w:t>are</w:t>
      </w:r>
      <w:r w:rsidR="00C90F7A">
        <w:t xml:space="preserve"> subsequently</w:t>
      </w:r>
      <w:r w:rsidR="0024351F">
        <w:t xml:space="preserve"> </w:t>
      </w:r>
      <w:r w:rsidR="00C90F7A">
        <w:t xml:space="preserve">reflective of </w:t>
      </w:r>
      <w:r w:rsidR="00347D3A">
        <w:t>the system’s reliability needs</w:t>
      </w:r>
      <w:r w:rsidR="00C90F7A">
        <w:t>.</w:t>
      </w:r>
      <w:r w:rsidR="00A23D0D">
        <w:t xml:space="preserve"> </w:t>
      </w:r>
      <w:r w:rsidR="00C90F7A">
        <w:t>O</w:t>
      </w:r>
      <w:r w:rsidR="00A23D0D">
        <w:t xml:space="preserve">ver time, </w:t>
      </w:r>
      <w:r w:rsidR="0024351F">
        <w:t xml:space="preserve">this necessary sequence </w:t>
      </w:r>
      <w:r w:rsidR="00A23D0D">
        <w:t xml:space="preserve">would attract </w:t>
      </w:r>
      <w:r w:rsidR="00E60212">
        <w:t>investment in the most efficient resources to meet those needs</w:t>
      </w:r>
      <w:r w:rsidR="00D423EB">
        <w:t>.</w:t>
      </w:r>
      <w:r w:rsidR="0049299F">
        <w:t xml:space="preserve"> </w:t>
      </w:r>
      <w:r w:rsidR="00E60212">
        <w:t>However, t</w:t>
      </w:r>
      <w:r w:rsidR="00500541">
        <w:t xml:space="preserve">he current design of ERCOT’s energy and </w:t>
      </w:r>
      <w:r w:rsidR="009D100B">
        <w:t>A</w:t>
      </w:r>
      <w:r w:rsidR="00866A48">
        <w:t xml:space="preserve">ncillary </w:t>
      </w:r>
      <w:r w:rsidR="009D100B">
        <w:t>S</w:t>
      </w:r>
      <w:r w:rsidR="00866A48">
        <w:t>ervice</w:t>
      </w:r>
      <w:r w:rsidR="009D100B" w:rsidDel="009D100B">
        <w:t xml:space="preserve"> </w:t>
      </w:r>
      <w:r w:rsidR="00704115">
        <w:t xml:space="preserve">markets </w:t>
      </w:r>
      <w:r w:rsidR="00500541">
        <w:t xml:space="preserve">relies on </w:t>
      </w:r>
      <w:r w:rsidR="00704115">
        <w:t xml:space="preserve">an outdated shortage </w:t>
      </w:r>
      <w:r w:rsidR="00500541">
        <w:t xml:space="preserve">pricing </w:t>
      </w:r>
      <w:r w:rsidR="00704115">
        <w:t>mechanism</w:t>
      </w:r>
      <w:r w:rsidR="005E274E">
        <w:t xml:space="preserve"> (i.e., the aggregated operating reserve demand curve</w:t>
      </w:r>
      <w:r w:rsidR="003775C4">
        <w:t xml:space="preserve"> (AORDC)</w:t>
      </w:r>
      <w:r w:rsidR="005E274E">
        <w:t>)</w:t>
      </w:r>
      <w:r w:rsidR="0004728D">
        <w:t xml:space="preserve"> calibrated to an inappropriate planning </w:t>
      </w:r>
      <w:r w:rsidR="00866A48">
        <w:t>V</w:t>
      </w:r>
      <w:r w:rsidR="0004728D">
        <w:t xml:space="preserve">alue of </w:t>
      </w:r>
      <w:r w:rsidR="00866A48">
        <w:t>L</w:t>
      </w:r>
      <w:r w:rsidR="0004728D">
        <w:t xml:space="preserve">ost </w:t>
      </w:r>
      <w:r w:rsidR="00866A48">
        <w:t>L</w:t>
      </w:r>
      <w:r w:rsidR="0004728D">
        <w:t>oad (VOLL)</w:t>
      </w:r>
      <w:r w:rsidR="003A082C">
        <w:t>. M</w:t>
      </w:r>
      <w:r w:rsidR="002B2ACF">
        <w:t>arket design</w:t>
      </w:r>
      <w:r w:rsidR="0004728D">
        <w:t xml:space="preserve"> </w:t>
      </w:r>
      <w:r w:rsidR="00E87354">
        <w:t>is</w:t>
      </w:r>
      <w:r w:rsidR="00B34B4A">
        <w:t xml:space="preserve"> </w:t>
      </w:r>
      <w:r w:rsidR="002B2ACF">
        <w:t xml:space="preserve">further </w:t>
      </w:r>
      <w:r w:rsidR="00B34B4A">
        <w:t xml:space="preserve">distorted by federal subsidies to intermittent renewables and </w:t>
      </w:r>
      <w:r w:rsidR="00E87354">
        <w:t xml:space="preserve">a </w:t>
      </w:r>
      <w:r w:rsidR="00B34B4A">
        <w:t>conservative operations</w:t>
      </w:r>
      <w:r w:rsidR="00E87354">
        <w:t xml:space="preserve"> policy enforced by grid operators</w:t>
      </w:r>
      <w:r w:rsidR="00B34B4A">
        <w:t>.</w:t>
      </w:r>
      <w:r w:rsidR="003A0A0B">
        <w:t xml:space="preserve"> In totality, these dynamics have </w:t>
      </w:r>
      <w:r w:rsidR="00E13E35">
        <w:t xml:space="preserve">dampened </w:t>
      </w:r>
      <w:r w:rsidR="00AB424F">
        <w:t>investment signals for resource adequacy</w:t>
      </w:r>
      <w:r w:rsidR="00004069">
        <w:t xml:space="preserve"> to </w:t>
      </w:r>
      <w:r w:rsidR="0052495A">
        <w:t xml:space="preserve">such an </w:t>
      </w:r>
      <w:r w:rsidR="00004069">
        <w:t xml:space="preserve">extent that ERCOT is </w:t>
      </w:r>
      <w:r w:rsidR="0052495A">
        <w:t xml:space="preserve">now </w:t>
      </w:r>
      <w:r w:rsidR="00004069">
        <w:t>seeking to expand non-competitive procurement of capacity</w:t>
      </w:r>
      <w:r w:rsidR="00BB5832">
        <w:rPr>
          <w:rStyle w:val="FootnoteReference"/>
        </w:rPr>
        <w:footnoteReference w:id="3"/>
      </w:r>
      <w:r w:rsidR="00004069">
        <w:t xml:space="preserve"> to meet growing demand.</w:t>
      </w:r>
    </w:p>
    <w:p w14:paraId="70C79689" w14:textId="19DBB37C" w:rsidR="003F054C" w:rsidRPr="003F054C" w:rsidRDefault="004720DC" w:rsidP="00461586">
      <w:pPr>
        <w:pStyle w:val="NormalArial"/>
        <w:spacing w:before="120" w:after="120"/>
        <w:jc w:val="both"/>
        <w:rPr>
          <w:b/>
          <w:bCs/>
        </w:rPr>
      </w:pPr>
      <w:r>
        <w:rPr>
          <w:b/>
          <w:bCs/>
        </w:rPr>
        <w:t>The resource adequacy</w:t>
      </w:r>
      <w:r w:rsidR="00396C69">
        <w:rPr>
          <w:b/>
          <w:bCs/>
        </w:rPr>
        <w:t xml:space="preserve"> portion of the</w:t>
      </w:r>
      <w:r>
        <w:rPr>
          <w:b/>
          <w:bCs/>
        </w:rPr>
        <w:t xml:space="preserve"> DRRS plan </w:t>
      </w:r>
      <w:r w:rsidR="007C2806">
        <w:rPr>
          <w:b/>
          <w:bCs/>
        </w:rPr>
        <w:t xml:space="preserve">and DRRS release factors </w:t>
      </w:r>
      <w:r w:rsidR="00396C69">
        <w:rPr>
          <w:b/>
          <w:bCs/>
        </w:rPr>
        <w:t xml:space="preserve">should be </w:t>
      </w:r>
      <w:r w:rsidR="00D02543">
        <w:rPr>
          <w:b/>
          <w:bCs/>
        </w:rPr>
        <w:t xml:space="preserve">determined </w:t>
      </w:r>
      <w:r w:rsidR="00F96CAA">
        <w:rPr>
          <w:b/>
          <w:bCs/>
        </w:rPr>
        <w:t>explicitly</w:t>
      </w:r>
      <w:r w:rsidR="00396C69">
        <w:rPr>
          <w:b/>
          <w:bCs/>
        </w:rPr>
        <w:t xml:space="preserve"> by </w:t>
      </w:r>
      <w:r w:rsidR="00D02543">
        <w:rPr>
          <w:b/>
          <w:bCs/>
        </w:rPr>
        <w:t>the triennial reliability standard assessment.</w:t>
      </w:r>
    </w:p>
    <w:p w14:paraId="1209C8CA" w14:textId="42EAED78" w:rsidR="00B1459A" w:rsidRDefault="00701137" w:rsidP="00461586">
      <w:pPr>
        <w:pStyle w:val="NormalArial"/>
        <w:spacing w:before="120" w:after="120"/>
        <w:jc w:val="both"/>
      </w:pPr>
      <w:r>
        <w:t>Although i</w:t>
      </w:r>
      <w:r w:rsidR="00ED214C">
        <w:t xml:space="preserve">t </w:t>
      </w:r>
      <w:r w:rsidR="0052495A">
        <w:t xml:space="preserve">is unrealistic to expect NPRR1310 to fully address </w:t>
      </w:r>
      <w:r>
        <w:t xml:space="preserve">the structural </w:t>
      </w:r>
      <w:r w:rsidR="0052495A">
        <w:t>challenges</w:t>
      </w:r>
      <w:r w:rsidR="00D91309">
        <w:t xml:space="preserve"> listed above</w:t>
      </w:r>
      <w:r>
        <w:t xml:space="preserve">, </w:t>
      </w:r>
      <w:r w:rsidR="001E6683">
        <w:t xml:space="preserve">its design should be modified to maximize </w:t>
      </w:r>
      <w:r w:rsidR="00DF32A6">
        <w:t>its value as a resource adequacy tool.</w:t>
      </w:r>
      <w:r w:rsidR="00C1584E">
        <w:t xml:space="preserve"> </w:t>
      </w:r>
      <w:r w:rsidR="002D7B32">
        <w:t xml:space="preserve">DRRS is designed as an </w:t>
      </w:r>
      <w:r w:rsidR="009D100B">
        <w:t>A</w:t>
      </w:r>
      <w:r w:rsidR="00866A48">
        <w:t xml:space="preserve">ncillary </w:t>
      </w:r>
      <w:r w:rsidR="009D100B">
        <w:t>S</w:t>
      </w:r>
      <w:r w:rsidR="00866A48">
        <w:t>ervice</w:t>
      </w:r>
      <w:r w:rsidR="009D100B" w:rsidDel="009D100B">
        <w:t xml:space="preserve"> </w:t>
      </w:r>
      <w:r w:rsidR="002D7B32">
        <w:t>under both NPRR1309</w:t>
      </w:r>
      <w:r w:rsidR="00866A48">
        <w:t xml:space="preserve">, </w:t>
      </w:r>
      <w:r w:rsidR="00866A48" w:rsidRPr="00866A48">
        <w:t>Board Priority - Dispatchable Reliability Reserve Service Ancillary Service</w:t>
      </w:r>
      <w:r w:rsidR="00866A48">
        <w:t>,</w:t>
      </w:r>
      <w:r w:rsidR="002D7B32">
        <w:t xml:space="preserve"> and NPRR1310. </w:t>
      </w:r>
      <w:r w:rsidR="00C23E25">
        <w:t>ERCOT has indicated in stakeholder workshops th</w:t>
      </w:r>
      <w:r w:rsidR="00AA63FA">
        <w:t xml:space="preserve">at procurement of DRRS </w:t>
      </w:r>
      <w:r w:rsidR="00AA63FA" w:rsidRPr="007B090C">
        <w:rPr>
          <w:i/>
          <w:iCs/>
        </w:rPr>
        <w:t>can</w:t>
      </w:r>
      <w:r w:rsidR="00AA63FA">
        <w:t xml:space="preserve"> achieve a resource adequacy goal if the </w:t>
      </w:r>
      <w:r w:rsidR="009D100B">
        <w:t>A</w:t>
      </w:r>
      <w:r w:rsidR="00866A48">
        <w:t xml:space="preserve">ncillary </w:t>
      </w:r>
      <w:r w:rsidR="009D100B">
        <w:t>S</w:t>
      </w:r>
      <w:r w:rsidR="00866A48">
        <w:t>ervice</w:t>
      </w:r>
      <w:r w:rsidR="009D100B" w:rsidDel="009D100B">
        <w:t xml:space="preserve"> </w:t>
      </w:r>
      <w:r w:rsidR="00AA63FA">
        <w:t>plan size is increased beyond operational quantities (</w:t>
      </w:r>
      <w:r w:rsidR="007B230C">
        <w:t>e.g</w:t>
      </w:r>
      <w:r w:rsidR="00AA63FA">
        <w:t>., 1 – 4 GW) to resource adequacy quantities (</w:t>
      </w:r>
      <w:r w:rsidR="007B230C">
        <w:t xml:space="preserve">e.g., 80 – 100 GW) </w:t>
      </w:r>
      <w:r w:rsidR="00D91309">
        <w:t xml:space="preserve">as </w:t>
      </w:r>
      <w:r w:rsidR="007B230C">
        <w:t xml:space="preserve">determined by ERCOT’s </w:t>
      </w:r>
      <w:r w:rsidR="00963BA6">
        <w:t xml:space="preserve">triennial </w:t>
      </w:r>
      <w:r w:rsidR="007B230C">
        <w:t>reliability standard assessment</w:t>
      </w:r>
      <w:r w:rsidR="00963BA6">
        <w:rPr>
          <w:rStyle w:val="FootnoteReference"/>
        </w:rPr>
        <w:footnoteReference w:id="4"/>
      </w:r>
      <w:r w:rsidR="007B230C">
        <w:t xml:space="preserve">. </w:t>
      </w:r>
      <w:r w:rsidR="002B016F">
        <w:t>Under NPRR1310, a</w:t>
      </w:r>
      <w:r w:rsidR="00CE21B9">
        <w:t xml:space="preserve">wards of DRRS will be allowed to overlap with </w:t>
      </w:r>
      <w:r w:rsidR="00802475">
        <w:t xml:space="preserve">a Resource’s energy awards and </w:t>
      </w:r>
      <w:r w:rsidR="00D91309">
        <w:t xml:space="preserve">the </w:t>
      </w:r>
      <w:r w:rsidR="00802475">
        <w:t xml:space="preserve">awards of other operational </w:t>
      </w:r>
      <w:r w:rsidR="009D100B">
        <w:t>A</w:t>
      </w:r>
      <w:r w:rsidR="00866A48">
        <w:t xml:space="preserve">ncillary </w:t>
      </w:r>
      <w:r w:rsidR="009D100B">
        <w:t>S</w:t>
      </w:r>
      <w:r w:rsidR="00866A48">
        <w:t>ervices</w:t>
      </w:r>
      <w:r w:rsidR="009D100B" w:rsidDel="009D100B">
        <w:t xml:space="preserve"> </w:t>
      </w:r>
      <w:r w:rsidR="00802475">
        <w:t>based upon a</w:t>
      </w:r>
      <w:r w:rsidR="00026C97">
        <w:t>n ERCOT-determined</w:t>
      </w:r>
      <w:r w:rsidR="00B060CA">
        <w:t xml:space="preserve"> </w:t>
      </w:r>
      <w:r w:rsidR="00205BA3">
        <w:t>DRRS release factor (DRRSRF)</w:t>
      </w:r>
      <w:r w:rsidR="001C15C6">
        <w:t>.</w:t>
      </w:r>
      <w:r w:rsidR="00966A43">
        <w:t xml:space="preserve"> Because </w:t>
      </w:r>
      <w:r w:rsidR="00193164">
        <w:t xml:space="preserve">energy and </w:t>
      </w:r>
      <w:r w:rsidR="009D100B">
        <w:t>A</w:t>
      </w:r>
      <w:r w:rsidR="00866A48">
        <w:t xml:space="preserve">ncillary </w:t>
      </w:r>
      <w:r w:rsidR="009D100B">
        <w:t>S</w:t>
      </w:r>
      <w:r w:rsidR="00866A48">
        <w:t>ervice</w:t>
      </w:r>
      <w:r w:rsidR="009D100B" w:rsidDel="009D100B">
        <w:t xml:space="preserve"> </w:t>
      </w:r>
      <w:r w:rsidR="00193164">
        <w:t xml:space="preserve">procurement is co-optimized in the </w:t>
      </w:r>
      <w:r w:rsidR="00866A48">
        <w:t>D</w:t>
      </w:r>
      <w:r w:rsidR="00193164">
        <w:t>ay-</w:t>
      </w:r>
      <w:r w:rsidR="00866A48">
        <w:t>A</w:t>
      </w:r>
      <w:r w:rsidR="00193164">
        <w:t>head</w:t>
      </w:r>
      <w:r w:rsidR="00866A48">
        <w:t xml:space="preserve"> Market</w:t>
      </w:r>
      <w:r w:rsidR="009475DE">
        <w:t xml:space="preserve"> (DAM)</w:t>
      </w:r>
      <w:r w:rsidR="00193164">
        <w:t xml:space="preserve"> and </w:t>
      </w:r>
      <w:r w:rsidR="00866A48">
        <w:t>R</w:t>
      </w:r>
      <w:r w:rsidR="009475DE">
        <w:t>eal-</w:t>
      </w:r>
      <w:r w:rsidR="00866A48">
        <w:t>T</w:t>
      </w:r>
      <w:r w:rsidR="009475DE">
        <w:t xml:space="preserve">ime </w:t>
      </w:r>
      <w:r w:rsidR="00866A48">
        <w:t>M</w:t>
      </w:r>
      <w:r w:rsidR="009475DE">
        <w:t>arket (RTM)</w:t>
      </w:r>
      <w:r w:rsidR="00193164">
        <w:t xml:space="preserve">, </w:t>
      </w:r>
      <w:r w:rsidR="005300E0">
        <w:t xml:space="preserve">price formation </w:t>
      </w:r>
      <w:r w:rsidR="00C812DC">
        <w:t xml:space="preserve">for </w:t>
      </w:r>
      <w:r w:rsidR="00DA5D34">
        <w:t>DRRS</w:t>
      </w:r>
      <w:r w:rsidR="00B841D8">
        <w:t xml:space="preserve"> </w:t>
      </w:r>
      <w:r w:rsidR="002B016F">
        <w:t xml:space="preserve">will </w:t>
      </w:r>
      <w:r w:rsidR="00DA5D34">
        <w:t xml:space="preserve">reflect </w:t>
      </w:r>
      <w:r w:rsidR="007F7C71">
        <w:t>shortage pricing</w:t>
      </w:r>
      <w:r w:rsidR="00B841D8">
        <w:t xml:space="preserve"> calculated </w:t>
      </w:r>
      <w:r w:rsidR="00FF65CA">
        <w:t xml:space="preserve">with an </w:t>
      </w:r>
      <w:r w:rsidR="009D100B">
        <w:t>A</w:t>
      </w:r>
      <w:r w:rsidR="00866A48">
        <w:t xml:space="preserve">ncillary </w:t>
      </w:r>
      <w:r w:rsidR="009D100B">
        <w:t>S</w:t>
      </w:r>
      <w:r w:rsidR="00866A48">
        <w:t>ervice</w:t>
      </w:r>
      <w:r w:rsidR="009D100B" w:rsidDel="009D100B">
        <w:t xml:space="preserve"> </w:t>
      </w:r>
      <w:r w:rsidR="00866A48">
        <w:t>D</w:t>
      </w:r>
      <w:r w:rsidR="003F2759">
        <w:t xml:space="preserve">emand </w:t>
      </w:r>
      <w:r w:rsidR="00866A48">
        <w:t>C</w:t>
      </w:r>
      <w:r w:rsidR="003F2759">
        <w:t>urve (ASDC)</w:t>
      </w:r>
      <w:r w:rsidR="007F7C71">
        <w:t xml:space="preserve"> from </w:t>
      </w:r>
      <w:r w:rsidR="00C812DC">
        <w:t xml:space="preserve">competitive offers </w:t>
      </w:r>
      <w:r w:rsidR="00F121F9">
        <w:t xml:space="preserve">failing to </w:t>
      </w:r>
      <w:r w:rsidR="007F7C71">
        <w:t xml:space="preserve">fill </w:t>
      </w:r>
      <w:r w:rsidR="005300E0">
        <w:t xml:space="preserve">the </w:t>
      </w:r>
      <w:r w:rsidR="00267CC1">
        <w:t xml:space="preserve">DRRS </w:t>
      </w:r>
      <w:r w:rsidR="005300E0">
        <w:t>plan</w:t>
      </w:r>
      <w:r w:rsidR="003F2759">
        <w:t xml:space="preserve"> for that operating hour</w:t>
      </w:r>
      <w:r w:rsidR="005300E0">
        <w:t>.</w:t>
      </w:r>
      <w:r w:rsidR="00563301">
        <w:t xml:space="preserve"> </w:t>
      </w:r>
      <w:r w:rsidR="006740F8">
        <w:t>Thus</w:t>
      </w:r>
      <w:r w:rsidR="00812003">
        <w:t xml:space="preserve">, </w:t>
      </w:r>
      <w:r w:rsidR="003D2945">
        <w:t xml:space="preserve">the efficacy of </w:t>
      </w:r>
      <w:r w:rsidR="00812003">
        <w:t>ERCOT</w:t>
      </w:r>
      <w:r w:rsidR="00563301">
        <w:t xml:space="preserve">’s </w:t>
      </w:r>
      <w:r w:rsidR="00304715">
        <w:t xml:space="preserve">proposed resource adequacy tool </w:t>
      </w:r>
      <w:r w:rsidR="00043DF7">
        <w:t xml:space="preserve">(i.e., NPRR1310) </w:t>
      </w:r>
      <w:r w:rsidR="003D2945">
        <w:t>will</w:t>
      </w:r>
      <w:r w:rsidR="005D60A5">
        <w:t xml:space="preserve"> depend on ERCOT’s annual </w:t>
      </w:r>
      <w:r w:rsidR="009D100B">
        <w:t>A</w:t>
      </w:r>
      <w:r w:rsidR="00866A48">
        <w:t xml:space="preserve">ncillary </w:t>
      </w:r>
      <w:r w:rsidR="009D100B">
        <w:t>S</w:t>
      </w:r>
      <w:r w:rsidR="00866A48">
        <w:t>ervice</w:t>
      </w:r>
      <w:r w:rsidR="009D100B" w:rsidDel="009D100B">
        <w:t xml:space="preserve"> </w:t>
      </w:r>
      <w:r w:rsidR="005D60A5">
        <w:t xml:space="preserve">methodology for DRRS </w:t>
      </w:r>
      <w:r w:rsidR="009475DE">
        <w:t xml:space="preserve">to </w:t>
      </w:r>
      <w:r w:rsidR="003D2945">
        <w:t xml:space="preserve">correctly </w:t>
      </w:r>
      <w:r w:rsidR="009475DE">
        <w:t xml:space="preserve">predict </w:t>
      </w:r>
      <w:r w:rsidR="005D60A5">
        <w:t>the appropriate DRRS plan size and DRRSRF combination</w:t>
      </w:r>
      <w:r w:rsidR="00DF1190">
        <w:t xml:space="preserve"> for each hour of the upcoming year</w:t>
      </w:r>
      <w:r w:rsidR="00E833F0">
        <w:t xml:space="preserve"> that</w:t>
      </w:r>
      <w:r w:rsidR="009A377A">
        <w:t>,</w:t>
      </w:r>
      <w:r w:rsidR="00E833F0">
        <w:t xml:space="preserve"> in </w:t>
      </w:r>
      <w:r w:rsidR="005974D6">
        <w:t>tandem with the ASDC</w:t>
      </w:r>
      <w:r w:rsidR="009A377A">
        <w:t>,</w:t>
      </w:r>
      <w:r w:rsidR="005974D6">
        <w:t xml:space="preserve"> will</w:t>
      </w:r>
      <w:r w:rsidR="00DF1190">
        <w:t xml:space="preserve"> send </w:t>
      </w:r>
      <w:r w:rsidR="00F01D17">
        <w:t xml:space="preserve">the appropriate investment signal to the appropriate resources. </w:t>
      </w:r>
      <w:r w:rsidR="00592233">
        <w:t xml:space="preserve">Perhaps the most </w:t>
      </w:r>
      <w:r w:rsidR="00ED1A77">
        <w:t xml:space="preserve">impactful parameter on </w:t>
      </w:r>
      <w:r w:rsidR="00C677AD">
        <w:t xml:space="preserve">DRRS </w:t>
      </w:r>
      <w:r w:rsidR="00ED1A77">
        <w:t>price formation is the</w:t>
      </w:r>
      <w:r w:rsidR="00DD6B23">
        <w:t xml:space="preserve"> currently</w:t>
      </w:r>
      <w:r w:rsidR="00ED1A77">
        <w:t xml:space="preserve"> </w:t>
      </w:r>
      <w:r w:rsidR="001E7C4F">
        <w:t xml:space="preserve">unrestricted </w:t>
      </w:r>
      <w:r w:rsidR="00ED1A77">
        <w:t>DRRSR</w:t>
      </w:r>
      <w:r w:rsidR="00C677AD">
        <w:t xml:space="preserve">F </w:t>
      </w:r>
      <w:r w:rsidR="0024351F">
        <w:t xml:space="preserve">(value </w:t>
      </w:r>
      <w:r w:rsidR="00C677AD">
        <w:t>rang</w:t>
      </w:r>
      <w:r w:rsidR="0024351F">
        <w:t>ing</w:t>
      </w:r>
      <w:r w:rsidR="00C677AD">
        <w:t xml:space="preserve"> from 0 to 1</w:t>
      </w:r>
      <w:r w:rsidR="0024351F">
        <w:t>) which</w:t>
      </w:r>
      <w:r w:rsidR="00362EF9">
        <w:t xml:space="preserve"> </w:t>
      </w:r>
      <w:r w:rsidR="00442B0D" w:rsidRPr="00442B0D">
        <w:t>can be adjusted based on variables such as season, day, or hour</w:t>
      </w:r>
      <w:r w:rsidR="00491AF9">
        <w:rPr>
          <w:rStyle w:val="FootnoteReference"/>
        </w:rPr>
        <w:footnoteReference w:id="5"/>
      </w:r>
      <w:r w:rsidR="002470FC">
        <w:t>,</w:t>
      </w:r>
      <w:r w:rsidR="002470FC" w:rsidRPr="002470FC">
        <w:rPr>
          <w:rStyle w:val="FootnoteReference"/>
        </w:rPr>
        <w:t xml:space="preserve"> </w:t>
      </w:r>
      <w:r w:rsidR="00C677AD">
        <w:t>and i</w:t>
      </w:r>
      <w:r w:rsidR="008E4EF9">
        <w:t xml:space="preserve">s </w:t>
      </w:r>
      <w:r w:rsidR="00C677AD">
        <w:t xml:space="preserve">presumably determined </w:t>
      </w:r>
      <w:r w:rsidR="00443365">
        <w:t>during ERCOT’s annual review of its ancillary service methodology</w:t>
      </w:r>
      <w:r w:rsidR="00ED1A77">
        <w:t>.</w:t>
      </w:r>
      <w:r w:rsidR="00E80797">
        <w:t xml:space="preserve"> </w:t>
      </w:r>
      <w:r w:rsidR="00785381">
        <w:t xml:space="preserve">Adjustments to the DRRSRF will </w:t>
      </w:r>
      <w:r w:rsidR="00CA7E73">
        <w:t xml:space="preserve">directly </w:t>
      </w:r>
      <w:proofErr w:type="gramStart"/>
      <w:r w:rsidR="00CA7E73">
        <w:t xml:space="preserve">impact </w:t>
      </w:r>
      <w:r w:rsidR="00785381">
        <w:t xml:space="preserve">the </w:t>
      </w:r>
      <w:r w:rsidR="0024351F">
        <w:t>capacity awarded</w:t>
      </w:r>
      <w:proofErr w:type="gramEnd"/>
      <w:r w:rsidR="0024351F">
        <w:t xml:space="preserve"> </w:t>
      </w:r>
      <w:r w:rsidR="00CA7E73">
        <w:t>on dispatchable units</w:t>
      </w:r>
      <w:r w:rsidR="009C1F61">
        <w:t xml:space="preserve"> to meet ERCOT’s DRRS </w:t>
      </w:r>
      <w:r w:rsidR="0024351F">
        <w:t xml:space="preserve">operational and resource adequacy </w:t>
      </w:r>
      <w:r w:rsidR="009C1F61">
        <w:t>plan</w:t>
      </w:r>
      <w:r w:rsidR="0024351F">
        <w:t>s</w:t>
      </w:r>
      <w:r w:rsidR="009C1F61">
        <w:t>.</w:t>
      </w:r>
      <w:r w:rsidR="00CA7E73">
        <w:t xml:space="preserve"> </w:t>
      </w:r>
      <w:r w:rsidR="0059330B">
        <w:t xml:space="preserve">Because DRRS is an </w:t>
      </w:r>
      <w:r w:rsidR="009D100B">
        <w:t>A</w:t>
      </w:r>
      <w:r w:rsidR="00866A48">
        <w:t xml:space="preserve">ncillary </w:t>
      </w:r>
      <w:r w:rsidR="009D100B">
        <w:t>S</w:t>
      </w:r>
      <w:r w:rsidR="00866A48">
        <w:t>ervice</w:t>
      </w:r>
      <w:r w:rsidR="0059330B">
        <w:t xml:space="preserve">, </w:t>
      </w:r>
      <w:r w:rsidR="0004759A">
        <w:t xml:space="preserve">ERCOT </w:t>
      </w:r>
      <w:r w:rsidR="00CC4C62">
        <w:t xml:space="preserve">would have </w:t>
      </w:r>
      <w:r w:rsidR="0059330B">
        <w:t xml:space="preserve">sole </w:t>
      </w:r>
      <w:r w:rsidR="006E0FC7">
        <w:t>discretion</w:t>
      </w:r>
      <w:r w:rsidR="0004759A">
        <w:t xml:space="preserve"> </w:t>
      </w:r>
      <w:r w:rsidR="00CC4C62">
        <w:t xml:space="preserve">to </w:t>
      </w:r>
      <w:r w:rsidR="0024351F">
        <w:t xml:space="preserve">recommend a </w:t>
      </w:r>
      <w:r w:rsidR="00CC4C62">
        <w:t xml:space="preserve">change </w:t>
      </w:r>
      <w:r w:rsidR="0024351F">
        <w:t xml:space="preserve">to the Commission to modify </w:t>
      </w:r>
      <w:r w:rsidR="005974D6">
        <w:t>the strength of this</w:t>
      </w:r>
      <w:r w:rsidR="00F264EA">
        <w:t xml:space="preserve"> investment signal through </w:t>
      </w:r>
      <w:r w:rsidR="00CC4C62">
        <w:t xml:space="preserve">its </w:t>
      </w:r>
      <w:r w:rsidR="00F264EA">
        <w:t xml:space="preserve">annual </w:t>
      </w:r>
      <w:r w:rsidR="009D100B">
        <w:t>A</w:t>
      </w:r>
      <w:r w:rsidR="00866A48">
        <w:t xml:space="preserve">ncillary </w:t>
      </w:r>
      <w:r w:rsidR="009D100B">
        <w:t>S</w:t>
      </w:r>
      <w:r w:rsidR="00866A48">
        <w:t>ervice</w:t>
      </w:r>
      <w:r w:rsidR="009D100B" w:rsidDel="009D100B">
        <w:t xml:space="preserve"> </w:t>
      </w:r>
      <w:r w:rsidR="00CC4C62">
        <w:t xml:space="preserve">methodology </w:t>
      </w:r>
      <w:r w:rsidR="004A0E2E">
        <w:t>or</w:t>
      </w:r>
      <w:r w:rsidR="000C35EE">
        <w:t xml:space="preserve"> </w:t>
      </w:r>
      <w:r w:rsidR="000C35EE">
        <w:lastRenderedPageBreak/>
        <w:t xml:space="preserve">by adjusting the DRRS plan size </w:t>
      </w:r>
      <w:r w:rsidR="009475DE">
        <w:t xml:space="preserve">or </w:t>
      </w:r>
      <w:r w:rsidR="004A0E2E">
        <w:t>DRRSRFs at any time</w:t>
      </w:r>
      <w:r w:rsidR="000C35EE">
        <w:t xml:space="preserve"> throughout the year</w:t>
      </w:r>
      <w:r w:rsidR="006E0FC7">
        <w:t>.</w:t>
      </w:r>
      <w:r w:rsidR="009D100B">
        <w:t xml:space="preserve"> It’s worth noting that stakeholders do not have the formal ability to suggest updates to changes in the A</w:t>
      </w:r>
      <w:r w:rsidR="00866A48">
        <w:t xml:space="preserve">ncillary </w:t>
      </w:r>
      <w:r w:rsidR="009D100B">
        <w:t>S</w:t>
      </w:r>
      <w:r w:rsidR="00866A48">
        <w:t>ervice</w:t>
      </w:r>
      <w:r w:rsidR="009D100B">
        <w:t xml:space="preserve"> plan or presumably the value of the DRRSRF as envisioned in NPRR1310.</w:t>
      </w:r>
    </w:p>
    <w:p w14:paraId="0CD499D0" w14:textId="1BCAA392" w:rsidR="00701FF0" w:rsidRDefault="00701FF0" w:rsidP="00461586">
      <w:pPr>
        <w:pStyle w:val="NormalArial"/>
        <w:spacing w:before="120" w:after="120"/>
        <w:jc w:val="both"/>
      </w:pPr>
      <w:r>
        <w:t xml:space="preserve">This ‘black </w:t>
      </w:r>
      <w:proofErr w:type="gramStart"/>
      <w:r>
        <w:t>box’</w:t>
      </w:r>
      <w:proofErr w:type="gramEnd"/>
      <w:r>
        <w:t xml:space="preserve"> approach to resource adequacy</w:t>
      </w:r>
      <w:r w:rsidR="006B5363">
        <w:t xml:space="preserve"> </w:t>
      </w:r>
      <w:r w:rsidR="00F0338B">
        <w:t xml:space="preserve">creates unnecessary regulatory uncertainty and </w:t>
      </w:r>
      <w:r w:rsidR="006B5363">
        <w:t xml:space="preserve">is unlikely to create </w:t>
      </w:r>
      <w:r w:rsidR="00CB1B6C">
        <w:t>a stable investment signal sufficient to incentivize new market entrants</w:t>
      </w:r>
      <w:r w:rsidR="0004759A">
        <w:t xml:space="preserve"> as investors must evaluate the risks </w:t>
      </w:r>
      <w:r w:rsidR="009250C0">
        <w:t xml:space="preserve">and impacts </w:t>
      </w:r>
      <w:r w:rsidR="0004759A">
        <w:t xml:space="preserve">associated with </w:t>
      </w:r>
      <w:proofErr w:type="gramStart"/>
      <w:r w:rsidR="0004759A">
        <w:t>ERCOT</w:t>
      </w:r>
      <w:proofErr w:type="gramEnd"/>
      <w:r w:rsidR="0004759A">
        <w:t xml:space="preserve"> changing </w:t>
      </w:r>
      <w:proofErr w:type="gramStart"/>
      <w:r w:rsidR="009250C0">
        <w:t>its</w:t>
      </w:r>
      <w:proofErr w:type="gramEnd"/>
      <w:r w:rsidR="009250C0">
        <w:t xml:space="preserve"> DRRS plan size or DRRSRFs during the </w:t>
      </w:r>
      <w:r w:rsidR="00BB2484">
        <w:t>hypothetical lifetime of a new generation asset.</w:t>
      </w:r>
      <w:r w:rsidR="00BB1BF5">
        <w:t xml:space="preserve"> </w:t>
      </w:r>
      <w:r w:rsidR="00FF0105">
        <w:t xml:space="preserve">To improve the durability and predictability of the investment signal generated by NPRR1310, </w:t>
      </w:r>
      <w:r w:rsidR="001D57E4">
        <w:t xml:space="preserve">ERCOT and stakeholders </w:t>
      </w:r>
      <w:r w:rsidR="00FF0105">
        <w:t xml:space="preserve">should </w:t>
      </w:r>
      <w:r w:rsidR="00D86F73">
        <w:t xml:space="preserve">consider </w:t>
      </w:r>
      <w:r w:rsidR="008D2651">
        <w:t xml:space="preserve">including </w:t>
      </w:r>
      <w:proofErr w:type="gramStart"/>
      <w:r w:rsidR="008D2651">
        <w:t>controlling</w:t>
      </w:r>
      <w:r w:rsidR="00D86F73">
        <w:t xml:space="preserve"> language</w:t>
      </w:r>
      <w:proofErr w:type="gramEnd"/>
      <w:r w:rsidR="008D2651">
        <w:t xml:space="preserve"> for </w:t>
      </w:r>
      <w:r w:rsidR="006E31A2">
        <w:t xml:space="preserve">the resource adequacy portion of the </w:t>
      </w:r>
      <w:r w:rsidR="008D2651">
        <w:t>DRRS plan and DRRSRF methodology</w:t>
      </w:r>
      <w:r w:rsidR="00D86F73">
        <w:t xml:space="preserve"> in </w:t>
      </w:r>
      <w:r w:rsidR="00866A48">
        <w:t>N</w:t>
      </w:r>
      <w:r w:rsidR="00D86F73">
        <w:t xml:space="preserve">odal </w:t>
      </w:r>
      <w:r w:rsidR="00866A48">
        <w:t>P</w:t>
      </w:r>
      <w:r w:rsidR="00D86F73">
        <w:t xml:space="preserve">rotocols </w:t>
      </w:r>
      <w:r w:rsidR="008D2651">
        <w:t xml:space="preserve">or </w:t>
      </w:r>
      <w:r w:rsidR="00866A48">
        <w:t>O</w:t>
      </w:r>
      <w:r w:rsidR="00D86F73">
        <w:t xml:space="preserve">ther </w:t>
      </w:r>
      <w:r w:rsidR="00866A48">
        <w:t>B</w:t>
      </w:r>
      <w:r w:rsidR="00D86F73">
        <w:t xml:space="preserve">inding </w:t>
      </w:r>
      <w:r w:rsidR="00866A48">
        <w:t>D</w:t>
      </w:r>
      <w:r w:rsidR="00D86F73">
        <w:t>ocuments</w:t>
      </w:r>
      <w:r w:rsidR="008D2651">
        <w:t xml:space="preserve">. Not only will this </w:t>
      </w:r>
      <w:r w:rsidR="009475DE">
        <w:t>improve</w:t>
      </w:r>
      <w:r w:rsidR="008D2651">
        <w:t xml:space="preserve"> certainty to drive investment, </w:t>
      </w:r>
      <w:r w:rsidR="006E31A2">
        <w:t>but it will also</w:t>
      </w:r>
      <w:r w:rsidR="008D2651">
        <w:t xml:space="preserve"> </w:t>
      </w:r>
      <w:r w:rsidR="006E31A2">
        <w:t>limit ERCOT’s ability to modify the resource adequacy portion of the DRRS plan without thorough vetting by ERCOT stakeholders.</w:t>
      </w:r>
      <w:r w:rsidR="00EA4795">
        <w:t xml:space="preserve"> </w:t>
      </w:r>
      <w:r w:rsidR="008D2651" w:rsidRPr="008D2651">
        <w:t>Alternatively, i</w:t>
      </w:r>
      <w:r w:rsidR="009E28FB" w:rsidRPr="008D2651">
        <w:t>t may be useful</w:t>
      </w:r>
      <w:r w:rsidR="009E28FB" w:rsidRPr="009A377A">
        <w:t xml:space="preserve"> </w:t>
      </w:r>
      <w:r w:rsidR="009E28FB" w:rsidRPr="008D2651">
        <w:t>instead</w:t>
      </w:r>
      <w:r w:rsidR="009E28FB" w:rsidRPr="009A377A">
        <w:t xml:space="preserve"> </w:t>
      </w:r>
      <w:r w:rsidR="009E28FB" w:rsidRPr="008D2651">
        <w:t>to</w:t>
      </w:r>
      <w:r w:rsidR="00EC4AE0" w:rsidRPr="008D2651">
        <w:t xml:space="preserve"> </w:t>
      </w:r>
      <w:r w:rsidR="009E28FB" w:rsidRPr="009A377A">
        <w:t xml:space="preserve">require </w:t>
      </w:r>
      <w:r w:rsidR="00D86F73" w:rsidRPr="009A377A">
        <w:t>the DRRS plan size</w:t>
      </w:r>
      <w:r w:rsidR="006E31A2">
        <w:t xml:space="preserve"> for resource adequacy,</w:t>
      </w:r>
      <w:r w:rsidR="00EA4795">
        <w:t xml:space="preserve"> </w:t>
      </w:r>
      <w:r w:rsidR="00D86F73" w:rsidRPr="009A377A">
        <w:t>DRRSRF</w:t>
      </w:r>
      <w:r w:rsidR="00EA4795">
        <w:t xml:space="preserve"> values</w:t>
      </w:r>
      <w:r w:rsidR="006E31A2">
        <w:t>,</w:t>
      </w:r>
      <w:r w:rsidR="00D86F73" w:rsidRPr="009A377A">
        <w:t xml:space="preserve"> </w:t>
      </w:r>
      <w:r w:rsidR="008D2651">
        <w:t xml:space="preserve">and associated methodologies </w:t>
      </w:r>
      <w:r w:rsidR="00D86F73" w:rsidRPr="009A377A">
        <w:t xml:space="preserve">to be </w:t>
      </w:r>
      <w:r w:rsidR="00955635" w:rsidRPr="009A377A">
        <w:t>fixed</w:t>
      </w:r>
      <w:r w:rsidR="001D57E4" w:rsidRPr="009A377A">
        <w:t xml:space="preserve"> </w:t>
      </w:r>
      <w:r w:rsidR="008D2651">
        <w:t xml:space="preserve">for a set period of time </w:t>
      </w:r>
      <w:r w:rsidR="009E7F52" w:rsidRPr="009A377A">
        <w:t>based on the results of ERCOT’s most recent triennial reliability standard assessment</w:t>
      </w:r>
      <w:r w:rsidR="009E7F52" w:rsidRPr="008D2651">
        <w:t>. This assessment</w:t>
      </w:r>
      <w:r w:rsidR="009E7F52">
        <w:t xml:space="preserve"> </w:t>
      </w:r>
      <w:r w:rsidR="004A7C20">
        <w:t>should be designed</w:t>
      </w:r>
      <w:r w:rsidR="006E31A2">
        <w:t xml:space="preserve"> in a way</w:t>
      </w:r>
      <w:r w:rsidR="004A7C20">
        <w:t xml:space="preserve"> to reveal ‘the missing MW’ needed to meet the reliability standard</w:t>
      </w:r>
      <w:r w:rsidR="00D27406">
        <w:t xml:space="preserve"> </w:t>
      </w:r>
      <w:r w:rsidR="008D2651">
        <w:t>and the</w:t>
      </w:r>
      <w:r w:rsidR="00D27406">
        <w:t xml:space="preserve"> value should remain fixed until subsequent probabilistic assessments reveal the need has changed.</w:t>
      </w:r>
      <w:r w:rsidR="004A7C20">
        <w:t xml:space="preserve"> </w:t>
      </w:r>
    </w:p>
    <w:p w14:paraId="4FD46C6F" w14:textId="77777777" w:rsidR="00037AAF" w:rsidRDefault="00037AAF" w:rsidP="00461586">
      <w:pPr>
        <w:pStyle w:val="NormalArial"/>
        <w:spacing w:before="120" w:after="120"/>
        <w:jc w:val="both"/>
      </w:pPr>
      <w:r>
        <w:rPr>
          <w:b/>
          <w:bCs/>
        </w:rPr>
        <w:t>Stakeholders must consider resource adequacy holistically. DRRS may dampen prices for energy and online reserves.</w:t>
      </w:r>
    </w:p>
    <w:p w14:paraId="66239853" w14:textId="7832CDA5" w:rsidR="009A377A" w:rsidRPr="009A377A" w:rsidRDefault="00336B04" w:rsidP="00461586">
      <w:pPr>
        <w:pStyle w:val="NormalArial"/>
        <w:spacing w:before="120" w:after="120"/>
        <w:jc w:val="both"/>
      </w:pPr>
      <w:r>
        <w:t>An</w:t>
      </w:r>
      <w:r w:rsidR="00037AAF">
        <w:t xml:space="preserve"> inherent risk of the NPRR1310 design that should also be recognized is the impact to shortage pricing from increasing average </w:t>
      </w:r>
      <w:r w:rsidR="00866A48">
        <w:t>O</w:t>
      </w:r>
      <w:r w:rsidR="00037AAF">
        <w:t>n</w:t>
      </w:r>
      <w:r w:rsidR="00866A48">
        <w:t>-L</w:t>
      </w:r>
      <w:r w:rsidR="00037AAF">
        <w:t xml:space="preserve">ine capacity in the </w:t>
      </w:r>
      <w:r w:rsidR="009475DE">
        <w:t>RTM</w:t>
      </w:r>
      <w:r w:rsidR="00037AAF">
        <w:t xml:space="preserve">. On balance, replacing out-of-market </w:t>
      </w:r>
      <w:r w:rsidR="00B93BE4">
        <w:t xml:space="preserve">Reliability Unit Commitments </w:t>
      </w:r>
      <w:r w:rsidR="00037AAF">
        <w:t xml:space="preserve">(RUCs) with competitively procured DRRS deployments is a positive change for ERCOT market design. It is not yet known how resource owners will respond to the new operational price signal, but the net-impact may be to increase </w:t>
      </w:r>
      <w:r w:rsidR="00866A48">
        <w:t>O</w:t>
      </w:r>
      <w:r w:rsidR="00037AAF">
        <w:t>n</w:t>
      </w:r>
      <w:r w:rsidR="00866A48">
        <w:t>-L</w:t>
      </w:r>
      <w:r w:rsidR="00037AAF">
        <w:t xml:space="preserve">ine reserves during mild operational conditions, further dampening prices for energy and other </w:t>
      </w:r>
      <w:r w:rsidR="00866A48">
        <w:t>On-Line</w:t>
      </w:r>
      <w:r w:rsidR="00037AAF">
        <w:t xml:space="preserve"> reserve services. LCRA encourages ERCOT to consider the </w:t>
      </w:r>
      <w:r w:rsidR="00497ABD">
        <w:t xml:space="preserve">holistic </w:t>
      </w:r>
      <w:r w:rsidR="00037AAF">
        <w:t xml:space="preserve">impacts of DRRS on energy prices and other </w:t>
      </w:r>
      <w:r w:rsidR="009D100B">
        <w:t>A</w:t>
      </w:r>
      <w:r w:rsidR="00866A48">
        <w:t xml:space="preserve">ncillary </w:t>
      </w:r>
      <w:r w:rsidR="009D100B">
        <w:t>S</w:t>
      </w:r>
      <w:r w:rsidR="00866A48">
        <w:t>ervice</w:t>
      </w:r>
      <w:r w:rsidR="009D100B" w:rsidDel="009D100B">
        <w:t xml:space="preserve"> </w:t>
      </w:r>
      <w:r w:rsidR="00037AAF">
        <w:t xml:space="preserve">prices in evaluating the value of DRRS as a resource adequacy tool. Furthermore, LCRA supports efforts to recalibrate the current ASDC-based shortage pricing mechanism to more accurately reflect VOLL and ERCOT’s expected operational baseline for </w:t>
      </w:r>
      <w:r w:rsidR="00866A48">
        <w:t>On-Line</w:t>
      </w:r>
      <w:r w:rsidR="00037AAF">
        <w:t xml:space="preserve"> reserves.</w:t>
      </w:r>
      <w:r w:rsidR="00FD3D89">
        <w:t xml:space="preserve"> </w:t>
      </w:r>
    </w:p>
    <w:p w14:paraId="2AC8C304" w14:textId="792C9169" w:rsidR="00701FF0" w:rsidRDefault="00C678D4" w:rsidP="00461586">
      <w:pPr>
        <w:pStyle w:val="NormalArial"/>
        <w:spacing w:before="120" w:after="120"/>
        <w:jc w:val="both"/>
      </w:pPr>
      <w:r>
        <w:rPr>
          <w:b/>
          <w:bCs/>
        </w:rPr>
        <w:t>To meet the reliability standard the DRRS ASDC must be calibrated to support new investment in dispatchable resources.</w:t>
      </w:r>
    </w:p>
    <w:p w14:paraId="5F423504" w14:textId="105E0C53" w:rsidR="00F45986" w:rsidRDefault="00701FF0" w:rsidP="00461586">
      <w:pPr>
        <w:pStyle w:val="NormalArial"/>
        <w:spacing w:before="120" w:after="120"/>
        <w:jc w:val="both"/>
      </w:pPr>
      <w:r>
        <w:t>Unlike other markets</w:t>
      </w:r>
      <w:r w:rsidR="00166701">
        <w:rPr>
          <w:rStyle w:val="FootnoteReference"/>
        </w:rPr>
        <w:footnoteReference w:id="6"/>
      </w:r>
      <w:r>
        <w:t xml:space="preserve"> which </w:t>
      </w:r>
      <w:r w:rsidR="00AB51B9">
        <w:t xml:space="preserve">require </w:t>
      </w:r>
      <w:r w:rsidR="00580F12">
        <w:t xml:space="preserve">load serving entities to </w:t>
      </w:r>
      <w:proofErr w:type="gramStart"/>
      <w:r w:rsidR="00166701">
        <w:t>enter into</w:t>
      </w:r>
      <w:proofErr w:type="gramEnd"/>
      <w:r w:rsidR="00166701">
        <w:t xml:space="preserve"> </w:t>
      </w:r>
      <w:r w:rsidR="00AB51B9">
        <w:t>forward capacity contracts</w:t>
      </w:r>
      <w:r w:rsidR="003B5F05">
        <w:t xml:space="preserve"> </w:t>
      </w:r>
      <w:r w:rsidR="008D22D2">
        <w:t xml:space="preserve">(directly or </w:t>
      </w:r>
      <w:r w:rsidR="001D70A5">
        <w:t xml:space="preserve">indirectly </w:t>
      </w:r>
      <w:r w:rsidR="008D22D2">
        <w:t>through forward capacity markets)</w:t>
      </w:r>
      <w:r w:rsidR="00216EC3">
        <w:t>, ERCOT</w:t>
      </w:r>
      <w:r w:rsidR="00C84AD6">
        <w:t>’s energy-only design</w:t>
      </w:r>
      <w:r w:rsidR="00216EC3">
        <w:t xml:space="preserve"> relies on price signals </w:t>
      </w:r>
      <w:r w:rsidR="00943477">
        <w:t>from its wholesale</w:t>
      </w:r>
      <w:r w:rsidR="00C84AD6">
        <w:t xml:space="preserve"> energy and </w:t>
      </w:r>
      <w:r w:rsidR="009D100B">
        <w:t>A</w:t>
      </w:r>
      <w:r w:rsidR="00866A48">
        <w:t xml:space="preserve">ncillary </w:t>
      </w:r>
      <w:r w:rsidR="009D100B">
        <w:t>S</w:t>
      </w:r>
      <w:r w:rsidR="00866A48">
        <w:t>ervice</w:t>
      </w:r>
      <w:r w:rsidR="009D100B" w:rsidDel="009D100B">
        <w:t xml:space="preserve"> </w:t>
      </w:r>
      <w:r w:rsidR="00943477">
        <w:t xml:space="preserve">markets to incentivize new investment when </w:t>
      </w:r>
      <w:r w:rsidR="001D70A5">
        <w:t xml:space="preserve">reserve margins are </w:t>
      </w:r>
      <w:r w:rsidR="00943477">
        <w:t xml:space="preserve">tight, and to retire inefficient </w:t>
      </w:r>
      <w:r w:rsidR="00943477">
        <w:lastRenderedPageBreak/>
        <w:t>resources when the system is over-built.</w:t>
      </w:r>
      <w:r w:rsidR="00096A20">
        <w:t xml:space="preserve"> The cost of new entry (CONE) </w:t>
      </w:r>
      <w:r w:rsidR="00024628">
        <w:t xml:space="preserve">for generation therefore becomes an important </w:t>
      </w:r>
      <w:r w:rsidR="00ED55BF">
        <w:t>threshold</w:t>
      </w:r>
      <w:r w:rsidR="00024628">
        <w:t xml:space="preserve"> for mark</w:t>
      </w:r>
      <w:r w:rsidR="00583E07">
        <w:t xml:space="preserve">et performance. </w:t>
      </w:r>
      <w:r w:rsidR="00A131F3">
        <w:t xml:space="preserve">In the absence of a capacity contract requirement, the market </w:t>
      </w:r>
      <w:r w:rsidR="00A131F3" w:rsidRPr="00ED55BF">
        <w:rPr>
          <w:i/>
          <w:iCs/>
        </w:rPr>
        <w:t>must</w:t>
      </w:r>
      <w:r w:rsidR="00A131F3">
        <w:t xml:space="preserve"> </w:t>
      </w:r>
      <w:r w:rsidR="00ED55BF">
        <w:t>produce prices above this threshold</w:t>
      </w:r>
      <w:r w:rsidR="005D221A">
        <w:t xml:space="preserve">, </w:t>
      </w:r>
      <w:r w:rsidR="002C2399">
        <w:t xml:space="preserve">to not </w:t>
      </w:r>
      <w:r w:rsidR="005D221A">
        <w:t>only</w:t>
      </w:r>
      <w:r w:rsidR="002C2399">
        <w:t xml:space="preserve"> recover </w:t>
      </w:r>
      <w:r w:rsidR="00DF7C59">
        <w:t>costs associated with development and operation</w:t>
      </w:r>
      <w:r w:rsidR="0008352A">
        <w:t xml:space="preserve"> of a new </w:t>
      </w:r>
      <w:r w:rsidR="005D221A">
        <w:t xml:space="preserve">generation </w:t>
      </w:r>
      <w:r w:rsidR="0008352A">
        <w:t>facility, but also to provide</w:t>
      </w:r>
      <w:r w:rsidR="005D221A">
        <w:t xml:space="preserve"> a</w:t>
      </w:r>
      <w:r w:rsidR="0008352A">
        <w:t xml:space="preserve"> </w:t>
      </w:r>
      <w:r w:rsidR="001D70A5">
        <w:t>risk-adjusted</w:t>
      </w:r>
      <w:r w:rsidR="0008352A">
        <w:t xml:space="preserve"> return on </w:t>
      </w:r>
      <w:r w:rsidR="005D221A">
        <w:t xml:space="preserve">that </w:t>
      </w:r>
      <w:r w:rsidR="0008352A">
        <w:t xml:space="preserve">investment. </w:t>
      </w:r>
      <w:r w:rsidR="00DA7749">
        <w:t>As the IMM noted</w:t>
      </w:r>
      <w:r w:rsidR="00B544CE">
        <w:rPr>
          <w:rStyle w:val="FootnoteReference"/>
        </w:rPr>
        <w:footnoteReference w:id="7"/>
      </w:r>
      <w:r w:rsidR="00DA7749">
        <w:t xml:space="preserve"> </w:t>
      </w:r>
      <w:r w:rsidR="00730064">
        <w:t>in a recent presentation to ERCOT and stakeholders “</w:t>
      </w:r>
      <w:r w:rsidR="008A7E44">
        <w:t>There is no avoiding CONE…whether the market produces revenue to cover CONE or LSEs contract and must pay CONE for new capacity”</w:t>
      </w:r>
      <w:r w:rsidR="003A48A7">
        <w:t>.</w:t>
      </w:r>
      <w:r w:rsidR="00AD3E90">
        <w:t xml:space="preserve"> </w:t>
      </w:r>
      <w:r w:rsidR="00F45986">
        <w:t>LCRA supports ERCOT’s recommendation</w:t>
      </w:r>
      <w:r w:rsidR="00F45986">
        <w:rPr>
          <w:rStyle w:val="FootnoteReference"/>
        </w:rPr>
        <w:footnoteReference w:id="8"/>
      </w:r>
      <w:r w:rsidR="00F45986">
        <w:t xml:space="preserve"> to complete a truncated CONE study to support its reliability standard assessment. The Brattle Group previously calculated a $293/kW-Year CONE for an Aeroderivative LM6000 in its 2024 CONE study for the ERCOT market and this value is likely already outdated due to inflation and supply chain shortages. It is also worth emphasizing that </w:t>
      </w:r>
      <w:r w:rsidR="00F45986" w:rsidRPr="00C67215">
        <w:rPr>
          <w:i/>
          <w:iCs/>
        </w:rPr>
        <w:t xml:space="preserve">ERCOT’s current market design has resulted in revenues below this </w:t>
      </w:r>
      <w:r w:rsidR="00F04C61">
        <w:rPr>
          <w:i/>
          <w:iCs/>
        </w:rPr>
        <w:t>outdated</w:t>
      </w:r>
      <w:r w:rsidR="00F45986" w:rsidRPr="00C67215">
        <w:rPr>
          <w:i/>
          <w:iCs/>
        </w:rPr>
        <w:t xml:space="preserve"> threshold for </w:t>
      </w:r>
      <w:r w:rsidR="003A48A7">
        <w:rPr>
          <w:i/>
          <w:iCs/>
        </w:rPr>
        <w:t>nine out of the last ten</w:t>
      </w:r>
      <w:r w:rsidR="003A48A7" w:rsidRPr="00C67215">
        <w:rPr>
          <w:i/>
          <w:iCs/>
        </w:rPr>
        <w:t xml:space="preserve"> </w:t>
      </w:r>
      <w:r w:rsidR="00F45986" w:rsidRPr="00C67215">
        <w:rPr>
          <w:i/>
          <w:iCs/>
        </w:rPr>
        <w:t>years</w:t>
      </w:r>
      <w:r w:rsidR="00F45986">
        <w:t xml:space="preserve"> (Figure 1). </w:t>
      </w:r>
    </w:p>
    <w:p w14:paraId="27E4E066" w14:textId="1103DF80" w:rsidR="00CA0DAB" w:rsidRPr="00CA0DAB" w:rsidRDefault="00CA0DAB" w:rsidP="00461586">
      <w:pPr>
        <w:pStyle w:val="NormalArial"/>
        <w:spacing w:before="120" w:after="120"/>
        <w:jc w:val="both"/>
        <w:rPr>
          <w:sz w:val="20"/>
          <w:szCs w:val="20"/>
        </w:rPr>
      </w:pPr>
      <w:r w:rsidRPr="00E36DB0">
        <w:rPr>
          <w:b/>
          <w:bCs/>
          <w:sz w:val="20"/>
          <w:szCs w:val="20"/>
        </w:rPr>
        <w:t>Figure 1:</w:t>
      </w:r>
      <w:r w:rsidRPr="00E36DB0">
        <w:rPr>
          <w:sz w:val="20"/>
          <w:szCs w:val="20"/>
        </w:rPr>
        <w:t xml:space="preserve"> </w:t>
      </w:r>
      <w:r>
        <w:rPr>
          <w:sz w:val="20"/>
          <w:szCs w:val="20"/>
        </w:rPr>
        <w:t>Historic accumulated peaker net margin for ERCOT wholesale markets.</w:t>
      </w:r>
    </w:p>
    <w:p w14:paraId="6A561F79" w14:textId="70E75F88" w:rsidR="00F45986" w:rsidRDefault="008E50A4" w:rsidP="00461586">
      <w:pPr>
        <w:pStyle w:val="NormalArial"/>
        <w:spacing w:before="120" w:after="120"/>
        <w:jc w:val="both"/>
      </w:pPr>
      <w:r>
        <w:rPr>
          <w:noProof/>
        </w:rPr>
        <w:drawing>
          <wp:inline distT="0" distB="0" distL="0" distR="0" wp14:anchorId="5E1C3BB5" wp14:editId="75D46883">
            <wp:extent cx="5943600" cy="3646784"/>
            <wp:effectExtent l="0" t="0" r="0" b="0"/>
            <wp:docPr id="1603114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646784"/>
                    </a:xfrm>
                    <a:prstGeom prst="rect">
                      <a:avLst/>
                    </a:prstGeom>
                    <a:noFill/>
                  </pic:spPr>
                </pic:pic>
              </a:graphicData>
            </a:graphic>
          </wp:inline>
        </w:drawing>
      </w:r>
    </w:p>
    <w:p w14:paraId="0FB5E52B" w14:textId="09F8CAED" w:rsidR="00F45986" w:rsidRDefault="00F45986" w:rsidP="00461586">
      <w:pPr>
        <w:pStyle w:val="NormalArial"/>
        <w:spacing w:before="120" w:after="120"/>
        <w:jc w:val="both"/>
      </w:pPr>
    </w:p>
    <w:p w14:paraId="17647CD6" w14:textId="77777777" w:rsidR="009A377A" w:rsidRDefault="009A377A" w:rsidP="00461586">
      <w:pPr>
        <w:pStyle w:val="NormalArial"/>
        <w:spacing w:before="120" w:after="120"/>
        <w:jc w:val="both"/>
      </w:pPr>
    </w:p>
    <w:p w14:paraId="113D5C22" w14:textId="0F2A927A" w:rsidR="000404EC" w:rsidRDefault="00CA0DAB" w:rsidP="00461586">
      <w:pPr>
        <w:pStyle w:val="NormalArial"/>
        <w:spacing w:before="120" w:after="120"/>
        <w:jc w:val="both"/>
      </w:pPr>
      <w:r>
        <w:lastRenderedPageBreak/>
        <w:t xml:space="preserve">For DRRS to improve </w:t>
      </w:r>
      <w:r w:rsidR="00290F6A">
        <w:t xml:space="preserve">ERCOT’s </w:t>
      </w:r>
      <w:r>
        <w:t xml:space="preserve">resource adequacy outlook, the co-optimized energy and </w:t>
      </w:r>
      <w:r w:rsidR="009D100B">
        <w:t>AS</w:t>
      </w:r>
      <w:r w:rsidR="009D100B" w:rsidDel="009D100B">
        <w:t xml:space="preserve"> </w:t>
      </w:r>
      <w:r>
        <w:t xml:space="preserve">prices must result in generator revenues </w:t>
      </w:r>
      <w:r w:rsidR="00F04C61">
        <w:t>that at a minimum match</w:t>
      </w:r>
      <w:r>
        <w:t xml:space="preserve"> the updated CONE value with some predictable frequency.</w:t>
      </w:r>
      <w:r w:rsidR="00695E68">
        <w:t xml:space="preserve"> </w:t>
      </w:r>
      <w:r w:rsidR="000D0765">
        <w:t xml:space="preserve">If calibrated inappropriately, NPRR1310 </w:t>
      </w:r>
      <w:r w:rsidR="002606B9">
        <w:t xml:space="preserve">may </w:t>
      </w:r>
      <w:r w:rsidR="006552EB">
        <w:t xml:space="preserve">serve to </w:t>
      </w:r>
      <w:r w:rsidR="002606B9">
        <w:t xml:space="preserve">increase </w:t>
      </w:r>
      <w:r w:rsidR="009D100B">
        <w:t>A</w:t>
      </w:r>
      <w:r w:rsidR="00866A48">
        <w:t xml:space="preserve">ncillary </w:t>
      </w:r>
      <w:r w:rsidR="009D100B">
        <w:t>S</w:t>
      </w:r>
      <w:r w:rsidR="00866A48">
        <w:t>ervice</w:t>
      </w:r>
      <w:r w:rsidR="009A377A">
        <w:t xml:space="preserve"> </w:t>
      </w:r>
      <w:r w:rsidR="002606B9">
        <w:t>costs for consumers</w:t>
      </w:r>
      <w:r w:rsidR="00480F66">
        <w:t xml:space="preserve"> </w:t>
      </w:r>
      <w:r w:rsidR="00C522E0">
        <w:t>while</w:t>
      </w:r>
      <w:r w:rsidR="006552EB">
        <w:t xml:space="preserve"> remain</w:t>
      </w:r>
      <w:r w:rsidR="00C522E0">
        <w:t>ing</w:t>
      </w:r>
      <w:r w:rsidR="006552EB">
        <w:t xml:space="preserve"> insufficient to attract new investment</w:t>
      </w:r>
      <w:r w:rsidR="00FD6859">
        <w:t xml:space="preserve">. In the worst case, </w:t>
      </w:r>
      <w:r w:rsidR="00D51AB5">
        <w:t xml:space="preserve">this </w:t>
      </w:r>
      <w:r w:rsidR="00C522E0">
        <w:t>would</w:t>
      </w:r>
      <w:r w:rsidR="00D51AB5">
        <w:t xml:space="preserve"> lead to </w:t>
      </w:r>
      <w:r w:rsidR="00446671">
        <w:t xml:space="preserve">spiraling costs </w:t>
      </w:r>
      <w:r w:rsidR="00446671" w:rsidRPr="004630A9">
        <w:rPr>
          <w:i/>
          <w:iCs/>
        </w:rPr>
        <w:t>and</w:t>
      </w:r>
      <w:r w:rsidR="00446671">
        <w:t xml:space="preserve"> </w:t>
      </w:r>
      <w:r w:rsidR="0001157F">
        <w:t xml:space="preserve">tighter reserve margins </w:t>
      </w:r>
      <w:r w:rsidR="00446671">
        <w:t xml:space="preserve">as </w:t>
      </w:r>
      <w:r w:rsidR="004630A9">
        <w:t>ERCOT is forced to rely</w:t>
      </w:r>
      <w:r w:rsidR="00D51AB5">
        <w:t xml:space="preserve"> </w:t>
      </w:r>
      <w:r w:rsidR="004630A9">
        <w:t xml:space="preserve">on </w:t>
      </w:r>
      <w:r w:rsidR="00D51AB5">
        <w:t>out-of-market capacity contracts</w:t>
      </w:r>
      <w:r w:rsidR="00446671">
        <w:t xml:space="preserve"> to maintain existing resources</w:t>
      </w:r>
      <w:r w:rsidR="00D51AB5">
        <w:t xml:space="preserve">, further dampening the </w:t>
      </w:r>
      <w:r w:rsidR="00446671">
        <w:t xml:space="preserve">resource adequacy signal </w:t>
      </w:r>
      <w:r w:rsidR="00D16BC7">
        <w:t xml:space="preserve">and deepening </w:t>
      </w:r>
      <w:r w:rsidR="00D81478">
        <w:t>the</w:t>
      </w:r>
      <w:r w:rsidR="00D16BC7">
        <w:t xml:space="preserve"> structural problems</w:t>
      </w:r>
      <w:r w:rsidR="00D81478">
        <w:t xml:space="preserve"> of its wholesale markets</w:t>
      </w:r>
      <w:r w:rsidR="00D16BC7">
        <w:t>.</w:t>
      </w:r>
      <w:r w:rsidR="00290F6A">
        <w:t xml:space="preserve"> </w:t>
      </w:r>
      <w:r w:rsidR="00F3595D">
        <w:t xml:space="preserve">As noted above, the first step to </w:t>
      </w:r>
      <w:r w:rsidR="006B2272">
        <w:t xml:space="preserve">calibrating DRRS for resource adequacy is to provide a durable and predictable </w:t>
      </w:r>
      <w:r w:rsidR="003503FD">
        <w:t>signal to investors</w:t>
      </w:r>
      <w:r w:rsidR="00F41B72">
        <w:t xml:space="preserve"> of the </w:t>
      </w:r>
      <w:r w:rsidR="00290F6A">
        <w:t>capacity requirement</w:t>
      </w:r>
      <w:r w:rsidR="003503FD">
        <w:t xml:space="preserve">. The triennial reliability standard assessment </w:t>
      </w:r>
      <w:r w:rsidR="000D2F03">
        <w:t xml:space="preserve">provides </w:t>
      </w:r>
      <w:r w:rsidR="00356115">
        <w:t>that</w:t>
      </w:r>
      <w:r w:rsidR="000D2F03">
        <w:t xml:space="preserve"> predictable cadence upon which to update this </w:t>
      </w:r>
      <w:r w:rsidR="00117D16">
        <w:t>requirement</w:t>
      </w:r>
      <w:r w:rsidR="000D2F03">
        <w:t>.</w:t>
      </w:r>
      <w:r w:rsidR="00DE1B78">
        <w:t xml:space="preserve"> </w:t>
      </w:r>
      <w:r w:rsidR="00DF39E6">
        <w:t xml:space="preserve">Because </w:t>
      </w:r>
      <w:r w:rsidR="00CE6E24">
        <w:t xml:space="preserve">DRRS </w:t>
      </w:r>
      <w:r w:rsidR="00DF39E6">
        <w:t xml:space="preserve">is </w:t>
      </w:r>
      <w:r w:rsidR="00CE6E24">
        <w:t xml:space="preserve">designed as </w:t>
      </w:r>
      <w:r w:rsidR="00DF39E6">
        <w:t xml:space="preserve">a co-optimized </w:t>
      </w:r>
      <w:r w:rsidR="009D100B">
        <w:t>A</w:t>
      </w:r>
      <w:r w:rsidR="00866A48">
        <w:t xml:space="preserve">ncillary </w:t>
      </w:r>
      <w:r w:rsidR="009D100B">
        <w:t>S</w:t>
      </w:r>
      <w:r w:rsidR="00866A48">
        <w:t>ervice</w:t>
      </w:r>
      <w:r w:rsidR="00CE6E24">
        <w:t>, price formation will depend not just on the plan size and DRRSRFs, but on the shape of th</w:t>
      </w:r>
      <w:r w:rsidR="003B4A59">
        <w:t xml:space="preserve">e </w:t>
      </w:r>
      <w:r w:rsidR="00CE6E24">
        <w:t>ASDC</w:t>
      </w:r>
      <w:r w:rsidR="00DE1B78">
        <w:t xml:space="preserve">. </w:t>
      </w:r>
      <w:r w:rsidR="009146C4">
        <w:t>T</w:t>
      </w:r>
      <w:r w:rsidR="00DE1B78">
        <w:t xml:space="preserve">he second step </w:t>
      </w:r>
      <w:r w:rsidR="006F32D7">
        <w:t xml:space="preserve">therefore </w:t>
      </w:r>
      <w:r w:rsidR="00DE1B78">
        <w:t>to calibrating DRRS for resource adequacy is to ensure that price formation is linked</w:t>
      </w:r>
      <w:r w:rsidR="00740BA6">
        <w:t>,</w:t>
      </w:r>
      <w:r w:rsidR="00DE1B78">
        <w:t xml:space="preserve"> in some manner</w:t>
      </w:r>
      <w:r w:rsidR="00740BA6">
        <w:t>,</w:t>
      </w:r>
      <w:r w:rsidR="00DE1B78">
        <w:t xml:space="preserve"> to </w:t>
      </w:r>
      <w:r w:rsidR="00CE680B">
        <w:t xml:space="preserve">a specific resource adequacy </w:t>
      </w:r>
      <w:r w:rsidR="00456C7F">
        <w:t>goal</w:t>
      </w:r>
      <w:r w:rsidR="00740BA6">
        <w:t xml:space="preserve"> through the DRRS ASDC</w:t>
      </w:r>
      <w:r w:rsidR="00CE680B">
        <w:t>.</w:t>
      </w:r>
    </w:p>
    <w:p w14:paraId="1C3A841F" w14:textId="755E70C4" w:rsidR="00110557" w:rsidRDefault="0052570B" w:rsidP="00461586">
      <w:pPr>
        <w:pStyle w:val="NormalArial"/>
        <w:spacing w:before="120" w:after="120"/>
        <w:jc w:val="both"/>
      </w:pPr>
      <w:r>
        <w:t>If DRRS alone is meant t</w:t>
      </w:r>
      <w:r w:rsidR="00A84C2B">
        <w:t xml:space="preserve">o achieve </w:t>
      </w:r>
      <w:r w:rsidR="00456C7F">
        <w:t>a specific resource adequacy goal</w:t>
      </w:r>
      <w:r w:rsidR="00A84C2B">
        <w:t xml:space="preserve">, it </w:t>
      </w:r>
      <w:r w:rsidR="00F04C61">
        <w:t xml:space="preserve">is </w:t>
      </w:r>
      <w:r w:rsidR="00A84C2B">
        <w:t xml:space="preserve">necessary to link the parameters or shape of the DRRS ASDC to historical peaker net margin or to recalibrate this signal </w:t>
      </w:r>
      <w:r>
        <w:t>dynamically</w:t>
      </w:r>
      <w:r w:rsidR="00A84C2B">
        <w:t xml:space="preserve">. Conversely, if the market design of DRRS is </w:t>
      </w:r>
      <w:r w:rsidR="00A84C2B" w:rsidRPr="0005107E">
        <w:rPr>
          <w:i/>
          <w:iCs/>
        </w:rPr>
        <w:t>not</w:t>
      </w:r>
      <w:r w:rsidR="00A84C2B">
        <w:t xml:space="preserve"> linked to CONE, </w:t>
      </w:r>
      <w:r>
        <w:t xml:space="preserve">it is likely </w:t>
      </w:r>
      <w:r w:rsidR="00A84C2B">
        <w:t xml:space="preserve">that NPRR1310 could </w:t>
      </w:r>
      <w:r>
        <w:t xml:space="preserve">fall short of the mark needed to improve </w:t>
      </w:r>
      <w:r w:rsidR="00A84C2B">
        <w:t>resource adequacy.</w:t>
      </w:r>
      <w:r w:rsidR="007F5583">
        <w:t xml:space="preserve"> LCRA encourages stakeholders to consider language </w:t>
      </w:r>
      <w:r w:rsidR="00AA3CDD">
        <w:t xml:space="preserve">in </w:t>
      </w:r>
      <w:r w:rsidR="00866A48">
        <w:t>N</w:t>
      </w:r>
      <w:r w:rsidR="00AA3CDD">
        <w:t xml:space="preserve">odal </w:t>
      </w:r>
      <w:r w:rsidR="00866A48">
        <w:t>P</w:t>
      </w:r>
      <w:r w:rsidR="00AA3CDD">
        <w:t>rotocols requiring the</w:t>
      </w:r>
      <w:r w:rsidR="007F5583">
        <w:t xml:space="preserve"> DRRS ASDC </w:t>
      </w:r>
      <w:proofErr w:type="gramStart"/>
      <w:r w:rsidR="00F21239">
        <w:t>be</w:t>
      </w:r>
      <w:proofErr w:type="gramEnd"/>
      <w:r w:rsidR="00F21239">
        <w:t xml:space="preserve"> calibrated </w:t>
      </w:r>
      <w:r w:rsidR="00453624">
        <w:t xml:space="preserve">to </w:t>
      </w:r>
      <w:r w:rsidR="00AA3CDD">
        <w:t>meet a</w:t>
      </w:r>
      <w:r w:rsidR="00453624">
        <w:t xml:space="preserve"> specific resource adequacy </w:t>
      </w:r>
      <w:r w:rsidR="00F21239">
        <w:t>target</w:t>
      </w:r>
      <w:r w:rsidR="002060CE">
        <w:t xml:space="preserve">, informed by either historic analysis </w:t>
      </w:r>
      <w:r w:rsidR="008E72A5">
        <w:t xml:space="preserve">or probabilistic assessment </w:t>
      </w:r>
      <w:r w:rsidR="002060CE">
        <w:t xml:space="preserve">of </w:t>
      </w:r>
      <w:r w:rsidR="008E72A5">
        <w:t>peaker net margin relative to a reference CONE.</w:t>
      </w:r>
      <w:r w:rsidR="00B268B7">
        <w:t xml:space="preserve"> In the absence of this requirement, it is unclear how NPRR1310 (or any </w:t>
      </w:r>
      <w:r w:rsidR="00EA7F07">
        <w:t xml:space="preserve">market </w:t>
      </w:r>
      <w:r w:rsidR="00B268B7">
        <w:t xml:space="preserve">design) can </w:t>
      </w:r>
      <w:r w:rsidR="00EA7F07">
        <w:t xml:space="preserve">meet </w:t>
      </w:r>
      <w:r w:rsidR="00BE39AB">
        <w:t xml:space="preserve">the </w:t>
      </w:r>
      <w:r w:rsidR="00EA7F07">
        <w:t>reliability standard</w:t>
      </w:r>
      <w:r w:rsidR="00BE39AB">
        <w:t xml:space="preserve"> with any degree of certainty.</w:t>
      </w:r>
      <w:r w:rsidR="00527BC5">
        <w:t xml:space="preserve"> </w:t>
      </w:r>
      <w:r>
        <w:t>If</w:t>
      </w:r>
      <w:r w:rsidR="00527BC5">
        <w:t xml:space="preserve"> DRRS</w:t>
      </w:r>
      <w:r>
        <w:t xml:space="preserve"> is</w:t>
      </w:r>
      <w:r w:rsidR="00527BC5">
        <w:t xml:space="preserve"> design</w:t>
      </w:r>
      <w:r>
        <w:t xml:space="preserve">ed without a </w:t>
      </w:r>
      <w:r w:rsidR="00527BC5">
        <w:t xml:space="preserve">direct linkage to a </w:t>
      </w:r>
      <w:r>
        <w:t>certain</w:t>
      </w:r>
      <w:r w:rsidR="00527BC5">
        <w:t xml:space="preserve"> metric, it </w:t>
      </w:r>
      <w:r>
        <w:t>will be necessary</w:t>
      </w:r>
      <w:r w:rsidR="000B23E3">
        <w:t xml:space="preserve"> </w:t>
      </w:r>
      <w:r>
        <w:t>to recalibrate energy scarcity pricing through modification of the AORDC</w:t>
      </w:r>
      <w:r w:rsidR="000B23E3">
        <w:t xml:space="preserve"> which can </w:t>
      </w:r>
      <w:r w:rsidR="009A377A">
        <w:t xml:space="preserve">also </w:t>
      </w:r>
      <w:r w:rsidR="000B23E3">
        <w:t>be explored during the upcoming Reliability Standard assessment</w:t>
      </w:r>
      <w:r>
        <w:t xml:space="preserve">. </w:t>
      </w:r>
    </w:p>
    <w:p w14:paraId="1382F44F" w14:textId="3FD1958D" w:rsidR="00052527" w:rsidRDefault="00052527" w:rsidP="00461586">
      <w:pPr>
        <w:pStyle w:val="NormalArial"/>
        <w:spacing w:before="120" w:after="120"/>
        <w:jc w:val="both"/>
        <w:rPr>
          <w:b/>
          <w:bCs/>
        </w:rPr>
      </w:pPr>
      <w:r>
        <w:rPr>
          <w:b/>
          <w:bCs/>
        </w:rPr>
        <w:t>Cost allocation of DRRS for resource adequacy should be reconsidered.</w:t>
      </w:r>
    </w:p>
    <w:p w14:paraId="57147914" w14:textId="21649011" w:rsidR="00052527" w:rsidRPr="00052527" w:rsidRDefault="00052527" w:rsidP="00461586">
      <w:pPr>
        <w:pStyle w:val="NormalArial"/>
        <w:spacing w:before="120" w:after="120"/>
        <w:jc w:val="both"/>
      </w:pPr>
      <w:r>
        <w:t xml:space="preserve">It is </w:t>
      </w:r>
      <w:r w:rsidR="00BC330D">
        <w:t>possible</w:t>
      </w:r>
      <w:r>
        <w:t xml:space="preserve"> that any resource adequacy</w:t>
      </w:r>
      <w:r w:rsidR="00995176">
        <w:t xml:space="preserve"> product</w:t>
      </w:r>
      <w:r>
        <w:t xml:space="preserve"> will receive </w:t>
      </w:r>
      <w:r w:rsidR="00BC330D">
        <w:t>criticism</w:t>
      </w:r>
      <w:r>
        <w:t xml:space="preserve"> from </w:t>
      </w:r>
      <w:r w:rsidR="00866A48">
        <w:t>L</w:t>
      </w:r>
      <w:r w:rsidR="00995176">
        <w:t xml:space="preserve">oad </w:t>
      </w:r>
      <w:r w:rsidR="00866A48">
        <w:t>S</w:t>
      </w:r>
      <w:r w:rsidR="00995176">
        <w:t xml:space="preserve">erving </w:t>
      </w:r>
      <w:r w:rsidR="00866A48">
        <w:t>E</w:t>
      </w:r>
      <w:r w:rsidR="00995176">
        <w:t>ntities</w:t>
      </w:r>
      <w:r w:rsidR="000377B5">
        <w:t xml:space="preserve"> (LSEs)</w:t>
      </w:r>
      <w:r>
        <w:t xml:space="preserve"> that </w:t>
      </w:r>
      <w:r w:rsidR="00BC330D">
        <w:t>hedge their expected load obligation in advance of RTM operations</w:t>
      </w:r>
      <w:r>
        <w:t xml:space="preserve">. These entities might argue that it is inappropriate to </w:t>
      </w:r>
      <w:r w:rsidR="00BC330D">
        <w:t xml:space="preserve">directly </w:t>
      </w:r>
      <w:r>
        <w:t xml:space="preserve">subsidize </w:t>
      </w:r>
      <w:r w:rsidR="00BC330D">
        <w:t>new generation</w:t>
      </w:r>
      <w:r>
        <w:t xml:space="preserve"> when their </w:t>
      </w:r>
      <w:r w:rsidR="00016DD7">
        <w:t>customers’</w:t>
      </w:r>
      <w:r w:rsidR="00995176">
        <w:t xml:space="preserve"> </w:t>
      </w:r>
      <w:r w:rsidR="00BC330D">
        <w:t>load</w:t>
      </w:r>
      <w:r>
        <w:t xml:space="preserve"> </w:t>
      </w:r>
      <w:r w:rsidR="00BC330D">
        <w:t xml:space="preserve">has </w:t>
      </w:r>
      <w:r>
        <w:t xml:space="preserve">been covered through alternative arrangements (e.g., power purchase agreements, energy trades, DAM activity). As such, it may be appropriate to consider </w:t>
      </w:r>
      <w:r w:rsidR="00995176">
        <w:t>allocating the resource adequacy portion of DRRS payments to the market</w:t>
      </w:r>
      <w:r w:rsidR="00BC330D">
        <w:t xml:space="preserve"> through a capacity-short methodology which minimizes charges for balanced </w:t>
      </w:r>
      <w:r w:rsidR="00866A48">
        <w:t>Qualified Scheduling Entities (</w:t>
      </w:r>
      <w:r w:rsidR="00BC330D">
        <w:t>QSEs</w:t>
      </w:r>
      <w:r w:rsidR="00866A48">
        <w:t>)</w:t>
      </w:r>
      <w:r w:rsidR="00BC330D">
        <w:rPr>
          <w:rStyle w:val="FootnoteReference"/>
        </w:rPr>
        <w:footnoteReference w:id="9"/>
      </w:r>
      <w:r w:rsidR="00995176">
        <w:t xml:space="preserve">. In such an approach, </w:t>
      </w:r>
      <w:r w:rsidR="000377B5">
        <w:t>LSEs</w:t>
      </w:r>
      <w:r w:rsidR="00995176">
        <w:t xml:space="preserve"> that fail to come to the market with a balanced capacity position</w:t>
      </w:r>
      <w:r w:rsidR="000377B5">
        <w:t xml:space="preserve"> would pay for all (or a portion) of the resource adequacy procurements based on their shortage.</w:t>
      </w:r>
      <w:r w:rsidR="00995176">
        <w:t xml:space="preserve"> A move in this direction would require significant changes to </w:t>
      </w:r>
      <w:r w:rsidR="000377B5">
        <w:t>NPRR1310</w:t>
      </w:r>
      <w:r w:rsidR="00995176">
        <w:t xml:space="preserve"> as </w:t>
      </w:r>
      <w:r w:rsidR="003948EA">
        <w:t>drafted but</w:t>
      </w:r>
      <w:r w:rsidR="00995176">
        <w:t xml:space="preserve"> </w:t>
      </w:r>
      <w:r w:rsidR="000377B5">
        <w:t xml:space="preserve">may be more easily supported </w:t>
      </w:r>
      <w:proofErr w:type="gramStart"/>
      <w:r w:rsidR="000377B5">
        <w:t>along</w:t>
      </w:r>
      <w:proofErr w:type="gramEnd"/>
      <w:r w:rsidR="000377B5">
        <w:t xml:space="preserve"> cost causation principles</w:t>
      </w:r>
      <w:r w:rsidR="00995176">
        <w:t xml:space="preserve">. </w:t>
      </w:r>
    </w:p>
    <w:p w14:paraId="05AD92D7" w14:textId="3CE734F4" w:rsidR="00CF4340" w:rsidRPr="005C31E0" w:rsidRDefault="005C31E0" w:rsidP="00461586">
      <w:pPr>
        <w:pStyle w:val="NormalArial"/>
        <w:spacing w:before="120" w:after="120"/>
        <w:jc w:val="both"/>
      </w:pPr>
      <w:r>
        <w:rPr>
          <w:b/>
          <w:bCs/>
        </w:rPr>
        <w:lastRenderedPageBreak/>
        <w:t xml:space="preserve">Additional </w:t>
      </w:r>
      <w:r w:rsidR="006272A5">
        <w:rPr>
          <w:b/>
          <w:bCs/>
        </w:rPr>
        <w:t xml:space="preserve">quantitative </w:t>
      </w:r>
      <w:r>
        <w:rPr>
          <w:b/>
          <w:bCs/>
        </w:rPr>
        <w:t>analysis of DRRS price formation is ne</w:t>
      </w:r>
      <w:r w:rsidR="001B1847">
        <w:rPr>
          <w:b/>
          <w:bCs/>
        </w:rPr>
        <w:t xml:space="preserve">cessary to evaluate its </w:t>
      </w:r>
      <w:r w:rsidR="006272A5">
        <w:rPr>
          <w:b/>
          <w:bCs/>
        </w:rPr>
        <w:t>usefulness of NPRR1310 as a resource adequacy tool.</w:t>
      </w:r>
    </w:p>
    <w:p w14:paraId="537F60EE" w14:textId="42A7A7D6" w:rsidR="00277B5E" w:rsidRDefault="000E09BF" w:rsidP="00461586">
      <w:pPr>
        <w:pStyle w:val="NormalArial"/>
        <w:spacing w:before="120" w:after="120"/>
        <w:jc w:val="both"/>
      </w:pPr>
      <w:r>
        <w:t xml:space="preserve">Finally, </w:t>
      </w:r>
      <w:r w:rsidR="00DE334C">
        <w:t xml:space="preserve">LCRA recommends that ERCOT conduct an analysis of DRRS price formation under different ASDC parameterizations and with different operating conditions to support stakeholder deliberations in calibrating the DRRS ASDC to meet </w:t>
      </w:r>
      <w:r w:rsidR="003D7E15">
        <w:t>the</w:t>
      </w:r>
      <w:r w:rsidR="00DE334C">
        <w:t xml:space="preserve"> reliability standard. The analysis should consider the impact of DRRS ASDC design on prices for energy and other </w:t>
      </w:r>
      <w:r w:rsidR="009D100B">
        <w:t>A</w:t>
      </w:r>
      <w:r w:rsidR="00866A48">
        <w:t xml:space="preserve">ncillary </w:t>
      </w:r>
      <w:r w:rsidR="009D100B">
        <w:t>S</w:t>
      </w:r>
      <w:r w:rsidR="00866A48">
        <w:t>ervices</w:t>
      </w:r>
      <w:r w:rsidR="009D100B" w:rsidDel="009D100B">
        <w:t xml:space="preserve"> </w:t>
      </w:r>
      <w:r w:rsidR="00DE334C">
        <w:t xml:space="preserve">to reflect </w:t>
      </w:r>
      <w:r w:rsidR="003D7E15">
        <w:t>the</w:t>
      </w:r>
      <w:r w:rsidR="00DE334C">
        <w:t xml:space="preserve"> holistic impact </w:t>
      </w:r>
      <w:r w:rsidR="003D7E15">
        <w:t xml:space="preserve">of DRRS on </w:t>
      </w:r>
      <w:r w:rsidR="00DE334C">
        <w:t>resource adequacy. At a minimum ERCOT should evaluate changes to the operational DRRS price cap, changes to the operational DRRS price floor (to create a ramped resource adequacy curve</w:t>
      </w:r>
      <w:r w:rsidR="00AB25B5">
        <w:t>)</w:t>
      </w:r>
      <w:r w:rsidR="00DE334C">
        <w:t>, and changes to the overall resource adequacy DRRS plan. These analyses are necessary to support stakeholder deliberations on the resource adequacy benefits of NPRR1310, and to narrow discussions to practical solutions for meeting the reliability standard at the lowest cost to consumers. These analyses may also be well suited as companion studies complimenting this year’s triennial reliability standard assessment</w:t>
      </w:r>
      <w:r w:rsidR="00DE334C">
        <w:rPr>
          <w:rStyle w:val="FootnoteReference"/>
        </w:rPr>
        <w:footnoteReference w:id="10"/>
      </w:r>
      <w:r w:rsidR="00DE334C">
        <w:t>.</w:t>
      </w:r>
    </w:p>
    <w:p w14:paraId="5C548C01" w14:textId="77777777" w:rsidR="00866A48" w:rsidRDefault="00866A48" w:rsidP="00461586">
      <w:pPr>
        <w:pStyle w:val="NormalArial"/>
        <w:spacing w:before="120" w:after="120"/>
        <w:jc w:val="both"/>
        <w:rPr>
          <w:b/>
          <w:bCs/>
          <w:sz w:val="20"/>
          <w:szCs w:val="20"/>
        </w:rPr>
      </w:pPr>
    </w:p>
    <w:p w14:paraId="76E5B6BE" w14:textId="34DEA45E" w:rsidR="00FA462E" w:rsidRPr="00FA462E" w:rsidRDefault="00FA462E" w:rsidP="00461586">
      <w:pPr>
        <w:pStyle w:val="NormalArial"/>
        <w:spacing w:before="120" w:after="120"/>
        <w:jc w:val="both"/>
        <w:rPr>
          <w:sz w:val="20"/>
          <w:szCs w:val="20"/>
        </w:rPr>
      </w:pPr>
      <w:r w:rsidRPr="00E36DB0">
        <w:rPr>
          <w:b/>
          <w:bCs/>
          <w:sz w:val="20"/>
          <w:szCs w:val="20"/>
        </w:rPr>
        <w:t xml:space="preserve">Figure </w:t>
      </w:r>
      <w:r>
        <w:rPr>
          <w:b/>
          <w:bCs/>
          <w:sz w:val="20"/>
          <w:szCs w:val="20"/>
        </w:rPr>
        <w:t>2</w:t>
      </w:r>
      <w:r w:rsidRPr="00E36DB0">
        <w:rPr>
          <w:b/>
          <w:bCs/>
          <w:sz w:val="20"/>
          <w:szCs w:val="20"/>
        </w:rPr>
        <w:t>:</w:t>
      </w:r>
      <w:r w:rsidRPr="00E36DB0">
        <w:rPr>
          <w:sz w:val="20"/>
          <w:szCs w:val="20"/>
        </w:rPr>
        <w:t xml:space="preserve"> Current market design of DRRS as implemented by NPRR1310</w:t>
      </w:r>
      <w:r>
        <w:rPr>
          <w:sz w:val="20"/>
          <w:szCs w:val="20"/>
        </w:rPr>
        <w:t>. “Operational DRRS Plan” refers to the DRRS quantities necessary to meet inter-hour operational challenges caused from net-load forecast error and forced outages. “Resource Adequacy DRRS Plan” refers to the DRRS quantities necessary to meet the reliability standard as assessed by the triennial reliability standard assessment.</w:t>
      </w:r>
    </w:p>
    <w:p w14:paraId="1C98FA10" w14:textId="7D27B207" w:rsidR="00277B5E" w:rsidRDefault="00277B5E" w:rsidP="00461586">
      <w:pPr>
        <w:pStyle w:val="NormalArial"/>
        <w:spacing w:before="120" w:after="120"/>
        <w:jc w:val="both"/>
      </w:pPr>
      <w:r>
        <w:rPr>
          <w:noProof/>
        </w:rPr>
        <w:drawing>
          <wp:inline distT="0" distB="0" distL="0" distR="0" wp14:anchorId="1731F07B" wp14:editId="71E36184">
            <wp:extent cx="5943600" cy="2246978"/>
            <wp:effectExtent l="0" t="0" r="0" b="1270"/>
            <wp:docPr id="40947736" name="Picture 3"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7736" name="Picture 3" descr="Graphical user interface, text, application, email&#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246978"/>
                    </a:xfrm>
                    <a:prstGeom prst="rect">
                      <a:avLst/>
                    </a:prstGeom>
                    <a:noFill/>
                  </pic:spPr>
                </pic:pic>
              </a:graphicData>
            </a:graphic>
          </wp:inline>
        </w:drawing>
      </w:r>
    </w:p>
    <w:p w14:paraId="465E1B0B" w14:textId="77777777" w:rsidR="000377B5" w:rsidRDefault="000377B5" w:rsidP="00461586">
      <w:pPr>
        <w:pStyle w:val="NormalArial"/>
        <w:spacing w:before="120" w:after="120"/>
        <w:jc w:val="both"/>
        <w:rPr>
          <w:b/>
          <w:bCs/>
          <w:sz w:val="20"/>
          <w:szCs w:val="20"/>
        </w:rPr>
      </w:pPr>
    </w:p>
    <w:p w14:paraId="3BD339D2" w14:textId="77777777" w:rsidR="00866A48" w:rsidRDefault="00866A48" w:rsidP="00461586">
      <w:pPr>
        <w:pStyle w:val="NormalArial"/>
        <w:spacing w:before="120" w:after="120"/>
        <w:jc w:val="both"/>
        <w:rPr>
          <w:b/>
          <w:bCs/>
          <w:sz w:val="20"/>
          <w:szCs w:val="20"/>
        </w:rPr>
      </w:pPr>
    </w:p>
    <w:p w14:paraId="7DC8DFBA" w14:textId="77777777" w:rsidR="00866A48" w:rsidRDefault="00866A48" w:rsidP="00461586">
      <w:pPr>
        <w:pStyle w:val="NormalArial"/>
        <w:spacing w:before="120" w:after="120"/>
        <w:jc w:val="both"/>
        <w:rPr>
          <w:b/>
          <w:bCs/>
          <w:sz w:val="20"/>
          <w:szCs w:val="20"/>
        </w:rPr>
      </w:pPr>
    </w:p>
    <w:p w14:paraId="7B6ECC8D" w14:textId="77777777" w:rsidR="00866A48" w:rsidRDefault="00866A48" w:rsidP="00461586">
      <w:pPr>
        <w:pStyle w:val="NormalArial"/>
        <w:spacing w:before="120" w:after="120"/>
        <w:jc w:val="both"/>
        <w:rPr>
          <w:b/>
          <w:bCs/>
          <w:sz w:val="20"/>
          <w:szCs w:val="20"/>
        </w:rPr>
      </w:pPr>
    </w:p>
    <w:p w14:paraId="73F33E72" w14:textId="1E3BE938" w:rsidR="00FA462E" w:rsidRPr="00FA462E" w:rsidRDefault="00FA462E" w:rsidP="00461586">
      <w:pPr>
        <w:pStyle w:val="NormalArial"/>
        <w:spacing w:before="120" w:after="120"/>
        <w:jc w:val="both"/>
        <w:rPr>
          <w:sz w:val="20"/>
          <w:szCs w:val="20"/>
        </w:rPr>
      </w:pPr>
      <w:r w:rsidRPr="00E36DB0">
        <w:rPr>
          <w:b/>
          <w:bCs/>
          <w:sz w:val="20"/>
          <w:szCs w:val="20"/>
        </w:rPr>
        <w:lastRenderedPageBreak/>
        <w:t xml:space="preserve">Figure </w:t>
      </w:r>
      <w:r>
        <w:rPr>
          <w:b/>
          <w:bCs/>
          <w:sz w:val="20"/>
          <w:szCs w:val="20"/>
        </w:rPr>
        <w:t>3</w:t>
      </w:r>
      <w:r w:rsidRPr="00E36DB0">
        <w:rPr>
          <w:b/>
          <w:bCs/>
          <w:sz w:val="20"/>
          <w:szCs w:val="20"/>
        </w:rPr>
        <w:t>:</w:t>
      </w:r>
      <w:r w:rsidRPr="00E36DB0">
        <w:rPr>
          <w:sz w:val="20"/>
          <w:szCs w:val="20"/>
        </w:rPr>
        <w:t xml:space="preserve"> </w:t>
      </w:r>
      <w:r>
        <w:rPr>
          <w:sz w:val="20"/>
          <w:szCs w:val="20"/>
        </w:rPr>
        <w:t>Recommended price formation analysis of DRRS ASDCs to meet a targeted reliability standard.</w:t>
      </w:r>
    </w:p>
    <w:p w14:paraId="67621632" w14:textId="645749F1" w:rsidR="00696DFE" w:rsidRDefault="00375026" w:rsidP="00461586">
      <w:pPr>
        <w:pStyle w:val="NormalArial"/>
        <w:spacing w:before="120" w:after="120"/>
        <w:jc w:val="both"/>
      </w:pPr>
      <w:r>
        <w:rPr>
          <w:noProof/>
        </w:rPr>
        <w:drawing>
          <wp:inline distT="0" distB="0" distL="0" distR="0" wp14:anchorId="4F858551" wp14:editId="3FE89C1B">
            <wp:extent cx="5943600" cy="2532636"/>
            <wp:effectExtent l="0" t="0" r="0" b="1270"/>
            <wp:docPr id="11440194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532636"/>
                    </a:xfrm>
                    <a:prstGeom prst="rect">
                      <a:avLst/>
                    </a:prstGeom>
                    <a:noFill/>
                  </pic:spPr>
                </pic:pic>
              </a:graphicData>
            </a:graphic>
          </wp:inline>
        </w:drawing>
      </w:r>
    </w:p>
    <w:p w14:paraId="693EA487" w14:textId="77777777" w:rsidR="000573F6" w:rsidRDefault="000573F6" w:rsidP="00461586">
      <w:pPr>
        <w:pStyle w:val="NormalArial"/>
        <w:spacing w:before="120" w:after="120"/>
        <w:jc w:val="both"/>
        <w:rPr>
          <w:sz w:val="20"/>
          <w:szCs w:val="20"/>
        </w:rPr>
      </w:pPr>
    </w:p>
    <w:p w14:paraId="1E817FDA" w14:textId="606677D2" w:rsidR="000573F6" w:rsidRPr="00FA462E" w:rsidRDefault="006751B2" w:rsidP="00461586">
      <w:pPr>
        <w:pStyle w:val="NormalArial"/>
        <w:spacing w:before="120" w:after="120"/>
        <w:jc w:val="both"/>
        <w:rPr>
          <w:b/>
          <w:bCs/>
        </w:rPr>
      </w:pPr>
      <w:r w:rsidRPr="00FA462E">
        <w:rPr>
          <w:b/>
          <w:bCs/>
        </w:rPr>
        <w:t xml:space="preserve">NPRR1310 </w:t>
      </w:r>
      <w:r w:rsidR="005A6347" w:rsidRPr="00FA462E">
        <w:rPr>
          <w:b/>
          <w:bCs/>
        </w:rPr>
        <w:t xml:space="preserve">meets statutory requirements and may </w:t>
      </w:r>
      <w:r w:rsidR="00CD75A5" w:rsidRPr="00FA462E">
        <w:rPr>
          <w:b/>
          <w:bCs/>
        </w:rPr>
        <w:t xml:space="preserve">serve as a useful resource adequacy tool if calibrated appropriately. </w:t>
      </w:r>
    </w:p>
    <w:p w14:paraId="0FD49863" w14:textId="77777777" w:rsidR="00C373C1" w:rsidRPr="00FA462E" w:rsidRDefault="00CD75A5" w:rsidP="00461586">
      <w:pPr>
        <w:pStyle w:val="NormalArial"/>
        <w:spacing w:before="120" w:after="120"/>
        <w:jc w:val="both"/>
      </w:pPr>
      <w:r w:rsidRPr="00FA462E">
        <w:t>As noted in LCRA’s Comments</w:t>
      </w:r>
      <w:r w:rsidR="00031B8E">
        <w:t xml:space="preserve"> to NPRR1309, ERCOT’s DRRS design appears to implement the full statutory requirements of</w:t>
      </w:r>
      <w:r w:rsidR="00AB6038">
        <w:t xml:space="preserve"> PURA</w:t>
      </w:r>
      <w:r w:rsidR="00031B8E">
        <w:t xml:space="preserve"> </w:t>
      </w:r>
      <w:r w:rsidR="00AB6038">
        <w:t>§39.159</w:t>
      </w:r>
      <w:r w:rsidR="0037339A">
        <w:t xml:space="preserve"> (with or without the release factor). Despite meeting these requirements, it is not yet evident that </w:t>
      </w:r>
      <w:r w:rsidR="008B38EA">
        <w:t xml:space="preserve">the design of NPRR1310 is sufficient to </w:t>
      </w:r>
      <w:r w:rsidR="009245BE">
        <w:t xml:space="preserve">solve </w:t>
      </w:r>
      <w:r w:rsidR="008B38EA">
        <w:t xml:space="preserve">ERCOT’s resource adequacy </w:t>
      </w:r>
      <w:r w:rsidR="009245BE">
        <w:t>challenges</w:t>
      </w:r>
      <w:r w:rsidR="008B38EA">
        <w:t>.</w:t>
      </w:r>
      <w:r w:rsidR="00AB25B5">
        <w:t xml:space="preserve"> ERCOT’s references to a study</w:t>
      </w:r>
      <w:r w:rsidR="00FA4D24">
        <w:rPr>
          <w:rStyle w:val="FootnoteReference"/>
        </w:rPr>
        <w:footnoteReference w:id="11"/>
      </w:r>
      <w:r w:rsidR="00AB25B5">
        <w:t xml:space="preserve"> commissioned by Aurora Energy have not been compelling as the studied DRRS</w:t>
      </w:r>
      <w:r w:rsidR="00FA4D24">
        <w:t xml:space="preserve"> resource adequacy</w:t>
      </w:r>
      <w:r w:rsidR="00AB25B5">
        <w:t xml:space="preserve"> market design is fundamentally different than ERCOT’s NPRR1310 proposal.</w:t>
      </w:r>
      <w:r w:rsidR="009245BE">
        <w:t xml:space="preserve"> </w:t>
      </w:r>
      <w:r w:rsidR="00C0186B">
        <w:t xml:space="preserve">Additional </w:t>
      </w:r>
      <w:r w:rsidR="00CD25ED">
        <w:t>quantitative analysis of DRRS price formation</w:t>
      </w:r>
      <w:r w:rsidR="000707A0">
        <w:t xml:space="preserve"> will be necessary to justify this claim</w:t>
      </w:r>
      <w:r w:rsidR="00D36176">
        <w:t xml:space="preserve"> </w:t>
      </w:r>
      <w:r w:rsidR="001E165D">
        <w:t>and modifications to protocol language may be required to strengthen design based on t</w:t>
      </w:r>
      <w:r w:rsidR="00B812D6">
        <w:t xml:space="preserve">his information. </w:t>
      </w:r>
      <w:r w:rsidR="00655A88">
        <w:t xml:space="preserve">LCRA looks forward to collaborating with ERCOT and stakeholders </w:t>
      </w:r>
      <w:r w:rsidR="00696F9C">
        <w:t xml:space="preserve">in continuing to refine the design of </w:t>
      </w:r>
      <w:r w:rsidR="00B812D6">
        <w:t>NPRR1310 for use as a resource adequacy tool.</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373C1" w14:paraId="56CE243F" w14:textId="77777777" w:rsidTr="004B58B8">
        <w:trPr>
          <w:trHeight w:val="350"/>
        </w:trPr>
        <w:tc>
          <w:tcPr>
            <w:tcW w:w="10440" w:type="dxa"/>
            <w:tcBorders>
              <w:bottom w:val="single" w:sz="4" w:space="0" w:color="auto"/>
            </w:tcBorders>
            <w:shd w:val="clear" w:color="auto" w:fill="FFFFFF"/>
            <w:vAlign w:val="center"/>
          </w:tcPr>
          <w:p w14:paraId="69E6D033" w14:textId="77777777" w:rsidR="00C373C1" w:rsidRDefault="00C373C1" w:rsidP="004B58B8">
            <w:pPr>
              <w:pStyle w:val="Header"/>
              <w:jc w:val="center"/>
            </w:pPr>
            <w:r>
              <w:t>Revised Cover Page Language</w:t>
            </w:r>
          </w:p>
        </w:tc>
      </w:tr>
    </w:tbl>
    <w:p w14:paraId="3D51580F" w14:textId="77777777" w:rsidR="00C373C1" w:rsidRDefault="00C373C1" w:rsidP="00C373C1">
      <w:pPr>
        <w:pStyle w:val="NormalArial"/>
        <w:spacing w:before="120" w:after="120"/>
      </w:pPr>
      <w:r>
        <w:t xml:space="preserve">None </w:t>
      </w:r>
      <w:proofErr w:type="gramStart"/>
      <w:r>
        <w:t>at this time</w:t>
      </w:r>
      <w:proofErr w:type="gramEnd"/>
      <w: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373C1" w14:paraId="05F26EA6" w14:textId="77777777" w:rsidTr="004B58B8">
        <w:trPr>
          <w:trHeight w:val="350"/>
        </w:trPr>
        <w:tc>
          <w:tcPr>
            <w:tcW w:w="10440" w:type="dxa"/>
            <w:tcBorders>
              <w:bottom w:val="single" w:sz="4" w:space="0" w:color="auto"/>
            </w:tcBorders>
            <w:shd w:val="clear" w:color="auto" w:fill="FFFFFF"/>
            <w:vAlign w:val="center"/>
          </w:tcPr>
          <w:p w14:paraId="74AC02C0" w14:textId="77777777" w:rsidR="00C373C1" w:rsidRDefault="00C373C1" w:rsidP="004B58B8">
            <w:pPr>
              <w:pStyle w:val="Header"/>
              <w:jc w:val="center"/>
            </w:pPr>
            <w:r>
              <w:t>Revised Proposed Protocol Language</w:t>
            </w:r>
          </w:p>
        </w:tc>
      </w:tr>
    </w:tbl>
    <w:p w14:paraId="3DDE77EF" w14:textId="4A4B1EF4" w:rsidR="00CD75A5" w:rsidRPr="00FA462E" w:rsidRDefault="00C373C1" w:rsidP="00C373C1">
      <w:pPr>
        <w:pStyle w:val="NormalArial"/>
        <w:spacing w:before="120" w:after="120"/>
      </w:pPr>
      <w:r>
        <w:t xml:space="preserve">None </w:t>
      </w:r>
      <w:proofErr w:type="gramStart"/>
      <w:r>
        <w:t>at this time</w:t>
      </w:r>
      <w:proofErr w:type="gramEnd"/>
      <w:r>
        <w:t>.</w:t>
      </w:r>
    </w:p>
    <w:sectPr w:rsidR="00CD75A5" w:rsidRPr="00FA462E" w:rsidSect="0074209E">
      <w:headerReference w:type="default"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4FADC" w14:textId="77777777" w:rsidR="00FF4771" w:rsidRDefault="00FF4771">
      <w:r>
        <w:separator/>
      </w:r>
    </w:p>
  </w:endnote>
  <w:endnote w:type="continuationSeparator" w:id="0">
    <w:p w14:paraId="603532EA" w14:textId="77777777" w:rsidR="00FF4771" w:rsidRDefault="00FF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B9D9" w14:textId="70FFB14B" w:rsidR="00EE6681" w:rsidRDefault="00C90F7A" w:rsidP="0074209E">
    <w:pPr>
      <w:pStyle w:val="Footer"/>
      <w:tabs>
        <w:tab w:val="clear" w:pos="4320"/>
        <w:tab w:val="clear" w:pos="8640"/>
        <w:tab w:val="right" w:pos="9360"/>
      </w:tabs>
      <w:rPr>
        <w:rFonts w:ascii="Arial" w:hAnsi="Arial"/>
        <w:sz w:val="18"/>
      </w:rPr>
    </w:pPr>
    <w:r>
      <w:rPr>
        <w:rFonts w:ascii="Arial" w:hAnsi="Arial"/>
        <w:sz w:val="18"/>
      </w:rPr>
      <w:t>1310NPRR-</w:t>
    </w:r>
    <w:r w:rsidR="00612283">
      <w:rPr>
        <w:rFonts w:ascii="Arial" w:hAnsi="Arial"/>
        <w:sz w:val="18"/>
      </w:rPr>
      <w:t>06</w:t>
    </w:r>
    <w:r>
      <w:rPr>
        <w:rFonts w:ascii="Arial" w:hAnsi="Arial"/>
        <w:sz w:val="18"/>
      </w:rPr>
      <w:t xml:space="preserve"> LCRA Comments</w:t>
    </w:r>
    <w:r w:rsidR="00612283">
      <w:rPr>
        <w:rFonts w:ascii="Arial" w:hAnsi="Arial"/>
        <w:sz w:val="18"/>
      </w:rPr>
      <w:t xml:space="preserve"> 012826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59BDB1B7" w14:textId="77777777" w:rsidR="00EE6681" w:rsidRDefault="00EE6681" w:rsidP="009A377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1261C" w14:textId="77777777" w:rsidR="00FF4771" w:rsidRDefault="00FF4771">
      <w:r>
        <w:separator/>
      </w:r>
    </w:p>
  </w:footnote>
  <w:footnote w:type="continuationSeparator" w:id="0">
    <w:p w14:paraId="44C9DC44" w14:textId="77777777" w:rsidR="00FF4771" w:rsidRDefault="00FF4771">
      <w:r>
        <w:continuationSeparator/>
      </w:r>
    </w:p>
  </w:footnote>
  <w:footnote w:id="1">
    <w:p w14:paraId="65784706" w14:textId="2D1C3960" w:rsidR="000F320D" w:rsidRPr="009A377A" w:rsidRDefault="000F320D" w:rsidP="000F320D">
      <w:pPr>
        <w:pStyle w:val="FootnoteText"/>
        <w:rPr>
          <w:rFonts w:ascii="Arial" w:hAnsi="Arial" w:cs="Arial"/>
          <w:sz w:val="18"/>
          <w:szCs w:val="18"/>
        </w:rPr>
      </w:pPr>
      <w:r w:rsidRPr="009A377A">
        <w:rPr>
          <w:rStyle w:val="FootnoteReference"/>
          <w:rFonts w:ascii="Arial" w:hAnsi="Arial" w:cs="Arial"/>
          <w:sz w:val="18"/>
          <w:szCs w:val="18"/>
        </w:rPr>
        <w:footnoteRef/>
      </w:r>
      <w:r w:rsidRPr="009A377A">
        <w:rPr>
          <w:rFonts w:ascii="Arial" w:hAnsi="Arial" w:cs="Arial"/>
          <w:sz w:val="18"/>
          <w:szCs w:val="18"/>
        </w:rPr>
        <w:t xml:space="preserve"> </w:t>
      </w:r>
      <w:r w:rsidR="003948EA" w:rsidRPr="003948EA">
        <w:rPr>
          <w:rFonts w:ascii="Arial" w:hAnsi="Arial" w:cs="Arial"/>
          <w:i/>
          <w:iCs/>
          <w:sz w:val="18"/>
          <w:szCs w:val="18"/>
        </w:rPr>
        <w:t>See</w:t>
      </w:r>
      <w:r w:rsidR="003948EA" w:rsidRPr="003948EA">
        <w:rPr>
          <w:rFonts w:ascii="Arial" w:hAnsi="Arial" w:cs="Arial"/>
          <w:sz w:val="18"/>
          <w:szCs w:val="18"/>
        </w:rPr>
        <w:t xml:space="preserve"> Assessment of Resource Adequacy Needs in ERCOT and Impact of Market Design Changes (</w:t>
      </w:r>
      <w:r w:rsidRPr="009A377A">
        <w:rPr>
          <w:rFonts w:ascii="Arial" w:hAnsi="Arial" w:cs="Arial"/>
          <w:sz w:val="18"/>
          <w:szCs w:val="18"/>
        </w:rPr>
        <w:t>Aurora Energy’s analysis of ERCOT’s current wholesale market design indicates a reasonable probably of long-duration (i.e., &gt;12 hours) load shed events in both winter and summer peak seasons of 2030</w:t>
      </w:r>
      <w:r w:rsidR="003948EA" w:rsidRPr="009A377A">
        <w:rPr>
          <w:rFonts w:ascii="Arial" w:hAnsi="Arial" w:cs="Arial"/>
          <w:sz w:val="18"/>
          <w:szCs w:val="18"/>
        </w:rPr>
        <w:t>),</w:t>
      </w:r>
      <w:r w:rsidRPr="009A377A">
        <w:rPr>
          <w:rFonts w:ascii="Arial" w:hAnsi="Arial" w:cs="Arial"/>
          <w:sz w:val="18"/>
          <w:szCs w:val="18"/>
        </w:rPr>
        <w:t xml:space="preserve"> </w:t>
      </w:r>
      <w:r w:rsidR="003948EA" w:rsidRPr="009A377A">
        <w:rPr>
          <w:rFonts w:ascii="Arial" w:hAnsi="Arial" w:cs="Arial"/>
          <w:i/>
          <w:iCs/>
          <w:sz w:val="18"/>
          <w:szCs w:val="18"/>
        </w:rPr>
        <w:t>available at</w:t>
      </w:r>
      <w:r w:rsidRPr="009A377A">
        <w:rPr>
          <w:rFonts w:ascii="Arial" w:hAnsi="Arial" w:cs="Arial"/>
          <w:i/>
          <w:iCs/>
          <w:sz w:val="18"/>
          <w:szCs w:val="18"/>
        </w:rPr>
        <w:t xml:space="preserve"> </w:t>
      </w:r>
      <w:r w:rsidRPr="009A377A">
        <w:rPr>
          <w:rFonts w:ascii="Arial" w:hAnsi="Arial" w:cs="Arial"/>
          <w:sz w:val="18"/>
          <w:szCs w:val="18"/>
        </w:rPr>
        <w:t>https://www.ercot.com/files/docs/2025/12/10/Aurora-Assessment-of-Resource-Adequacy-Needs-in-ERCOT-Region-and-Impact-of-Market-Design-Changes-2025.11.10-.pdf</w:t>
      </w:r>
    </w:p>
  </w:footnote>
  <w:footnote w:id="2">
    <w:p w14:paraId="6F7D35E7" w14:textId="1BA5C5A4" w:rsidR="000F320D" w:rsidRPr="009A377A" w:rsidRDefault="000F320D" w:rsidP="003948EA">
      <w:pPr>
        <w:pStyle w:val="FootnoteText"/>
        <w:rPr>
          <w:rFonts w:ascii="Arial" w:hAnsi="Arial" w:cs="Arial"/>
          <w:sz w:val="18"/>
          <w:szCs w:val="18"/>
        </w:rPr>
      </w:pPr>
      <w:r w:rsidRPr="009A377A">
        <w:rPr>
          <w:rStyle w:val="FootnoteReference"/>
          <w:rFonts w:ascii="Arial" w:hAnsi="Arial" w:cs="Arial"/>
          <w:sz w:val="18"/>
          <w:szCs w:val="18"/>
        </w:rPr>
        <w:footnoteRef/>
      </w:r>
      <w:r w:rsidRPr="009A377A">
        <w:rPr>
          <w:rFonts w:ascii="Arial" w:hAnsi="Arial" w:cs="Arial"/>
          <w:sz w:val="18"/>
          <w:szCs w:val="18"/>
        </w:rPr>
        <w:t xml:space="preserve"> </w:t>
      </w:r>
      <w:r w:rsidR="003948EA" w:rsidRPr="003948EA">
        <w:rPr>
          <w:rFonts w:ascii="Arial" w:hAnsi="Arial" w:cs="Arial"/>
          <w:i/>
          <w:iCs/>
          <w:sz w:val="18"/>
          <w:szCs w:val="18"/>
        </w:rPr>
        <w:t xml:space="preserve">See </w:t>
      </w:r>
      <w:r w:rsidR="003948EA" w:rsidRPr="003948EA">
        <w:rPr>
          <w:rFonts w:ascii="Arial" w:hAnsi="Arial" w:cs="Arial"/>
          <w:sz w:val="18"/>
          <w:szCs w:val="18"/>
        </w:rPr>
        <w:t xml:space="preserve">Staff’s Review of the ERCOT and E3 PCM Assessments and Staff’s Final Recommendation on the PCM (PUC Staff acknowledge “The long-term equilibrium of the ERCOT market design is well below the frequency criterion of the Commission's reliability standard”), </w:t>
      </w:r>
      <w:r w:rsidR="003948EA" w:rsidRPr="003948EA">
        <w:rPr>
          <w:rFonts w:ascii="Arial" w:hAnsi="Arial" w:cs="Arial"/>
          <w:i/>
          <w:iCs/>
          <w:sz w:val="18"/>
          <w:szCs w:val="18"/>
        </w:rPr>
        <w:t>available at</w:t>
      </w:r>
      <w:r w:rsidR="003948EA" w:rsidRPr="003948EA">
        <w:rPr>
          <w:rFonts w:ascii="Arial" w:hAnsi="Arial" w:cs="Arial"/>
          <w:sz w:val="18"/>
          <w:szCs w:val="18"/>
        </w:rPr>
        <w:t xml:space="preserve"> https://interchange.puc.texas.gov/Documents/55000_47_1449541.PDF</w:t>
      </w:r>
    </w:p>
  </w:footnote>
  <w:footnote w:id="3">
    <w:p w14:paraId="2C29F860" w14:textId="49317122" w:rsidR="00BB5832" w:rsidRPr="009A377A" w:rsidRDefault="00BB5832">
      <w:pPr>
        <w:pStyle w:val="FootnoteText"/>
        <w:rPr>
          <w:rFonts w:ascii="Arial" w:hAnsi="Arial" w:cs="Arial"/>
          <w:sz w:val="18"/>
          <w:szCs w:val="18"/>
        </w:rPr>
      </w:pPr>
      <w:r w:rsidRPr="009A377A">
        <w:rPr>
          <w:rStyle w:val="FootnoteReference"/>
          <w:rFonts w:ascii="Arial" w:hAnsi="Arial" w:cs="Arial"/>
          <w:sz w:val="18"/>
          <w:szCs w:val="18"/>
        </w:rPr>
        <w:footnoteRef/>
      </w:r>
      <w:r w:rsidRPr="009A377A">
        <w:rPr>
          <w:rFonts w:ascii="Arial" w:hAnsi="Arial" w:cs="Arial"/>
          <w:sz w:val="18"/>
          <w:szCs w:val="18"/>
        </w:rPr>
        <w:t xml:space="preserve"> </w:t>
      </w:r>
      <w:r w:rsidR="006D45EF">
        <w:rPr>
          <w:rFonts w:ascii="Arial" w:hAnsi="Arial" w:cs="Arial"/>
          <w:i/>
          <w:iCs/>
          <w:sz w:val="18"/>
          <w:szCs w:val="18"/>
        </w:rPr>
        <w:t xml:space="preserve">See </w:t>
      </w:r>
      <w:r w:rsidR="006D45EF">
        <w:rPr>
          <w:rFonts w:ascii="Arial" w:hAnsi="Arial" w:cs="Arial"/>
          <w:sz w:val="18"/>
          <w:szCs w:val="18"/>
        </w:rPr>
        <w:t>NPRR1315, Changes to Process of Evaluating the Potential Needs for Additional Capacity (filed by ERCOT) (Dec. 19</w:t>
      </w:r>
      <w:proofErr w:type="gramStart"/>
      <w:r w:rsidR="006D45EF">
        <w:rPr>
          <w:rFonts w:ascii="Arial" w:hAnsi="Arial" w:cs="Arial"/>
          <w:sz w:val="18"/>
          <w:szCs w:val="18"/>
        </w:rPr>
        <w:t xml:space="preserve"> 2025</w:t>
      </w:r>
      <w:proofErr w:type="gramEnd"/>
      <w:r w:rsidR="006D45EF">
        <w:rPr>
          <w:rFonts w:ascii="Arial" w:hAnsi="Arial" w:cs="Arial"/>
          <w:sz w:val="18"/>
          <w:szCs w:val="18"/>
        </w:rPr>
        <w:t xml:space="preserve">) </w:t>
      </w:r>
    </w:p>
  </w:footnote>
  <w:footnote w:id="4">
    <w:p w14:paraId="549B1C86" w14:textId="1815BB5F" w:rsidR="00963BA6" w:rsidRPr="009A377A" w:rsidRDefault="00963BA6">
      <w:pPr>
        <w:pStyle w:val="FootnoteText"/>
        <w:rPr>
          <w:rFonts w:ascii="Arial" w:hAnsi="Arial" w:cs="Arial"/>
          <w:sz w:val="18"/>
          <w:szCs w:val="18"/>
        </w:rPr>
      </w:pPr>
      <w:r w:rsidRPr="009A377A">
        <w:rPr>
          <w:rStyle w:val="FootnoteReference"/>
          <w:rFonts w:ascii="Arial" w:hAnsi="Arial" w:cs="Arial"/>
          <w:sz w:val="18"/>
          <w:szCs w:val="18"/>
        </w:rPr>
        <w:footnoteRef/>
      </w:r>
      <w:r w:rsidRPr="009A377A">
        <w:rPr>
          <w:rFonts w:ascii="Arial" w:hAnsi="Arial" w:cs="Arial"/>
          <w:sz w:val="18"/>
          <w:szCs w:val="18"/>
        </w:rPr>
        <w:t xml:space="preserve"> PURA </w:t>
      </w:r>
      <w:r w:rsidR="00930516" w:rsidRPr="009A377A">
        <w:rPr>
          <w:rFonts w:ascii="Arial" w:hAnsi="Arial" w:cs="Arial"/>
          <w:sz w:val="18"/>
          <w:szCs w:val="18"/>
        </w:rPr>
        <w:t>§ 28.508(3)(C)(i)</w:t>
      </w:r>
    </w:p>
  </w:footnote>
  <w:footnote w:id="5">
    <w:p w14:paraId="09A13CBF" w14:textId="52860652" w:rsidR="006D45EF" w:rsidRDefault="00491AF9" w:rsidP="00491AF9">
      <w:pPr>
        <w:pStyle w:val="FootnoteText"/>
        <w:rPr>
          <w:rFonts w:ascii="Arial" w:hAnsi="Arial" w:cs="Arial"/>
          <w:sz w:val="18"/>
          <w:szCs w:val="18"/>
        </w:rPr>
      </w:pPr>
      <w:r w:rsidRPr="009A377A">
        <w:rPr>
          <w:rStyle w:val="FootnoteReference"/>
          <w:rFonts w:ascii="Arial" w:hAnsi="Arial" w:cs="Arial"/>
          <w:sz w:val="18"/>
          <w:szCs w:val="18"/>
        </w:rPr>
        <w:footnoteRef/>
      </w:r>
      <w:r w:rsidRPr="009A377A">
        <w:rPr>
          <w:rFonts w:ascii="Arial" w:hAnsi="Arial" w:cs="Arial"/>
          <w:sz w:val="18"/>
          <w:szCs w:val="18"/>
        </w:rPr>
        <w:t xml:space="preserve"> </w:t>
      </w:r>
      <w:r w:rsidR="006D45EF">
        <w:rPr>
          <w:rFonts w:ascii="Arial" w:hAnsi="Arial" w:cs="Arial"/>
          <w:i/>
          <w:iCs/>
          <w:sz w:val="18"/>
          <w:szCs w:val="18"/>
        </w:rPr>
        <w:t xml:space="preserve">See </w:t>
      </w:r>
      <w:r w:rsidRPr="009A377A">
        <w:rPr>
          <w:rFonts w:ascii="Arial" w:hAnsi="Arial" w:cs="Arial"/>
          <w:sz w:val="18"/>
          <w:szCs w:val="18"/>
        </w:rPr>
        <w:t>NPRR1310</w:t>
      </w:r>
      <w:r w:rsidR="006D45EF">
        <w:rPr>
          <w:rFonts w:ascii="Arial" w:hAnsi="Arial" w:cs="Arial"/>
          <w:sz w:val="18"/>
          <w:szCs w:val="18"/>
        </w:rPr>
        <w:t>, Dispatchable Reliability Reserve Service Plus Energy Storage Resource Participation and Release Factor,</w:t>
      </w:r>
      <w:r w:rsidRPr="009A377A">
        <w:rPr>
          <w:rFonts w:ascii="Arial" w:hAnsi="Arial" w:cs="Arial"/>
          <w:sz w:val="18"/>
          <w:szCs w:val="18"/>
        </w:rPr>
        <w:t xml:space="preserve"> Section 2</w:t>
      </w:r>
      <w:r w:rsidR="006D45EF">
        <w:rPr>
          <w:rFonts w:ascii="Arial" w:hAnsi="Arial" w:cs="Arial"/>
          <w:sz w:val="18"/>
          <w:szCs w:val="18"/>
        </w:rPr>
        <w:t>.1 Definitions (</w:t>
      </w:r>
      <w:r w:rsidRPr="009A377A">
        <w:rPr>
          <w:rFonts w:ascii="Arial" w:hAnsi="Arial" w:cs="Arial"/>
          <w:sz w:val="18"/>
          <w:szCs w:val="18"/>
        </w:rPr>
        <w:t>Dispatchable Reliability Reserve Service Release Factor</w:t>
      </w:r>
      <w:r w:rsidR="006D45EF">
        <w:rPr>
          <w:rFonts w:ascii="Arial" w:hAnsi="Arial" w:cs="Arial"/>
          <w:sz w:val="18"/>
          <w:szCs w:val="18"/>
        </w:rPr>
        <w:t>)</w:t>
      </w:r>
      <w:r w:rsidR="009A377A">
        <w:rPr>
          <w:rFonts w:ascii="Arial" w:hAnsi="Arial" w:cs="Arial"/>
          <w:sz w:val="18"/>
          <w:szCs w:val="18"/>
        </w:rPr>
        <w:t xml:space="preserve"> </w:t>
      </w:r>
      <w:r w:rsidR="006D45EF">
        <w:rPr>
          <w:rFonts w:ascii="Arial" w:hAnsi="Arial" w:cs="Arial"/>
          <w:sz w:val="18"/>
          <w:szCs w:val="18"/>
        </w:rPr>
        <w:t>(filed by ERCOT)</w:t>
      </w:r>
    </w:p>
    <w:p w14:paraId="7A99F061" w14:textId="042FD3E1" w:rsidR="00491AF9" w:rsidRPr="009A377A" w:rsidRDefault="006D45EF" w:rsidP="00491AF9">
      <w:pPr>
        <w:pStyle w:val="FootnoteText"/>
        <w:rPr>
          <w:rFonts w:ascii="Arial" w:hAnsi="Arial" w:cs="Arial"/>
          <w:sz w:val="18"/>
          <w:szCs w:val="18"/>
        </w:rPr>
      </w:pPr>
      <w:r>
        <w:rPr>
          <w:rFonts w:ascii="Arial" w:hAnsi="Arial" w:cs="Arial"/>
          <w:sz w:val="18"/>
          <w:szCs w:val="18"/>
        </w:rPr>
        <w:t>(Nov. 20</w:t>
      </w:r>
      <w:proofErr w:type="gramStart"/>
      <w:r>
        <w:rPr>
          <w:rFonts w:ascii="Arial" w:hAnsi="Arial" w:cs="Arial"/>
          <w:sz w:val="18"/>
          <w:szCs w:val="18"/>
        </w:rPr>
        <w:t xml:space="preserve"> 2025</w:t>
      </w:r>
      <w:proofErr w:type="gramEnd"/>
      <w:r>
        <w:rPr>
          <w:rFonts w:ascii="Arial" w:hAnsi="Arial" w:cs="Arial"/>
          <w:sz w:val="18"/>
          <w:szCs w:val="18"/>
        </w:rPr>
        <w:t>)</w:t>
      </w:r>
    </w:p>
  </w:footnote>
  <w:footnote w:id="6">
    <w:p w14:paraId="3834BC38" w14:textId="4048CC4A" w:rsidR="00166701" w:rsidRPr="009A377A" w:rsidRDefault="00166701">
      <w:pPr>
        <w:pStyle w:val="FootnoteText"/>
        <w:rPr>
          <w:rFonts w:ascii="Arial" w:hAnsi="Arial" w:cs="Arial"/>
          <w:sz w:val="18"/>
          <w:szCs w:val="18"/>
        </w:rPr>
      </w:pPr>
      <w:r w:rsidRPr="009A377A">
        <w:rPr>
          <w:rStyle w:val="FootnoteReference"/>
          <w:rFonts w:ascii="Arial" w:hAnsi="Arial" w:cs="Arial"/>
          <w:sz w:val="18"/>
          <w:szCs w:val="18"/>
        </w:rPr>
        <w:footnoteRef/>
      </w:r>
      <w:r w:rsidRPr="009A377A">
        <w:rPr>
          <w:rFonts w:ascii="Arial" w:hAnsi="Arial" w:cs="Arial"/>
          <w:sz w:val="18"/>
          <w:szCs w:val="18"/>
        </w:rPr>
        <w:t xml:space="preserve"> PJM, MISO, ISONE, and NYISO all require load serving entities to </w:t>
      </w:r>
      <w:r w:rsidR="00216EC3" w:rsidRPr="009A377A">
        <w:rPr>
          <w:rFonts w:ascii="Arial" w:hAnsi="Arial" w:cs="Arial"/>
          <w:sz w:val="18"/>
          <w:szCs w:val="18"/>
        </w:rPr>
        <w:t>pay for capacity proportional to the expected peak demand of their customers.</w:t>
      </w:r>
    </w:p>
  </w:footnote>
  <w:footnote w:id="7">
    <w:p w14:paraId="09327D52" w14:textId="2D5D66A4" w:rsidR="00B544CE" w:rsidRPr="009A377A" w:rsidRDefault="00B544CE">
      <w:pPr>
        <w:pStyle w:val="FootnoteText"/>
        <w:rPr>
          <w:rFonts w:ascii="Arial" w:hAnsi="Arial" w:cs="Arial"/>
          <w:sz w:val="18"/>
          <w:szCs w:val="18"/>
        </w:rPr>
      </w:pPr>
      <w:r w:rsidRPr="009A377A">
        <w:rPr>
          <w:rStyle w:val="FootnoteReference"/>
          <w:rFonts w:ascii="Arial" w:hAnsi="Arial" w:cs="Arial"/>
          <w:sz w:val="18"/>
          <w:szCs w:val="18"/>
        </w:rPr>
        <w:footnoteRef/>
      </w:r>
      <w:r w:rsidRPr="009A377A">
        <w:rPr>
          <w:rFonts w:ascii="Arial" w:hAnsi="Arial" w:cs="Arial"/>
          <w:sz w:val="18"/>
          <w:szCs w:val="18"/>
        </w:rPr>
        <w:t xml:space="preserve"> </w:t>
      </w:r>
      <w:r w:rsidR="006D45EF">
        <w:rPr>
          <w:rFonts w:ascii="Arial" w:hAnsi="Arial" w:cs="Arial"/>
          <w:i/>
          <w:iCs/>
          <w:sz w:val="18"/>
          <w:szCs w:val="18"/>
        </w:rPr>
        <w:t xml:space="preserve">See </w:t>
      </w:r>
      <w:r w:rsidR="006D45EF">
        <w:rPr>
          <w:rFonts w:ascii="Arial" w:hAnsi="Arial" w:cs="Arial"/>
          <w:sz w:val="18"/>
          <w:szCs w:val="18"/>
        </w:rPr>
        <w:t xml:space="preserve">Role of CONE in Wholesale Markets </w:t>
      </w:r>
      <w:r w:rsidR="004E5764">
        <w:rPr>
          <w:rFonts w:ascii="Arial" w:hAnsi="Arial" w:cs="Arial"/>
          <w:sz w:val="18"/>
          <w:szCs w:val="18"/>
        </w:rPr>
        <w:t xml:space="preserve">(presented by IMM) </w:t>
      </w:r>
      <w:r w:rsidR="006D45EF">
        <w:rPr>
          <w:rFonts w:ascii="Arial" w:hAnsi="Arial" w:cs="Arial"/>
          <w:i/>
          <w:iCs/>
          <w:sz w:val="18"/>
          <w:szCs w:val="18"/>
        </w:rPr>
        <w:t>available at</w:t>
      </w:r>
      <w:r w:rsidRPr="009A377A">
        <w:rPr>
          <w:rFonts w:ascii="Arial" w:hAnsi="Arial" w:cs="Arial"/>
          <w:sz w:val="18"/>
          <w:szCs w:val="18"/>
        </w:rPr>
        <w:t xml:space="preserve"> https://www.ercot.com/files/docs/2025/11/21/Role-of-CONE-in-Wholesale-Markets.pdf</w:t>
      </w:r>
    </w:p>
  </w:footnote>
  <w:footnote w:id="8">
    <w:p w14:paraId="288D8BDD" w14:textId="724BAEAA" w:rsidR="00F45986" w:rsidRPr="009A377A" w:rsidRDefault="00F45986" w:rsidP="00F45986">
      <w:pPr>
        <w:pStyle w:val="FootnoteText"/>
        <w:rPr>
          <w:rFonts w:ascii="Arial" w:hAnsi="Arial" w:cs="Arial"/>
          <w:sz w:val="18"/>
          <w:szCs w:val="18"/>
        </w:rPr>
      </w:pPr>
      <w:r w:rsidRPr="009A377A">
        <w:rPr>
          <w:rStyle w:val="FootnoteReference"/>
          <w:rFonts w:ascii="Arial" w:hAnsi="Arial" w:cs="Arial"/>
          <w:sz w:val="18"/>
          <w:szCs w:val="18"/>
        </w:rPr>
        <w:footnoteRef/>
      </w:r>
      <w:r w:rsidRPr="009A377A">
        <w:rPr>
          <w:rFonts w:ascii="Arial" w:hAnsi="Arial" w:cs="Arial"/>
          <w:sz w:val="18"/>
          <w:szCs w:val="18"/>
        </w:rPr>
        <w:t xml:space="preserve"> </w:t>
      </w:r>
      <w:r w:rsidR="004E5764">
        <w:rPr>
          <w:rFonts w:ascii="Arial" w:hAnsi="Arial" w:cs="Arial"/>
          <w:i/>
          <w:iCs/>
          <w:sz w:val="18"/>
          <w:szCs w:val="18"/>
        </w:rPr>
        <w:t xml:space="preserve">See </w:t>
      </w:r>
      <w:r w:rsidR="004E5764">
        <w:rPr>
          <w:rFonts w:ascii="Arial" w:hAnsi="Arial" w:cs="Arial"/>
          <w:sz w:val="18"/>
          <w:szCs w:val="18"/>
        </w:rPr>
        <w:t xml:space="preserve">ERCOT Proposal To Update Cost of New Entry For The 2026 Reliability Assessment, </w:t>
      </w:r>
      <w:r w:rsidR="004E5764">
        <w:rPr>
          <w:rFonts w:ascii="Arial" w:hAnsi="Arial" w:cs="Arial"/>
          <w:i/>
          <w:iCs/>
          <w:sz w:val="18"/>
          <w:szCs w:val="18"/>
        </w:rPr>
        <w:t>available at</w:t>
      </w:r>
      <w:r w:rsidR="004E5764">
        <w:rPr>
          <w:rFonts w:ascii="Arial" w:hAnsi="Arial" w:cs="Arial"/>
          <w:sz w:val="18"/>
          <w:szCs w:val="18"/>
        </w:rPr>
        <w:t xml:space="preserve"> </w:t>
      </w:r>
      <w:r w:rsidRPr="009A377A">
        <w:rPr>
          <w:rFonts w:ascii="Arial" w:hAnsi="Arial" w:cs="Arial"/>
          <w:sz w:val="18"/>
          <w:szCs w:val="18"/>
        </w:rPr>
        <w:t>https://interchange.puc.texas.gov/Documents/58777_5_1575180.PDF</w:t>
      </w:r>
    </w:p>
  </w:footnote>
  <w:footnote w:id="9">
    <w:p w14:paraId="17B5D051" w14:textId="59D94C61" w:rsidR="00BC330D" w:rsidRPr="00BC330D" w:rsidRDefault="00BC330D">
      <w:pPr>
        <w:pStyle w:val="FootnoteText"/>
      </w:pPr>
      <w:r>
        <w:rPr>
          <w:rStyle w:val="FootnoteReference"/>
        </w:rPr>
        <w:footnoteRef/>
      </w:r>
      <w:r>
        <w:t xml:space="preserve"> </w:t>
      </w:r>
      <w:r w:rsidR="000377B5">
        <w:t xml:space="preserve">The </w:t>
      </w:r>
      <w:r>
        <w:t>RUC-Capacity Short Charge</w:t>
      </w:r>
      <w:r w:rsidR="000377B5">
        <w:t xml:space="preserve"> calculation allocates costs in a similar manner </w:t>
      </w:r>
      <w:r w:rsidR="000377B5" w:rsidRPr="00054167">
        <w:t>Nodal Protocols §5.7.4.1</w:t>
      </w:r>
    </w:p>
  </w:footnote>
  <w:footnote w:id="10">
    <w:p w14:paraId="1149E45B" w14:textId="77777777" w:rsidR="00DE334C" w:rsidRPr="009A377A" w:rsidRDefault="00DE334C" w:rsidP="00DE334C">
      <w:pPr>
        <w:pStyle w:val="FootnoteText"/>
        <w:rPr>
          <w:rFonts w:ascii="Arial" w:hAnsi="Arial" w:cs="Arial"/>
          <w:sz w:val="18"/>
          <w:szCs w:val="18"/>
        </w:rPr>
      </w:pPr>
      <w:r w:rsidRPr="009A377A">
        <w:rPr>
          <w:rStyle w:val="FootnoteReference"/>
          <w:rFonts w:ascii="Arial" w:hAnsi="Arial" w:cs="Arial"/>
          <w:sz w:val="18"/>
          <w:szCs w:val="18"/>
        </w:rPr>
        <w:footnoteRef/>
      </w:r>
      <w:r w:rsidRPr="009A377A">
        <w:rPr>
          <w:rFonts w:ascii="Arial" w:hAnsi="Arial" w:cs="Arial"/>
          <w:sz w:val="18"/>
          <w:szCs w:val="18"/>
        </w:rPr>
        <w:t xml:space="preserve"> PURA §25.508(3)(C)(i) requires ERCOT to “provide the commission with a summary explanation of any identified deficiencies and its supporting analysis. ERCOT must also provide the commission with a menu of proposed recommended market design changes, including a primary recommendation, that are intended to address the identified deficiencies.”</w:t>
      </w:r>
    </w:p>
  </w:footnote>
  <w:footnote w:id="11">
    <w:p w14:paraId="144C9FF5" w14:textId="4565F083" w:rsidR="00FA4D24" w:rsidRPr="002D3A03" w:rsidRDefault="00FA4D24">
      <w:pPr>
        <w:pStyle w:val="FootnoteText"/>
        <w:rPr>
          <w:rFonts w:ascii="Arial" w:hAnsi="Arial" w:cs="Arial"/>
          <w:sz w:val="18"/>
          <w:szCs w:val="18"/>
        </w:rPr>
      </w:pPr>
      <w:r w:rsidRPr="009A377A">
        <w:rPr>
          <w:rStyle w:val="FootnoteReference"/>
          <w:rFonts w:ascii="Arial" w:hAnsi="Arial" w:cs="Arial"/>
          <w:sz w:val="18"/>
          <w:szCs w:val="18"/>
        </w:rPr>
        <w:footnoteRef/>
      </w:r>
      <w:r w:rsidRPr="009A377A">
        <w:rPr>
          <w:rFonts w:ascii="Arial" w:hAnsi="Arial" w:cs="Arial"/>
          <w:sz w:val="18"/>
          <w:szCs w:val="18"/>
        </w:rPr>
        <w:t xml:space="preserve"> </w:t>
      </w:r>
      <w:r w:rsidRPr="003948EA">
        <w:rPr>
          <w:rFonts w:ascii="Arial" w:hAnsi="Arial" w:cs="Arial"/>
          <w:i/>
          <w:iCs/>
          <w:sz w:val="18"/>
          <w:szCs w:val="18"/>
        </w:rPr>
        <w:t>See</w:t>
      </w:r>
      <w:r w:rsidRPr="003948EA">
        <w:rPr>
          <w:rFonts w:ascii="Arial" w:hAnsi="Arial" w:cs="Arial"/>
          <w:sz w:val="18"/>
          <w:szCs w:val="18"/>
        </w:rPr>
        <w:t xml:space="preserve"> Assessment of Resource Adequacy Needs in ERCOT and Impact of Market Design Changes, </w:t>
      </w:r>
      <w:r w:rsidRPr="003948EA">
        <w:rPr>
          <w:rFonts w:ascii="Arial" w:hAnsi="Arial" w:cs="Arial"/>
          <w:i/>
          <w:iCs/>
          <w:sz w:val="18"/>
          <w:szCs w:val="18"/>
        </w:rPr>
        <w:t xml:space="preserve">available at </w:t>
      </w:r>
      <w:r w:rsidRPr="003948EA">
        <w:rPr>
          <w:rFonts w:ascii="Arial" w:hAnsi="Arial" w:cs="Arial"/>
          <w:sz w:val="18"/>
          <w:szCs w:val="18"/>
        </w:rPr>
        <w:t>https://www.ercot.com/files/docs/2025/12/10/Aurora-Assessment-of-Resource-Adequacy-Needs-in-ERCOT-Region-and-Impact-of-Market-Design-Changes-2025.11.10-.pdf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FD5A" w14:textId="77777777" w:rsidR="00EE6681" w:rsidRDefault="00EE6681">
    <w:pPr>
      <w:pStyle w:val="Header"/>
      <w:jc w:val="center"/>
      <w:rPr>
        <w:sz w:val="32"/>
      </w:rPr>
    </w:pPr>
    <w:r>
      <w:rPr>
        <w:sz w:val="32"/>
      </w:rPr>
      <w:t>NPRR Comments</w:t>
    </w:r>
  </w:p>
  <w:p w14:paraId="43030A7C"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CE27D2A"/>
    <w:multiLevelType w:val="multilevel"/>
    <w:tmpl w:val="065AE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32390009">
    <w:abstractNumId w:val="0"/>
  </w:num>
  <w:num w:numId="2" w16cid:durableId="1522205818">
    <w:abstractNumId w:val="2"/>
  </w:num>
  <w:num w:numId="3" w16cid:durableId="91125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C90"/>
    <w:rsid w:val="00004069"/>
    <w:rsid w:val="000059F4"/>
    <w:rsid w:val="00007A7E"/>
    <w:rsid w:val="0001157F"/>
    <w:rsid w:val="00016DD7"/>
    <w:rsid w:val="0002017A"/>
    <w:rsid w:val="00022D04"/>
    <w:rsid w:val="00024628"/>
    <w:rsid w:val="00026C97"/>
    <w:rsid w:val="00030147"/>
    <w:rsid w:val="00031B8E"/>
    <w:rsid w:val="00037668"/>
    <w:rsid w:val="000377B5"/>
    <w:rsid w:val="00037AAF"/>
    <w:rsid w:val="000404EC"/>
    <w:rsid w:val="000420A4"/>
    <w:rsid w:val="00043DF7"/>
    <w:rsid w:val="0004728D"/>
    <w:rsid w:val="0004759A"/>
    <w:rsid w:val="0004771F"/>
    <w:rsid w:val="00050C03"/>
    <w:rsid w:val="0005107E"/>
    <w:rsid w:val="00052527"/>
    <w:rsid w:val="000573F6"/>
    <w:rsid w:val="000656DD"/>
    <w:rsid w:val="000707A0"/>
    <w:rsid w:val="0007262B"/>
    <w:rsid w:val="00073DB3"/>
    <w:rsid w:val="00075A94"/>
    <w:rsid w:val="00081032"/>
    <w:rsid w:val="0008352A"/>
    <w:rsid w:val="0009480D"/>
    <w:rsid w:val="00096A20"/>
    <w:rsid w:val="0009778E"/>
    <w:rsid w:val="000A3692"/>
    <w:rsid w:val="000A55C9"/>
    <w:rsid w:val="000B23E3"/>
    <w:rsid w:val="000B42B7"/>
    <w:rsid w:val="000B6AB8"/>
    <w:rsid w:val="000C35EE"/>
    <w:rsid w:val="000D0765"/>
    <w:rsid w:val="000D07B9"/>
    <w:rsid w:val="000D2F03"/>
    <w:rsid w:val="000E09BF"/>
    <w:rsid w:val="000E3BC0"/>
    <w:rsid w:val="000E4D50"/>
    <w:rsid w:val="000F320D"/>
    <w:rsid w:val="000F6D24"/>
    <w:rsid w:val="00100109"/>
    <w:rsid w:val="00110557"/>
    <w:rsid w:val="00112DD7"/>
    <w:rsid w:val="00117D16"/>
    <w:rsid w:val="0012373B"/>
    <w:rsid w:val="0012437B"/>
    <w:rsid w:val="00126ED5"/>
    <w:rsid w:val="00132855"/>
    <w:rsid w:val="001405A2"/>
    <w:rsid w:val="00151348"/>
    <w:rsid w:val="00152993"/>
    <w:rsid w:val="00154447"/>
    <w:rsid w:val="0015506B"/>
    <w:rsid w:val="00164D43"/>
    <w:rsid w:val="00166701"/>
    <w:rsid w:val="00170297"/>
    <w:rsid w:val="001837E5"/>
    <w:rsid w:val="00184E29"/>
    <w:rsid w:val="00187074"/>
    <w:rsid w:val="00190169"/>
    <w:rsid w:val="00193164"/>
    <w:rsid w:val="001948B8"/>
    <w:rsid w:val="00197265"/>
    <w:rsid w:val="001A0396"/>
    <w:rsid w:val="001A21D5"/>
    <w:rsid w:val="001A227D"/>
    <w:rsid w:val="001B11BB"/>
    <w:rsid w:val="001B1847"/>
    <w:rsid w:val="001B717C"/>
    <w:rsid w:val="001C15C6"/>
    <w:rsid w:val="001D57E4"/>
    <w:rsid w:val="001D70A5"/>
    <w:rsid w:val="001E165D"/>
    <w:rsid w:val="001E2032"/>
    <w:rsid w:val="001E28F0"/>
    <w:rsid w:val="001E3F22"/>
    <w:rsid w:val="001E6683"/>
    <w:rsid w:val="001E7C4F"/>
    <w:rsid w:val="001F0486"/>
    <w:rsid w:val="001F532F"/>
    <w:rsid w:val="00205B39"/>
    <w:rsid w:val="00205BA3"/>
    <w:rsid w:val="002060CE"/>
    <w:rsid w:val="002078E0"/>
    <w:rsid w:val="00207F9E"/>
    <w:rsid w:val="00216EC3"/>
    <w:rsid w:val="00220008"/>
    <w:rsid w:val="00220880"/>
    <w:rsid w:val="00230397"/>
    <w:rsid w:val="0024351F"/>
    <w:rsid w:val="002470FC"/>
    <w:rsid w:val="0025674C"/>
    <w:rsid w:val="002606B9"/>
    <w:rsid w:val="00262326"/>
    <w:rsid w:val="002636AB"/>
    <w:rsid w:val="00267CC1"/>
    <w:rsid w:val="0027632D"/>
    <w:rsid w:val="002770BE"/>
    <w:rsid w:val="00277B5E"/>
    <w:rsid w:val="00282596"/>
    <w:rsid w:val="0028383D"/>
    <w:rsid w:val="00290F6A"/>
    <w:rsid w:val="0029372D"/>
    <w:rsid w:val="00297939"/>
    <w:rsid w:val="002B016F"/>
    <w:rsid w:val="002B2148"/>
    <w:rsid w:val="002B2ACF"/>
    <w:rsid w:val="002C0BBC"/>
    <w:rsid w:val="002C2399"/>
    <w:rsid w:val="002C3101"/>
    <w:rsid w:val="002C5246"/>
    <w:rsid w:val="002D1AAA"/>
    <w:rsid w:val="002D3A03"/>
    <w:rsid w:val="002D53A6"/>
    <w:rsid w:val="002D7B32"/>
    <w:rsid w:val="002E0E18"/>
    <w:rsid w:val="002E786B"/>
    <w:rsid w:val="002F0052"/>
    <w:rsid w:val="003010C0"/>
    <w:rsid w:val="003012A4"/>
    <w:rsid w:val="00303DC2"/>
    <w:rsid w:val="00304715"/>
    <w:rsid w:val="00315520"/>
    <w:rsid w:val="00315A23"/>
    <w:rsid w:val="003231FF"/>
    <w:rsid w:val="00323D8D"/>
    <w:rsid w:val="003252B9"/>
    <w:rsid w:val="00331563"/>
    <w:rsid w:val="00331914"/>
    <w:rsid w:val="00332A97"/>
    <w:rsid w:val="00336B04"/>
    <w:rsid w:val="003404AA"/>
    <w:rsid w:val="00344A85"/>
    <w:rsid w:val="00345D3F"/>
    <w:rsid w:val="00347D3A"/>
    <w:rsid w:val="003503FD"/>
    <w:rsid w:val="00350C00"/>
    <w:rsid w:val="00351790"/>
    <w:rsid w:val="00352300"/>
    <w:rsid w:val="00356115"/>
    <w:rsid w:val="003562B7"/>
    <w:rsid w:val="00362EF9"/>
    <w:rsid w:val="00366113"/>
    <w:rsid w:val="0037339A"/>
    <w:rsid w:val="003744F4"/>
    <w:rsid w:val="00375026"/>
    <w:rsid w:val="003775C4"/>
    <w:rsid w:val="00394285"/>
    <w:rsid w:val="003948EA"/>
    <w:rsid w:val="00396533"/>
    <w:rsid w:val="00396C69"/>
    <w:rsid w:val="003A082C"/>
    <w:rsid w:val="003A0A0B"/>
    <w:rsid w:val="003A187C"/>
    <w:rsid w:val="003A48A7"/>
    <w:rsid w:val="003B247F"/>
    <w:rsid w:val="003B4A59"/>
    <w:rsid w:val="003B54CF"/>
    <w:rsid w:val="003B5F05"/>
    <w:rsid w:val="003C2381"/>
    <w:rsid w:val="003C270C"/>
    <w:rsid w:val="003C4534"/>
    <w:rsid w:val="003D0994"/>
    <w:rsid w:val="003D2945"/>
    <w:rsid w:val="003D6333"/>
    <w:rsid w:val="003D7E15"/>
    <w:rsid w:val="003F054C"/>
    <w:rsid w:val="003F20F8"/>
    <w:rsid w:val="003F23B1"/>
    <w:rsid w:val="003F2759"/>
    <w:rsid w:val="003F71AF"/>
    <w:rsid w:val="00400ED8"/>
    <w:rsid w:val="0041047F"/>
    <w:rsid w:val="00423824"/>
    <w:rsid w:val="00423C90"/>
    <w:rsid w:val="004332F7"/>
    <w:rsid w:val="00433966"/>
    <w:rsid w:val="0043567D"/>
    <w:rsid w:val="00442B0D"/>
    <w:rsid w:val="00443365"/>
    <w:rsid w:val="00446671"/>
    <w:rsid w:val="00453624"/>
    <w:rsid w:val="0045432A"/>
    <w:rsid w:val="00456C7F"/>
    <w:rsid w:val="00461586"/>
    <w:rsid w:val="004630A9"/>
    <w:rsid w:val="004720DC"/>
    <w:rsid w:val="0047232C"/>
    <w:rsid w:val="00472C03"/>
    <w:rsid w:val="00473B90"/>
    <w:rsid w:val="00480F66"/>
    <w:rsid w:val="004823A7"/>
    <w:rsid w:val="00484D9A"/>
    <w:rsid w:val="00491AF9"/>
    <w:rsid w:val="0049299F"/>
    <w:rsid w:val="00496A12"/>
    <w:rsid w:val="00497ABD"/>
    <w:rsid w:val="004A07E2"/>
    <w:rsid w:val="004A0E2E"/>
    <w:rsid w:val="004A2F47"/>
    <w:rsid w:val="004A42FB"/>
    <w:rsid w:val="004A5939"/>
    <w:rsid w:val="004A7C20"/>
    <w:rsid w:val="004B18FC"/>
    <w:rsid w:val="004B7B90"/>
    <w:rsid w:val="004C587D"/>
    <w:rsid w:val="004D77D7"/>
    <w:rsid w:val="004E065B"/>
    <w:rsid w:val="004E2C19"/>
    <w:rsid w:val="004E5764"/>
    <w:rsid w:val="004F0F5D"/>
    <w:rsid w:val="004F3107"/>
    <w:rsid w:val="004F696F"/>
    <w:rsid w:val="00500541"/>
    <w:rsid w:val="0050559B"/>
    <w:rsid w:val="00507856"/>
    <w:rsid w:val="005171B3"/>
    <w:rsid w:val="0052495A"/>
    <w:rsid w:val="0052570B"/>
    <w:rsid w:val="005261D7"/>
    <w:rsid w:val="00527BC5"/>
    <w:rsid w:val="00527C1A"/>
    <w:rsid w:val="005300E0"/>
    <w:rsid w:val="00540FCA"/>
    <w:rsid w:val="005438A3"/>
    <w:rsid w:val="00543FF4"/>
    <w:rsid w:val="00544A1D"/>
    <w:rsid w:val="00546479"/>
    <w:rsid w:val="00547382"/>
    <w:rsid w:val="00547DE2"/>
    <w:rsid w:val="00557EA2"/>
    <w:rsid w:val="00561B13"/>
    <w:rsid w:val="005627BD"/>
    <w:rsid w:val="00563301"/>
    <w:rsid w:val="00576F2A"/>
    <w:rsid w:val="005771CA"/>
    <w:rsid w:val="00580F12"/>
    <w:rsid w:val="00583E07"/>
    <w:rsid w:val="00584F92"/>
    <w:rsid w:val="00592233"/>
    <w:rsid w:val="0059330B"/>
    <w:rsid w:val="005974D6"/>
    <w:rsid w:val="005A6347"/>
    <w:rsid w:val="005B6D8E"/>
    <w:rsid w:val="005C16DB"/>
    <w:rsid w:val="005C31E0"/>
    <w:rsid w:val="005C719D"/>
    <w:rsid w:val="005D1EEA"/>
    <w:rsid w:val="005D221A"/>
    <w:rsid w:val="005D284C"/>
    <w:rsid w:val="005D4985"/>
    <w:rsid w:val="005D60A5"/>
    <w:rsid w:val="005E274E"/>
    <w:rsid w:val="005E28E8"/>
    <w:rsid w:val="005E30C6"/>
    <w:rsid w:val="005E6324"/>
    <w:rsid w:val="005F62BC"/>
    <w:rsid w:val="006017B2"/>
    <w:rsid w:val="00604512"/>
    <w:rsid w:val="00612283"/>
    <w:rsid w:val="00614357"/>
    <w:rsid w:val="006272A5"/>
    <w:rsid w:val="00633E23"/>
    <w:rsid w:val="006407FF"/>
    <w:rsid w:val="00644C09"/>
    <w:rsid w:val="0064714E"/>
    <w:rsid w:val="00650CFC"/>
    <w:rsid w:val="006552EB"/>
    <w:rsid w:val="00655A88"/>
    <w:rsid w:val="00665F4E"/>
    <w:rsid w:val="0066757F"/>
    <w:rsid w:val="006706EC"/>
    <w:rsid w:val="00670BCC"/>
    <w:rsid w:val="00673B94"/>
    <w:rsid w:val="00673CCF"/>
    <w:rsid w:val="006740F8"/>
    <w:rsid w:val="006751B2"/>
    <w:rsid w:val="00680AC6"/>
    <w:rsid w:val="006835D8"/>
    <w:rsid w:val="0068611F"/>
    <w:rsid w:val="0068676C"/>
    <w:rsid w:val="00692C91"/>
    <w:rsid w:val="00695E68"/>
    <w:rsid w:val="00696DFE"/>
    <w:rsid w:val="00696F9C"/>
    <w:rsid w:val="006A3F78"/>
    <w:rsid w:val="006B1EAD"/>
    <w:rsid w:val="006B2272"/>
    <w:rsid w:val="006B5245"/>
    <w:rsid w:val="006B5363"/>
    <w:rsid w:val="006C316E"/>
    <w:rsid w:val="006C4CB1"/>
    <w:rsid w:val="006C5433"/>
    <w:rsid w:val="006C78B7"/>
    <w:rsid w:val="006D0B68"/>
    <w:rsid w:val="006D0F7C"/>
    <w:rsid w:val="006D45EF"/>
    <w:rsid w:val="006D4679"/>
    <w:rsid w:val="006E0FC7"/>
    <w:rsid w:val="006E31A2"/>
    <w:rsid w:val="006E4CAD"/>
    <w:rsid w:val="006E65C1"/>
    <w:rsid w:val="006F32D7"/>
    <w:rsid w:val="006F4B32"/>
    <w:rsid w:val="006F7252"/>
    <w:rsid w:val="00701137"/>
    <w:rsid w:val="00701FF0"/>
    <w:rsid w:val="00704115"/>
    <w:rsid w:val="00724489"/>
    <w:rsid w:val="00726602"/>
    <w:rsid w:val="007269C4"/>
    <w:rsid w:val="00730064"/>
    <w:rsid w:val="00730370"/>
    <w:rsid w:val="00737585"/>
    <w:rsid w:val="00740BA6"/>
    <w:rsid w:val="0074209E"/>
    <w:rsid w:val="0074232F"/>
    <w:rsid w:val="00760BB2"/>
    <w:rsid w:val="007620FB"/>
    <w:rsid w:val="007669F7"/>
    <w:rsid w:val="00782D1D"/>
    <w:rsid w:val="00782DFE"/>
    <w:rsid w:val="00785381"/>
    <w:rsid w:val="00787662"/>
    <w:rsid w:val="00794308"/>
    <w:rsid w:val="00795402"/>
    <w:rsid w:val="00797E7D"/>
    <w:rsid w:val="007A61BD"/>
    <w:rsid w:val="007B090C"/>
    <w:rsid w:val="007B16E2"/>
    <w:rsid w:val="007B230C"/>
    <w:rsid w:val="007B2ADE"/>
    <w:rsid w:val="007B4E9E"/>
    <w:rsid w:val="007C2806"/>
    <w:rsid w:val="007C7BE6"/>
    <w:rsid w:val="007D7A3A"/>
    <w:rsid w:val="007E519E"/>
    <w:rsid w:val="007F2CA8"/>
    <w:rsid w:val="007F5583"/>
    <w:rsid w:val="007F7161"/>
    <w:rsid w:val="007F7C71"/>
    <w:rsid w:val="00802475"/>
    <w:rsid w:val="00807A30"/>
    <w:rsid w:val="00812003"/>
    <w:rsid w:val="008163B4"/>
    <w:rsid w:val="00817F9D"/>
    <w:rsid w:val="00841F16"/>
    <w:rsid w:val="0084512A"/>
    <w:rsid w:val="00846F6C"/>
    <w:rsid w:val="0085559E"/>
    <w:rsid w:val="0086411D"/>
    <w:rsid w:val="0086454F"/>
    <w:rsid w:val="00864BD9"/>
    <w:rsid w:val="00866A48"/>
    <w:rsid w:val="008701E6"/>
    <w:rsid w:val="008757D7"/>
    <w:rsid w:val="00880CE2"/>
    <w:rsid w:val="00881D79"/>
    <w:rsid w:val="0088229A"/>
    <w:rsid w:val="00885C10"/>
    <w:rsid w:val="00896B1B"/>
    <w:rsid w:val="008A7E44"/>
    <w:rsid w:val="008B38EA"/>
    <w:rsid w:val="008D22D2"/>
    <w:rsid w:val="008D2651"/>
    <w:rsid w:val="008D4320"/>
    <w:rsid w:val="008D4E0F"/>
    <w:rsid w:val="008D5301"/>
    <w:rsid w:val="008E4EF9"/>
    <w:rsid w:val="008E50A4"/>
    <w:rsid w:val="008E559E"/>
    <w:rsid w:val="008E57E9"/>
    <w:rsid w:val="008E72A5"/>
    <w:rsid w:val="00903883"/>
    <w:rsid w:val="00910070"/>
    <w:rsid w:val="009146C4"/>
    <w:rsid w:val="00916080"/>
    <w:rsid w:val="00921A68"/>
    <w:rsid w:val="009245BE"/>
    <w:rsid w:val="009250C0"/>
    <w:rsid w:val="009263DC"/>
    <w:rsid w:val="00930516"/>
    <w:rsid w:val="00943477"/>
    <w:rsid w:val="009444D0"/>
    <w:rsid w:val="009475DE"/>
    <w:rsid w:val="00955635"/>
    <w:rsid w:val="009600B3"/>
    <w:rsid w:val="00963BA6"/>
    <w:rsid w:val="00966A43"/>
    <w:rsid w:val="00966BA7"/>
    <w:rsid w:val="00966CDD"/>
    <w:rsid w:val="0097346C"/>
    <w:rsid w:val="009761EB"/>
    <w:rsid w:val="00976338"/>
    <w:rsid w:val="00984138"/>
    <w:rsid w:val="00995176"/>
    <w:rsid w:val="0099697B"/>
    <w:rsid w:val="009A377A"/>
    <w:rsid w:val="009B4B8F"/>
    <w:rsid w:val="009C1F61"/>
    <w:rsid w:val="009C473A"/>
    <w:rsid w:val="009D07F9"/>
    <w:rsid w:val="009D100B"/>
    <w:rsid w:val="009D5B88"/>
    <w:rsid w:val="009E28FB"/>
    <w:rsid w:val="009E53A5"/>
    <w:rsid w:val="009E7F52"/>
    <w:rsid w:val="009F1581"/>
    <w:rsid w:val="009F535F"/>
    <w:rsid w:val="00A015C4"/>
    <w:rsid w:val="00A06385"/>
    <w:rsid w:val="00A131F3"/>
    <w:rsid w:val="00A14F1C"/>
    <w:rsid w:val="00A15172"/>
    <w:rsid w:val="00A23D0D"/>
    <w:rsid w:val="00A27FD3"/>
    <w:rsid w:val="00A34FBE"/>
    <w:rsid w:val="00A3659D"/>
    <w:rsid w:val="00A671E9"/>
    <w:rsid w:val="00A67D8B"/>
    <w:rsid w:val="00A81E1A"/>
    <w:rsid w:val="00A84C2B"/>
    <w:rsid w:val="00A92FAA"/>
    <w:rsid w:val="00A9364E"/>
    <w:rsid w:val="00A94F07"/>
    <w:rsid w:val="00A97606"/>
    <w:rsid w:val="00AA2A5F"/>
    <w:rsid w:val="00AA3CDD"/>
    <w:rsid w:val="00AA63FA"/>
    <w:rsid w:val="00AB25B5"/>
    <w:rsid w:val="00AB424F"/>
    <w:rsid w:val="00AB51B9"/>
    <w:rsid w:val="00AB6038"/>
    <w:rsid w:val="00AC5979"/>
    <w:rsid w:val="00AD3E90"/>
    <w:rsid w:val="00AD60F6"/>
    <w:rsid w:val="00AD6D9E"/>
    <w:rsid w:val="00AE276C"/>
    <w:rsid w:val="00AE31E9"/>
    <w:rsid w:val="00AF1983"/>
    <w:rsid w:val="00B00FC9"/>
    <w:rsid w:val="00B04497"/>
    <w:rsid w:val="00B058D0"/>
    <w:rsid w:val="00B060CA"/>
    <w:rsid w:val="00B1459A"/>
    <w:rsid w:val="00B268B7"/>
    <w:rsid w:val="00B34B4A"/>
    <w:rsid w:val="00B4266C"/>
    <w:rsid w:val="00B42F2B"/>
    <w:rsid w:val="00B456EA"/>
    <w:rsid w:val="00B47102"/>
    <w:rsid w:val="00B5080A"/>
    <w:rsid w:val="00B51EFD"/>
    <w:rsid w:val="00B544CE"/>
    <w:rsid w:val="00B66ADC"/>
    <w:rsid w:val="00B80191"/>
    <w:rsid w:val="00B812D6"/>
    <w:rsid w:val="00B817DC"/>
    <w:rsid w:val="00B841D8"/>
    <w:rsid w:val="00B843F0"/>
    <w:rsid w:val="00B93BE4"/>
    <w:rsid w:val="00B943AE"/>
    <w:rsid w:val="00BA23FF"/>
    <w:rsid w:val="00BA6875"/>
    <w:rsid w:val="00BB1BF5"/>
    <w:rsid w:val="00BB236D"/>
    <w:rsid w:val="00BB2484"/>
    <w:rsid w:val="00BB5832"/>
    <w:rsid w:val="00BC330D"/>
    <w:rsid w:val="00BC3889"/>
    <w:rsid w:val="00BC54E9"/>
    <w:rsid w:val="00BD1DEA"/>
    <w:rsid w:val="00BD57EC"/>
    <w:rsid w:val="00BD7258"/>
    <w:rsid w:val="00BE39AB"/>
    <w:rsid w:val="00C0186B"/>
    <w:rsid w:val="00C04A60"/>
    <w:rsid w:val="00C0598D"/>
    <w:rsid w:val="00C11956"/>
    <w:rsid w:val="00C1584E"/>
    <w:rsid w:val="00C23E25"/>
    <w:rsid w:val="00C23E37"/>
    <w:rsid w:val="00C373C1"/>
    <w:rsid w:val="00C43381"/>
    <w:rsid w:val="00C449BF"/>
    <w:rsid w:val="00C522E0"/>
    <w:rsid w:val="00C602E5"/>
    <w:rsid w:val="00C67215"/>
    <w:rsid w:val="00C677AD"/>
    <w:rsid w:val="00C678D4"/>
    <w:rsid w:val="00C73534"/>
    <w:rsid w:val="00C748FD"/>
    <w:rsid w:val="00C812DC"/>
    <w:rsid w:val="00C81AAE"/>
    <w:rsid w:val="00C846C0"/>
    <w:rsid w:val="00C84AD6"/>
    <w:rsid w:val="00C85188"/>
    <w:rsid w:val="00C90F7A"/>
    <w:rsid w:val="00CA0DAB"/>
    <w:rsid w:val="00CA7E73"/>
    <w:rsid w:val="00CB1B6C"/>
    <w:rsid w:val="00CB4E1A"/>
    <w:rsid w:val="00CC4C62"/>
    <w:rsid w:val="00CD25ED"/>
    <w:rsid w:val="00CD4F15"/>
    <w:rsid w:val="00CD75A5"/>
    <w:rsid w:val="00CE1DC9"/>
    <w:rsid w:val="00CE21B9"/>
    <w:rsid w:val="00CE680B"/>
    <w:rsid w:val="00CE6E24"/>
    <w:rsid w:val="00CF1E9A"/>
    <w:rsid w:val="00CF4340"/>
    <w:rsid w:val="00D02543"/>
    <w:rsid w:val="00D07468"/>
    <w:rsid w:val="00D16BC7"/>
    <w:rsid w:val="00D177C0"/>
    <w:rsid w:val="00D20DC5"/>
    <w:rsid w:val="00D257BD"/>
    <w:rsid w:val="00D25E84"/>
    <w:rsid w:val="00D27406"/>
    <w:rsid w:val="00D30249"/>
    <w:rsid w:val="00D30271"/>
    <w:rsid w:val="00D30B2B"/>
    <w:rsid w:val="00D33213"/>
    <w:rsid w:val="00D35231"/>
    <w:rsid w:val="00D36176"/>
    <w:rsid w:val="00D4046E"/>
    <w:rsid w:val="00D423EB"/>
    <w:rsid w:val="00D4362F"/>
    <w:rsid w:val="00D437A3"/>
    <w:rsid w:val="00D47366"/>
    <w:rsid w:val="00D51AB5"/>
    <w:rsid w:val="00D54A2C"/>
    <w:rsid w:val="00D763F6"/>
    <w:rsid w:val="00D81478"/>
    <w:rsid w:val="00D86F73"/>
    <w:rsid w:val="00D91309"/>
    <w:rsid w:val="00D9149E"/>
    <w:rsid w:val="00DA04F3"/>
    <w:rsid w:val="00DA0756"/>
    <w:rsid w:val="00DA1D73"/>
    <w:rsid w:val="00DA5D34"/>
    <w:rsid w:val="00DA6437"/>
    <w:rsid w:val="00DA7749"/>
    <w:rsid w:val="00DB1AF1"/>
    <w:rsid w:val="00DC48CB"/>
    <w:rsid w:val="00DD4739"/>
    <w:rsid w:val="00DD61F8"/>
    <w:rsid w:val="00DD6B23"/>
    <w:rsid w:val="00DE1B78"/>
    <w:rsid w:val="00DE334C"/>
    <w:rsid w:val="00DE5F33"/>
    <w:rsid w:val="00DF1190"/>
    <w:rsid w:val="00DF32A6"/>
    <w:rsid w:val="00DF39E6"/>
    <w:rsid w:val="00DF7C59"/>
    <w:rsid w:val="00E025C9"/>
    <w:rsid w:val="00E030C5"/>
    <w:rsid w:val="00E045B5"/>
    <w:rsid w:val="00E04B7A"/>
    <w:rsid w:val="00E07B54"/>
    <w:rsid w:val="00E11F78"/>
    <w:rsid w:val="00E13E35"/>
    <w:rsid w:val="00E21211"/>
    <w:rsid w:val="00E23F83"/>
    <w:rsid w:val="00E2526D"/>
    <w:rsid w:val="00E340EB"/>
    <w:rsid w:val="00E36DB0"/>
    <w:rsid w:val="00E36EFB"/>
    <w:rsid w:val="00E37C81"/>
    <w:rsid w:val="00E479D2"/>
    <w:rsid w:val="00E535A0"/>
    <w:rsid w:val="00E60212"/>
    <w:rsid w:val="00E621E1"/>
    <w:rsid w:val="00E637E8"/>
    <w:rsid w:val="00E64C3D"/>
    <w:rsid w:val="00E66EB3"/>
    <w:rsid w:val="00E70DF1"/>
    <w:rsid w:val="00E713BA"/>
    <w:rsid w:val="00E77CDD"/>
    <w:rsid w:val="00E80797"/>
    <w:rsid w:val="00E833F0"/>
    <w:rsid w:val="00E87354"/>
    <w:rsid w:val="00E9612C"/>
    <w:rsid w:val="00E96864"/>
    <w:rsid w:val="00E96D68"/>
    <w:rsid w:val="00E97C18"/>
    <w:rsid w:val="00EA4795"/>
    <w:rsid w:val="00EA7F07"/>
    <w:rsid w:val="00EB0C6E"/>
    <w:rsid w:val="00EB1A90"/>
    <w:rsid w:val="00EC4AE0"/>
    <w:rsid w:val="00EC55B3"/>
    <w:rsid w:val="00ED1A77"/>
    <w:rsid w:val="00ED214C"/>
    <w:rsid w:val="00ED55BF"/>
    <w:rsid w:val="00EE072C"/>
    <w:rsid w:val="00EE1B79"/>
    <w:rsid w:val="00EE6681"/>
    <w:rsid w:val="00F01D17"/>
    <w:rsid w:val="00F0338B"/>
    <w:rsid w:val="00F04C61"/>
    <w:rsid w:val="00F06DBA"/>
    <w:rsid w:val="00F121F9"/>
    <w:rsid w:val="00F16D60"/>
    <w:rsid w:val="00F21239"/>
    <w:rsid w:val="00F264EA"/>
    <w:rsid w:val="00F274AE"/>
    <w:rsid w:val="00F342FD"/>
    <w:rsid w:val="00F3554A"/>
    <w:rsid w:val="00F3595D"/>
    <w:rsid w:val="00F41B72"/>
    <w:rsid w:val="00F45986"/>
    <w:rsid w:val="00F52071"/>
    <w:rsid w:val="00F532D3"/>
    <w:rsid w:val="00F54AE1"/>
    <w:rsid w:val="00F61AC1"/>
    <w:rsid w:val="00F65842"/>
    <w:rsid w:val="00F70E7E"/>
    <w:rsid w:val="00F735A7"/>
    <w:rsid w:val="00F80927"/>
    <w:rsid w:val="00F85E05"/>
    <w:rsid w:val="00F86456"/>
    <w:rsid w:val="00F952AE"/>
    <w:rsid w:val="00F96CAA"/>
    <w:rsid w:val="00F96FB2"/>
    <w:rsid w:val="00FA0271"/>
    <w:rsid w:val="00FA462E"/>
    <w:rsid w:val="00FA4D24"/>
    <w:rsid w:val="00FB51D8"/>
    <w:rsid w:val="00FC7D34"/>
    <w:rsid w:val="00FD08E8"/>
    <w:rsid w:val="00FD3D89"/>
    <w:rsid w:val="00FD6859"/>
    <w:rsid w:val="00FE1439"/>
    <w:rsid w:val="00FE1B62"/>
    <w:rsid w:val="00FE4EF6"/>
    <w:rsid w:val="00FE53F6"/>
    <w:rsid w:val="00FF0105"/>
    <w:rsid w:val="00FF19DC"/>
    <w:rsid w:val="00FF3C99"/>
    <w:rsid w:val="00FF4771"/>
    <w:rsid w:val="00FF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56D15"/>
  <w15:chartTrackingRefBased/>
  <w15:docId w15:val="{8DD08900-BDE6-40BE-9D07-77AA2EB9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basedOn w:val="DefaultParagraphFont"/>
    <w:uiPriority w:val="99"/>
    <w:semiHidden/>
    <w:unhideWhenUsed/>
    <w:rsid w:val="008163B4"/>
    <w:rPr>
      <w:color w:val="605E5C"/>
      <w:shd w:val="clear" w:color="auto" w:fill="E1DFDD"/>
    </w:rPr>
  </w:style>
  <w:style w:type="paragraph" w:styleId="FootnoteText">
    <w:name w:val="footnote text"/>
    <w:basedOn w:val="Normal"/>
    <w:link w:val="FootnoteTextChar"/>
    <w:rsid w:val="000F320D"/>
    <w:rPr>
      <w:sz w:val="20"/>
      <w:szCs w:val="20"/>
    </w:rPr>
  </w:style>
  <w:style w:type="character" w:customStyle="1" w:styleId="FootnoteTextChar">
    <w:name w:val="Footnote Text Char"/>
    <w:basedOn w:val="DefaultParagraphFont"/>
    <w:link w:val="FootnoteText"/>
    <w:rsid w:val="000F320D"/>
  </w:style>
  <w:style w:type="character" w:styleId="FootnoteReference">
    <w:name w:val="footnote reference"/>
    <w:basedOn w:val="DefaultParagraphFont"/>
    <w:rsid w:val="000F320D"/>
    <w:rPr>
      <w:vertAlign w:val="superscript"/>
    </w:rPr>
  </w:style>
  <w:style w:type="paragraph" w:styleId="Revision">
    <w:name w:val="Revision"/>
    <w:hidden/>
    <w:uiPriority w:val="99"/>
    <w:semiHidden/>
    <w:rsid w:val="00073D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evor.safko@lcra.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lake.holt@lcra.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0"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0D61DC8326B8498DD32B28F834E6F2" ma:contentTypeVersion="2" ma:contentTypeDescription="Create a new document." ma:contentTypeScope="" ma:versionID="01f935ec20f098423b79e2b7c8d10400">
  <xsd:schema xmlns:xsd="http://www.w3.org/2001/XMLSchema" xmlns:xs="http://www.w3.org/2001/XMLSchema" xmlns:p="http://schemas.microsoft.com/office/2006/metadata/properties" xmlns:ns2="5ea7cabb-ffb8-4c5f-aec6-b9b58c989bc1" targetNamespace="http://schemas.microsoft.com/office/2006/metadata/properties" ma:root="true" ma:fieldsID="5ee69bf3301f408be776387cf8f4c840" ns2:_="">
    <xsd:import namespace="5ea7cabb-ffb8-4c5f-aec6-b9b58c989b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cabb-ffb8-4c5f-aec6-b9b58c989b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D4CA2-4AD9-4108-BE11-F829DA9C608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ea7cabb-ffb8-4c5f-aec6-b9b58c989bc1"/>
    <ds:schemaRef ds:uri="http://www.w3.org/XML/1998/namespace"/>
    <ds:schemaRef ds:uri="http://purl.org/dc/dcmitype/"/>
  </ds:schemaRefs>
</ds:datastoreItem>
</file>

<file path=customXml/itemProps2.xml><?xml version="1.0" encoding="utf-8"?>
<ds:datastoreItem xmlns:ds="http://schemas.openxmlformats.org/officeDocument/2006/customXml" ds:itemID="{5C43CF64-025A-4B91-9018-50CFE7B972C5}">
  <ds:schemaRefs>
    <ds:schemaRef ds:uri="http://schemas.openxmlformats.org/officeDocument/2006/bibliography"/>
  </ds:schemaRefs>
</ds:datastoreItem>
</file>

<file path=customXml/itemProps3.xml><?xml version="1.0" encoding="utf-8"?>
<ds:datastoreItem xmlns:ds="http://schemas.openxmlformats.org/officeDocument/2006/customXml" ds:itemID="{079592A6-DA64-419F-B6B7-B78CFC78DA42}">
  <ds:schemaRefs>
    <ds:schemaRef ds:uri="http://schemas.microsoft.com/sharepoint/v3/contenttype/forms"/>
  </ds:schemaRefs>
</ds:datastoreItem>
</file>

<file path=customXml/itemProps4.xml><?xml version="1.0" encoding="utf-8"?>
<ds:datastoreItem xmlns:ds="http://schemas.openxmlformats.org/officeDocument/2006/customXml" ds:itemID="{CEFFD19D-75C3-4084-AF99-7592CD297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7cabb-ffb8-4c5f-aec6-b9b58c989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2296</Words>
  <Characters>13292</Characters>
  <Application>Microsoft Office Word</Application>
  <DocSecurity>0</DocSecurity>
  <Lines>241</Lines>
  <Paragraphs>47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5</cp:revision>
  <cp:lastPrinted>2001-06-20T16:28:00Z</cp:lastPrinted>
  <dcterms:created xsi:type="dcterms:W3CDTF">2026-01-28T15:40:00Z</dcterms:created>
  <dcterms:modified xsi:type="dcterms:W3CDTF">2026-01-28T15:51:00Z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0x010100260D61DC8326B8498DD32B28F834E6F2</vt:lpwstr>
  </property>
  <property fmtid="{D5CDD505-2E9C-101B-9397-08002B2CF9AE}" pid="3" name="MSIP_Label_7084cbda-52b8-46fb-a7b7-cb5bd465ed85_Enabled">
    <vt:lpwstr>true</vt:lpwstr>
  </property>
  <property fmtid="{D5CDD505-2E9C-101B-9397-08002B2CF9AE}" pid="4" name="MSIP_Label_7084cbda-52b8-46fb-a7b7-cb5bd465ed85_SetDate">
    <vt:lpwstr>2026-01-28T15:40:55Z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36264a73-ff13-460e-8b00-309a6849f875</vt:lpwstr>
  </property>
  <property fmtid="{D5CDD505-2E9C-101B-9397-08002B2CF9AE}" pid="9" name="MSIP_Label_7084cbda-52b8-46fb-a7b7-cb5bd465ed85_ContentBits">
    <vt:lpwstr>0</vt:lpwstr>
  </property>
  <property fmtid="{D5CDD505-2E9C-101B-9397-08002B2CF9AE}" pid="10" name="MSIP_Label_7084cbda-52b8-46fb-a7b7-cb5bd465ed85_Tag">
    <vt:lpwstr>10, 3, 0, 1</vt:lpwstr>
  </property>
</Properties>
</file>