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A2EC5" w14:textId="191836B1" w:rsidR="009F1139" w:rsidRDefault="00CA7F19" w:rsidP="00CA7F19">
      <w:pPr>
        <w:jc w:val="center"/>
        <w:rPr>
          <w:b/>
          <w:color w:val="1F497D"/>
          <w:sz w:val="24"/>
        </w:rPr>
      </w:pPr>
      <w:r w:rsidRPr="00C30688">
        <w:rPr>
          <w:b/>
          <w:color w:val="1F497D"/>
          <w:sz w:val="24"/>
        </w:rPr>
        <w:t xml:space="preserve">ERCOT AVR Test for </w:t>
      </w:r>
      <w:proofErr w:type="gramStart"/>
      <w:r w:rsidRPr="00C30688">
        <w:rPr>
          <w:b/>
          <w:color w:val="1F497D"/>
          <w:sz w:val="24"/>
        </w:rPr>
        <w:t xml:space="preserve">a </w:t>
      </w:r>
      <w:r w:rsidR="00860E59">
        <w:rPr>
          <w:b/>
          <w:color w:val="1F497D"/>
          <w:sz w:val="24"/>
        </w:rPr>
        <w:t>Small</w:t>
      </w:r>
      <w:proofErr w:type="gramEnd"/>
      <w:r w:rsidR="00860E59">
        <w:rPr>
          <w:b/>
          <w:color w:val="1F497D"/>
          <w:sz w:val="24"/>
        </w:rPr>
        <w:t xml:space="preserve"> </w:t>
      </w:r>
      <w:r w:rsidR="00835728">
        <w:rPr>
          <w:b/>
          <w:color w:val="1F497D"/>
          <w:sz w:val="24"/>
        </w:rPr>
        <w:t>Conventional</w:t>
      </w:r>
      <w:r w:rsidRPr="00C30688">
        <w:rPr>
          <w:b/>
          <w:color w:val="1F497D"/>
          <w:sz w:val="24"/>
        </w:rPr>
        <w:t xml:space="preserve"> DGR</w:t>
      </w:r>
      <w:r w:rsidR="00EE49A2">
        <w:rPr>
          <w:b/>
          <w:color w:val="1F497D"/>
          <w:sz w:val="24"/>
        </w:rPr>
        <w:t>s</w:t>
      </w:r>
    </w:p>
    <w:p w14:paraId="4771321A" w14:textId="77777777" w:rsidR="005E61BE" w:rsidRDefault="005E61BE" w:rsidP="00CA7F19">
      <w:pPr>
        <w:jc w:val="center"/>
        <w:rPr>
          <w:b/>
          <w:color w:val="1F497D"/>
          <w:sz w:val="24"/>
        </w:rPr>
      </w:pPr>
      <w:r>
        <w:rPr>
          <w:b/>
          <w:color w:val="1F497D"/>
          <w:sz w:val="24"/>
        </w:rPr>
        <w:t>Resource Integration Department, ERCOT</w:t>
      </w:r>
    </w:p>
    <w:p w14:paraId="5C9BF6EB" w14:textId="43965C9E" w:rsidR="005E61BE" w:rsidRPr="00C30688" w:rsidRDefault="00835728" w:rsidP="00CA7F19">
      <w:pPr>
        <w:jc w:val="center"/>
        <w:rPr>
          <w:b/>
          <w:color w:val="1F497D"/>
          <w:sz w:val="24"/>
        </w:rPr>
      </w:pPr>
      <w:r>
        <w:rPr>
          <w:b/>
          <w:color w:val="1F497D"/>
          <w:sz w:val="24"/>
        </w:rPr>
        <w:t>1</w:t>
      </w:r>
      <w:r w:rsidR="005F73CB">
        <w:rPr>
          <w:b/>
          <w:color w:val="1F497D"/>
          <w:sz w:val="24"/>
        </w:rPr>
        <w:t>/</w:t>
      </w:r>
      <w:r w:rsidR="00921776">
        <w:rPr>
          <w:b/>
          <w:color w:val="1F497D"/>
          <w:sz w:val="24"/>
        </w:rPr>
        <w:t>2</w:t>
      </w:r>
      <w:r w:rsidR="00472C52">
        <w:rPr>
          <w:b/>
          <w:color w:val="1F497D"/>
          <w:sz w:val="24"/>
        </w:rPr>
        <w:t>6</w:t>
      </w:r>
      <w:r w:rsidR="005F73CB">
        <w:rPr>
          <w:b/>
          <w:color w:val="1F497D"/>
          <w:sz w:val="24"/>
        </w:rPr>
        <w:t>/202</w:t>
      </w:r>
      <w:r>
        <w:rPr>
          <w:b/>
          <w:color w:val="1F497D"/>
          <w:sz w:val="24"/>
        </w:rPr>
        <w:t>6</w:t>
      </w:r>
    </w:p>
    <w:p w14:paraId="665C8FA7" w14:textId="77777777" w:rsidR="00CA7F19" w:rsidRDefault="00CA7F19" w:rsidP="00CD3BC0">
      <w:pPr>
        <w:jc w:val="center"/>
        <w:rPr>
          <w:color w:val="1F497D"/>
        </w:rPr>
      </w:pPr>
    </w:p>
    <w:p w14:paraId="07FFE44B" w14:textId="77777777" w:rsidR="00CA7F19" w:rsidRDefault="00CA7F19" w:rsidP="00CA7F19">
      <w:pPr>
        <w:rPr>
          <w:color w:val="1F497D"/>
        </w:rPr>
      </w:pPr>
    </w:p>
    <w:p w14:paraId="7EE5D6ED" w14:textId="4AD29CC8" w:rsidR="00CA7F19" w:rsidRDefault="00835728" w:rsidP="00CA7F19">
      <w:pPr>
        <w:rPr>
          <w:color w:val="1F497D"/>
        </w:rPr>
      </w:pPr>
      <w:r>
        <w:rPr>
          <w:b/>
          <w:color w:val="1F497D"/>
        </w:rPr>
        <w:t>Conventional</w:t>
      </w:r>
      <w:r w:rsidR="00CA7F19" w:rsidRPr="00CD3BC0">
        <w:rPr>
          <w:b/>
          <w:color w:val="1F497D"/>
        </w:rPr>
        <w:t xml:space="preserve"> DGR - AVR Test Objective:</w:t>
      </w:r>
      <w:r w:rsidR="00CA7F19">
        <w:rPr>
          <w:color w:val="1F497D"/>
        </w:rPr>
        <w:t xml:space="preserve"> The purpose of the AVR test is to test the </w:t>
      </w:r>
      <w:r>
        <w:rPr>
          <w:color w:val="1F497D"/>
        </w:rPr>
        <w:t xml:space="preserve">DGRs </w:t>
      </w:r>
      <w:r w:rsidR="00CA7F19">
        <w:rPr>
          <w:color w:val="1F497D"/>
        </w:rPr>
        <w:t>ability to go</w:t>
      </w:r>
      <w:r w:rsidRPr="00835728">
        <w:t xml:space="preserve"> </w:t>
      </w:r>
      <w:r w:rsidRPr="00835728">
        <w:rPr>
          <w:color w:val="1F497D"/>
        </w:rPr>
        <w:t xml:space="preserve">from LSL </w:t>
      </w:r>
      <w:r>
        <w:rPr>
          <w:color w:val="1F497D"/>
        </w:rPr>
        <w:t>to</w:t>
      </w:r>
      <w:r w:rsidRPr="00835728">
        <w:rPr>
          <w:color w:val="1F497D"/>
        </w:rPr>
        <w:t xml:space="preserve"> HSL</w:t>
      </w:r>
      <w:r>
        <w:rPr>
          <w:color w:val="1F497D"/>
        </w:rPr>
        <w:t xml:space="preserve"> and back</w:t>
      </w:r>
      <w:r w:rsidRPr="00835728">
        <w:rPr>
          <w:color w:val="1F497D"/>
        </w:rPr>
        <w:t xml:space="preserve"> </w:t>
      </w:r>
      <w:r w:rsidR="00CA7F19">
        <w:rPr>
          <w:color w:val="1F497D"/>
        </w:rPr>
        <w:t xml:space="preserve">while the AVR keeps the reactive power to 0 MVAr (unity power factor) at the Point of </w:t>
      </w:r>
      <w:r w:rsidR="008C2DD2">
        <w:rPr>
          <w:color w:val="1F497D"/>
        </w:rPr>
        <w:t>Common Coupling (PCC).</w:t>
      </w:r>
    </w:p>
    <w:p w14:paraId="52733F74" w14:textId="77777777" w:rsidR="00CA7F19" w:rsidRDefault="00CA7F19" w:rsidP="00CA7F19">
      <w:pPr>
        <w:rPr>
          <w:color w:val="1F497D"/>
        </w:rPr>
      </w:pPr>
    </w:p>
    <w:p w14:paraId="2A561AA3" w14:textId="54C78013" w:rsidR="00CA7F19" w:rsidRDefault="00CA7F19" w:rsidP="00CA7F19">
      <w:pPr>
        <w:rPr>
          <w:color w:val="1F497D"/>
        </w:rPr>
      </w:pPr>
      <w:r>
        <w:rPr>
          <w:color w:val="1F497D"/>
        </w:rPr>
        <w:t xml:space="preserve">The AVR test is to be conducted during a continuous </w:t>
      </w:r>
      <w:proofErr w:type="gramStart"/>
      <w:r>
        <w:rPr>
          <w:color w:val="1F497D"/>
        </w:rPr>
        <w:t>period of time</w:t>
      </w:r>
      <w:proofErr w:type="gramEnd"/>
      <w:r>
        <w:rPr>
          <w:color w:val="1F497D"/>
        </w:rPr>
        <w:t xml:space="preserve"> </w:t>
      </w:r>
      <w:r w:rsidR="00835728">
        <w:rPr>
          <w:color w:val="1F497D"/>
        </w:rPr>
        <w:t xml:space="preserve">with the unit ramping from LSL to HSL </w:t>
      </w:r>
      <w:r w:rsidR="001037B9">
        <w:rPr>
          <w:color w:val="1F497D"/>
        </w:rPr>
        <w:t xml:space="preserve">at </w:t>
      </w:r>
      <w:r w:rsidR="00835728" w:rsidRPr="00835728">
        <w:rPr>
          <w:color w:val="1F497D"/>
        </w:rPr>
        <w:t xml:space="preserve">the </w:t>
      </w:r>
      <w:r w:rsidR="00DC754B">
        <w:rPr>
          <w:color w:val="1F497D"/>
        </w:rPr>
        <w:t>registered ramp</w:t>
      </w:r>
      <w:r w:rsidR="00835728" w:rsidRPr="00835728">
        <w:rPr>
          <w:color w:val="1F497D"/>
        </w:rPr>
        <w:t xml:space="preserve"> rate </w:t>
      </w:r>
      <w:r w:rsidR="00CB5F6F">
        <w:rPr>
          <w:color w:val="1F497D"/>
        </w:rPr>
        <w:t xml:space="preserve">shown in the table below </w:t>
      </w:r>
      <w:r>
        <w:rPr>
          <w:color w:val="1F497D"/>
        </w:rPr>
        <w:t>and reported on 4 second intervals</w:t>
      </w:r>
      <w:r w:rsidR="00A74163">
        <w:rPr>
          <w:color w:val="1F497D"/>
        </w:rPr>
        <w:t xml:space="preserve"> or less</w:t>
      </w:r>
      <w:r>
        <w:rPr>
          <w:color w:val="1F497D"/>
        </w:rPr>
        <w:t>.</w:t>
      </w:r>
    </w:p>
    <w:p w14:paraId="44489C5B" w14:textId="77777777" w:rsidR="00CA7F19" w:rsidRDefault="00CA7F19" w:rsidP="00CA7F19">
      <w:pPr>
        <w:rPr>
          <w:color w:val="1F497D"/>
        </w:rPr>
      </w:pPr>
    </w:p>
    <w:p w14:paraId="625421EA" w14:textId="751DF3A0" w:rsidR="000017DC" w:rsidRDefault="000017DC" w:rsidP="000017DC">
      <w:pPr>
        <w:rPr>
          <w:color w:val="1F497D"/>
          <w:u w:val="single"/>
        </w:rPr>
      </w:pPr>
      <w:bookmarkStart w:id="0" w:name="_Hlk218589527"/>
      <w:r>
        <w:rPr>
          <w:color w:val="1F497D"/>
        </w:rPr>
        <w:t xml:space="preserve">During the AVR test, </w:t>
      </w:r>
      <w:r w:rsidR="00CB5F6F">
        <w:rPr>
          <w:color w:val="1F497D"/>
        </w:rPr>
        <w:t>t</w:t>
      </w:r>
      <w:r w:rsidR="00CB5F6F" w:rsidRPr="00835728">
        <w:rPr>
          <w:color w:val="1F497D"/>
        </w:rPr>
        <w:t xml:space="preserve">he Unit will ramp from LSL </w:t>
      </w:r>
      <w:r w:rsidR="00CB5F6F">
        <w:rPr>
          <w:color w:val="1F497D"/>
        </w:rPr>
        <w:t>to 25%, 50%, 75% and 100% of the</w:t>
      </w:r>
      <w:r w:rsidR="00CB5F6F" w:rsidRPr="00835728">
        <w:rPr>
          <w:color w:val="1F497D"/>
        </w:rPr>
        <w:t xml:space="preserve"> HSL at the </w:t>
      </w:r>
      <w:r w:rsidR="00DC754B">
        <w:rPr>
          <w:color w:val="1F497D"/>
        </w:rPr>
        <w:t>registered ramp</w:t>
      </w:r>
      <w:r w:rsidR="00DC754B" w:rsidRPr="00835728">
        <w:rPr>
          <w:color w:val="1F497D"/>
        </w:rPr>
        <w:t xml:space="preserve"> rate </w:t>
      </w:r>
      <w:r w:rsidR="00CB5F6F" w:rsidRPr="00835728">
        <w:rPr>
          <w:color w:val="1F497D"/>
        </w:rPr>
        <w:t xml:space="preserve">to reach a steady state. Once it reaches a steady state, the Unit should maintain its output for 5 minutes before ramping down to LSL. </w:t>
      </w:r>
      <w:proofErr w:type="gramStart"/>
      <w:r w:rsidR="00CB5F6F" w:rsidRPr="00EE49A2">
        <w:rPr>
          <w:color w:val="1F497D"/>
        </w:rPr>
        <w:t>The HSL</w:t>
      </w:r>
      <w:proofErr w:type="gramEnd"/>
      <w:r w:rsidR="00CB5F6F" w:rsidRPr="00EE49A2">
        <w:rPr>
          <w:color w:val="1F497D"/>
        </w:rPr>
        <w:t xml:space="preserve"> should </w:t>
      </w:r>
      <w:r w:rsidR="00EE49A2" w:rsidRPr="00EE49A2">
        <w:rPr>
          <w:color w:val="1F497D"/>
        </w:rPr>
        <w:t xml:space="preserve">match the max registered HSL with ERCOT, </w:t>
      </w:r>
      <w:proofErr w:type="gramStart"/>
      <w:r w:rsidR="00EE49A2" w:rsidRPr="00EE49A2">
        <w:rPr>
          <w:color w:val="1F497D"/>
        </w:rPr>
        <w:t xml:space="preserve">taking </w:t>
      </w:r>
      <w:r w:rsidR="00EE49A2">
        <w:rPr>
          <w:color w:val="1F497D"/>
        </w:rPr>
        <w:t xml:space="preserve">into </w:t>
      </w:r>
      <w:r w:rsidR="00EE49A2" w:rsidRPr="00EE49A2">
        <w:rPr>
          <w:color w:val="1F497D"/>
        </w:rPr>
        <w:t>account</w:t>
      </w:r>
      <w:proofErr w:type="gramEnd"/>
      <w:r w:rsidR="00EE49A2" w:rsidRPr="00EE49A2">
        <w:rPr>
          <w:color w:val="1F497D"/>
        </w:rPr>
        <w:t xml:space="preserve"> any system limitations (distribution system limits, stability limits, or other limits).</w:t>
      </w:r>
      <w:r w:rsidR="00EE49A2">
        <w:rPr>
          <w:color w:val="1F497D"/>
          <w:u w:val="single"/>
        </w:rPr>
        <w:t xml:space="preserve"> </w:t>
      </w:r>
      <w:r w:rsidR="00CB5F6F" w:rsidRPr="00CB5F6F">
        <w:rPr>
          <w:color w:val="1F497D"/>
        </w:rPr>
        <w:t>Measurements must be taken and recorded at each</w:t>
      </w:r>
      <w:r w:rsidR="00921776">
        <w:rPr>
          <w:color w:val="1F497D"/>
        </w:rPr>
        <w:t xml:space="preserve"> of</w:t>
      </w:r>
      <w:r w:rsidR="00CB5F6F" w:rsidRPr="00CB5F6F">
        <w:rPr>
          <w:color w:val="1F497D"/>
        </w:rPr>
        <w:t xml:space="preserve"> the following levels</w:t>
      </w:r>
      <w:r w:rsidR="00921776">
        <w:rPr>
          <w:color w:val="1F497D"/>
        </w:rPr>
        <w:t>, including the ramping up and down periods</w:t>
      </w:r>
      <w:r w:rsidR="00CB5F6F" w:rsidRPr="00CB5F6F">
        <w:rPr>
          <w:color w:val="1F497D"/>
        </w:rPr>
        <w:t xml:space="preserve"> (For example, MW levels for a maximum HSL of 10 MW):</w:t>
      </w:r>
    </w:p>
    <w:p w14:paraId="520AE148" w14:textId="77777777" w:rsidR="00921776" w:rsidRPr="00921776" w:rsidRDefault="00921776" w:rsidP="000017DC">
      <w:pPr>
        <w:rPr>
          <w:color w:val="1F497D"/>
          <w:u w:val="single"/>
        </w:rPr>
      </w:pPr>
    </w:p>
    <w:p w14:paraId="50A5EB5E" w14:textId="3ECAA566" w:rsidR="000017DC" w:rsidRPr="006E7916" w:rsidRDefault="000017DC" w:rsidP="000017DC">
      <w:pPr>
        <w:pStyle w:val="ListParagraph"/>
        <w:numPr>
          <w:ilvl w:val="0"/>
          <w:numId w:val="1"/>
        </w:numPr>
        <w:rPr>
          <w:color w:val="1F497D"/>
        </w:rPr>
      </w:pPr>
      <w:r>
        <w:rPr>
          <w:color w:val="1F497D"/>
        </w:rPr>
        <w:t xml:space="preserve">25% output </w:t>
      </w:r>
      <w:r w:rsidR="009553B4">
        <w:rPr>
          <w:color w:val="1F497D"/>
        </w:rPr>
        <w:t xml:space="preserve">- </w:t>
      </w:r>
      <w:r>
        <w:rPr>
          <w:color w:val="1F497D"/>
        </w:rPr>
        <w:t xml:space="preserve">2.5 MW for 5 minutes, go to </w:t>
      </w:r>
      <w:r w:rsidR="009553B4">
        <w:rPr>
          <w:color w:val="1F497D"/>
        </w:rPr>
        <w:t xml:space="preserve">LSL </w:t>
      </w:r>
      <w:r>
        <w:rPr>
          <w:color w:val="1F497D"/>
        </w:rPr>
        <w:t>output</w:t>
      </w:r>
      <w:r w:rsidRPr="00782292">
        <w:rPr>
          <w:color w:val="1F497D"/>
        </w:rPr>
        <w:t xml:space="preserve"> </w:t>
      </w:r>
      <w:r>
        <w:rPr>
          <w:color w:val="1F497D"/>
        </w:rPr>
        <w:t>for at least 1 minute</w:t>
      </w:r>
    </w:p>
    <w:p w14:paraId="08435B6E" w14:textId="50903F75" w:rsidR="000017DC" w:rsidRPr="006E7916" w:rsidRDefault="000017DC" w:rsidP="000017DC">
      <w:pPr>
        <w:pStyle w:val="ListParagraph"/>
        <w:numPr>
          <w:ilvl w:val="0"/>
          <w:numId w:val="1"/>
        </w:numPr>
        <w:rPr>
          <w:color w:val="1F497D"/>
        </w:rPr>
      </w:pPr>
      <w:r>
        <w:rPr>
          <w:color w:val="1F497D"/>
        </w:rPr>
        <w:t xml:space="preserve">50% output - 5 MW for 5 minutes, go to </w:t>
      </w:r>
      <w:r w:rsidR="009553B4">
        <w:rPr>
          <w:color w:val="1F497D"/>
        </w:rPr>
        <w:t>LSL</w:t>
      </w:r>
      <w:r>
        <w:rPr>
          <w:color w:val="1F497D"/>
        </w:rPr>
        <w:t xml:space="preserve"> output</w:t>
      </w:r>
      <w:r w:rsidRPr="00782292">
        <w:rPr>
          <w:color w:val="1F497D"/>
        </w:rPr>
        <w:t xml:space="preserve"> </w:t>
      </w:r>
      <w:r>
        <w:rPr>
          <w:color w:val="1F497D"/>
        </w:rPr>
        <w:t>for at least 1 minute</w:t>
      </w:r>
    </w:p>
    <w:p w14:paraId="1B173C1E" w14:textId="753E0290" w:rsidR="000017DC" w:rsidRPr="006E7916" w:rsidRDefault="000017DC" w:rsidP="000017DC">
      <w:pPr>
        <w:pStyle w:val="ListParagraph"/>
        <w:numPr>
          <w:ilvl w:val="0"/>
          <w:numId w:val="1"/>
        </w:numPr>
        <w:rPr>
          <w:color w:val="1F497D"/>
        </w:rPr>
      </w:pPr>
      <w:r>
        <w:rPr>
          <w:color w:val="1F497D"/>
        </w:rPr>
        <w:t xml:space="preserve">75% </w:t>
      </w:r>
      <w:r w:rsidR="00CB5F6F">
        <w:rPr>
          <w:color w:val="1F497D"/>
        </w:rPr>
        <w:t xml:space="preserve">output </w:t>
      </w:r>
      <w:r>
        <w:rPr>
          <w:color w:val="1F497D"/>
        </w:rPr>
        <w:t xml:space="preserve">- 7.5 MW for 5 minutes, go to </w:t>
      </w:r>
      <w:r w:rsidR="009553B4">
        <w:rPr>
          <w:color w:val="1F497D"/>
        </w:rPr>
        <w:t xml:space="preserve">LSL </w:t>
      </w:r>
      <w:r>
        <w:rPr>
          <w:color w:val="1F497D"/>
        </w:rPr>
        <w:t>output</w:t>
      </w:r>
      <w:r w:rsidRPr="00782292">
        <w:rPr>
          <w:color w:val="1F497D"/>
        </w:rPr>
        <w:t xml:space="preserve"> </w:t>
      </w:r>
      <w:r>
        <w:rPr>
          <w:color w:val="1F497D"/>
        </w:rPr>
        <w:t>for at least 1 minute</w:t>
      </w:r>
    </w:p>
    <w:p w14:paraId="656A045E" w14:textId="0074B83E" w:rsidR="000017DC" w:rsidRDefault="000017DC" w:rsidP="000017DC">
      <w:pPr>
        <w:pStyle w:val="ListParagraph"/>
        <w:numPr>
          <w:ilvl w:val="0"/>
          <w:numId w:val="1"/>
        </w:numPr>
        <w:rPr>
          <w:color w:val="1F497D"/>
        </w:rPr>
      </w:pPr>
      <w:r>
        <w:rPr>
          <w:color w:val="1F497D"/>
        </w:rPr>
        <w:t xml:space="preserve">100% </w:t>
      </w:r>
      <w:r w:rsidR="00CB5F6F">
        <w:rPr>
          <w:color w:val="1F497D"/>
        </w:rPr>
        <w:t xml:space="preserve">output </w:t>
      </w:r>
      <w:r>
        <w:rPr>
          <w:color w:val="1F497D"/>
        </w:rPr>
        <w:t xml:space="preserve">- 10 MW for 5 minutes, go to </w:t>
      </w:r>
      <w:r w:rsidR="009553B4">
        <w:rPr>
          <w:color w:val="1F497D"/>
        </w:rPr>
        <w:t xml:space="preserve">LSL </w:t>
      </w:r>
      <w:r>
        <w:rPr>
          <w:color w:val="1F497D"/>
        </w:rPr>
        <w:t>output</w:t>
      </w:r>
      <w:r w:rsidRPr="00782292">
        <w:rPr>
          <w:color w:val="1F497D"/>
        </w:rPr>
        <w:t xml:space="preserve"> </w:t>
      </w:r>
      <w:r>
        <w:rPr>
          <w:color w:val="1F497D"/>
        </w:rPr>
        <w:t>for at least 1 minute</w:t>
      </w:r>
    </w:p>
    <w:p w14:paraId="748BF2EC" w14:textId="77777777" w:rsidR="00CB5F6F" w:rsidRPr="006E7916" w:rsidRDefault="00CB5F6F" w:rsidP="00CB5F6F">
      <w:pPr>
        <w:pStyle w:val="ListParagraph"/>
        <w:rPr>
          <w:color w:val="1F497D"/>
        </w:rPr>
      </w:pPr>
    </w:p>
    <w:bookmarkEnd w:id="0"/>
    <w:p w14:paraId="58295C84" w14:textId="6687843B" w:rsidR="00CB5F6F" w:rsidRDefault="00E53336" w:rsidP="00CA7F19">
      <w:pPr>
        <w:rPr>
          <w:color w:val="1F497D"/>
        </w:rPr>
      </w:pPr>
      <w:r w:rsidRPr="00E53336">
        <w:rPr>
          <w:noProof/>
          <w:color w:val="1F497D"/>
        </w:rPr>
        <w:drawing>
          <wp:inline distT="0" distB="0" distL="0" distR="0" wp14:anchorId="77E8BDFF" wp14:editId="28829DF0">
            <wp:extent cx="5943600" cy="3395345"/>
            <wp:effectExtent l="0" t="0" r="0" b="0"/>
            <wp:docPr id="918213748" name="Picture 1" descr="Diagram,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213748" name="Picture 1" descr="Diagram, tex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95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A20781" w14:textId="77777777" w:rsidR="00921776" w:rsidRDefault="00921776" w:rsidP="00CA7F19">
      <w:pPr>
        <w:rPr>
          <w:color w:val="1F497D"/>
        </w:rPr>
      </w:pPr>
    </w:p>
    <w:p w14:paraId="00253C16" w14:textId="0F668FA9" w:rsidR="00BD2DF4" w:rsidRDefault="00CA7F19" w:rsidP="00CA7F19">
      <w:pPr>
        <w:rPr>
          <w:color w:val="1F497D"/>
        </w:rPr>
      </w:pPr>
      <w:r>
        <w:rPr>
          <w:color w:val="1F497D"/>
        </w:rPr>
        <w:t>AVR test data will be entered on an Excel worksheet</w:t>
      </w:r>
      <w:r w:rsidR="00BD2DF4">
        <w:rPr>
          <w:color w:val="1F497D"/>
        </w:rPr>
        <w:t xml:space="preserve"> using the following template</w:t>
      </w:r>
      <w:r>
        <w:rPr>
          <w:color w:val="1F497D"/>
        </w:rPr>
        <w:t xml:space="preserve">.  </w:t>
      </w:r>
    </w:p>
    <w:p w14:paraId="2F7EC2ED" w14:textId="77777777" w:rsidR="00BD2DF4" w:rsidRDefault="00BD2DF4" w:rsidP="00CA7F19">
      <w:pPr>
        <w:rPr>
          <w:color w:val="1F497D"/>
        </w:rPr>
      </w:pPr>
    </w:p>
    <w:p w14:paraId="2D08DB03" w14:textId="77777777" w:rsidR="00BD2DF4" w:rsidRDefault="00CA7F19" w:rsidP="00CD3BC0">
      <w:pPr>
        <w:pStyle w:val="ListParagraph"/>
        <w:numPr>
          <w:ilvl w:val="0"/>
          <w:numId w:val="11"/>
        </w:numPr>
        <w:rPr>
          <w:color w:val="1F497D"/>
        </w:rPr>
      </w:pPr>
      <w:r w:rsidRPr="00CD3BC0">
        <w:rPr>
          <w:color w:val="1F497D"/>
        </w:rPr>
        <w:lastRenderedPageBreak/>
        <w:t xml:space="preserve">Column A is for the </w:t>
      </w:r>
      <w:proofErr w:type="gramStart"/>
      <w:r w:rsidRPr="00CD3BC0">
        <w:rPr>
          <w:color w:val="1F497D"/>
        </w:rPr>
        <w:t>time-stamp</w:t>
      </w:r>
      <w:proofErr w:type="gramEnd"/>
      <w:r w:rsidRPr="00CD3BC0">
        <w:rPr>
          <w:color w:val="1F497D"/>
        </w:rPr>
        <w:t xml:space="preserve"> (</w:t>
      </w:r>
      <w:proofErr w:type="gramStart"/>
      <w:r w:rsidRPr="00CD3BC0">
        <w:rPr>
          <w:color w:val="1F497D"/>
        </w:rPr>
        <w:t xml:space="preserve">CPT)  </w:t>
      </w:r>
      <w:r w:rsidR="00BD2DF4">
        <w:rPr>
          <w:color w:val="1F497D"/>
        </w:rPr>
        <w:t>using</w:t>
      </w:r>
      <w:proofErr w:type="gramEnd"/>
      <w:r w:rsidR="00BD2DF4">
        <w:rPr>
          <w:color w:val="1F497D"/>
        </w:rPr>
        <w:t xml:space="preserve"> MM/DD/YYYY HH:</w:t>
      </w:r>
      <w:proofErr w:type="gramStart"/>
      <w:r w:rsidR="00BD2DF4">
        <w:rPr>
          <w:color w:val="1F497D"/>
        </w:rPr>
        <w:t>MM:SS</w:t>
      </w:r>
      <w:proofErr w:type="gramEnd"/>
      <w:r w:rsidR="00BD2DF4">
        <w:rPr>
          <w:color w:val="1F497D"/>
        </w:rPr>
        <w:t xml:space="preserve"> AM/PM</w:t>
      </w:r>
    </w:p>
    <w:p w14:paraId="47C6CCF1" w14:textId="77777777" w:rsidR="00BD2DF4" w:rsidRDefault="007C246C" w:rsidP="00CD3BC0">
      <w:pPr>
        <w:pStyle w:val="ListParagraph"/>
        <w:numPr>
          <w:ilvl w:val="0"/>
          <w:numId w:val="11"/>
        </w:numPr>
        <w:rPr>
          <w:color w:val="1F497D"/>
        </w:rPr>
      </w:pPr>
      <w:r w:rsidRPr="00CD3BC0">
        <w:rPr>
          <w:color w:val="1F497D"/>
        </w:rPr>
        <w:t xml:space="preserve">Column B is for </w:t>
      </w:r>
      <w:r w:rsidR="004A712B">
        <w:rPr>
          <w:color w:val="1F497D"/>
        </w:rPr>
        <w:t>PCC</w:t>
      </w:r>
      <w:r w:rsidRPr="00CD3BC0">
        <w:rPr>
          <w:color w:val="1F497D"/>
        </w:rPr>
        <w:t xml:space="preserve"> </w:t>
      </w:r>
      <w:r w:rsidR="00BD2DF4">
        <w:rPr>
          <w:color w:val="1F497D"/>
        </w:rPr>
        <w:t xml:space="preserve">voltage in </w:t>
      </w:r>
      <w:r w:rsidRPr="00CD3BC0">
        <w:rPr>
          <w:color w:val="1F497D"/>
        </w:rPr>
        <w:t>kV</w:t>
      </w:r>
    </w:p>
    <w:p w14:paraId="30B12500" w14:textId="6285AF61" w:rsidR="00BD2DF4" w:rsidRDefault="00CA7F19" w:rsidP="00CD3BC0">
      <w:pPr>
        <w:pStyle w:val="ListParagraph"/>
        <w:numPr>
          <w:ilvl w:val="0"/>
          <w:numId w:val="11"/>
        </w:numPr>
        <w:rPr>
          <w:color w:val="1F497D"/>
        </w:rPr>
      </w:pPr>
      <w:r w:rsidRPr="00CD3BC0">
        <w:rPr>
          <w:color w:val="1F497D"/>
        </w:rPr>
        <w:t xml:space="preserve">Column </w:t>
      </w:r>
      <w:r w:rsidR="007C246C" w:rsidRPr="00CD3BC0">
        <w:rPr>
          <w:color w:val="1F497D"/>
        </w:rPr>
        <w:t xml:space="preserve">C </w:t>
      </w:r>
      <w:r w:rsidRPr="00CD3BC0">
        <w:rPr>
          <w:color w:val="1F497D"/>
        </w:rPr>
        <w:t xml:space="preserve">is for MW flow at the </w:t>
      </w:r>
      <w:r w:rsidR="004A712B">
        <w:rPr>
          <w:color w:val="1F497D"/>
        </w:rPr>
        <w:t>PCC</w:t>
      </w:r>
      <w:r w:rsidRPr="00CD3BC0">
        <w:rPr>
          <w:color w:val="1F497D"/>
        </w:rPr>
        <w:t xml:space="preserve"> (+ for flow from the </w:t>
      </w:r>
      <w:r w:rsidR="00835728">
        <w:rPr>
          <w:color w:val="1F497D"/>
        </w:rPr>
        <w:t>DGR</w:t>
      </w:r>
      <w:r w:rsidRPr="00CD3BC0">
        <w:rPr>
          <w:color w:val="1F497D"/>
        </w:rPr>
        <w:t xml:space="preserve"> to the </w:t>
      </w:r>
      <w:r w:rsidR="004A712B">
        <w:rPr>
          <w:color w:val="1F497D"/>
        </w:rPr>
        <w:t>PCC</w:t>
      </w:r>
      <w:r w:rsidRPr="00CD3BC0">
        <w:rPr>
          <w:color w:val="1F497D"/>
        </w:rPr>
        <w:t xml:space="preserve">) </w:t>
      </w:r>
    </w:p>
    <w:p w14:paraId="16E5369C" w14:textId="5861D6A7" w:rsidR="00CA7F19" w:rsidRPr="00CD3BC0" w:rsidRDefault="00CA7F19" w:rsidP="00CD3BC0">
      <w:pPr>
        <w:pStyle w:val="ListParagraph"/>
        <w:numPr>
          <w:ilvl w:val="0"/>
          <w:numId w:val="11"/>
        </w:numPr>
        <w:rPr>
          <w:color w:val="1F497D"/>
        </w:rPr>
      </w:pPr>
      <w:r w:rsidRPr="00CD3BC0">
        <w:rPr>
          <w:color w:val="1F497D"/>
        </w:rPr>
        <w:t xml:space="preserve">Column </w:t>
      </w:r>
      <w:r w:rsidR="007C246C" w:rsidRPr="00CD3BC0">
        <w:rPr>
          <w:color w:val="1F497D"/>
        </w:rPr>
        <w:t xml:space="preserve">D </w:t>
      </w:r>
      <w:r w:rsidRPr="00CD3BC0">
        <w:rPr>
          <w:color w:val="1F497D"/>
        </w:rPr>
        <w:t xml:space="preserve">is for MVAr flow at the </w:t>
      </w:r>
      <w:r w:rsidR="004A712B">
        <w:rPr>
          <w:color w:val="1F497D"/>
        </w:rPr>
        <w:t>PCC</w:t>
      </w:r>
      <w:r w:rsidRPr="00CD3BC0">
        <w:rPr>
          <w:color w:val="1F497D"/>
        </w:rPr>
        <w:t xml:space="preserve"> (+ for flow from the </w:t>
      </w:r>
      <w:r w:rsidR="00835728">
        <w:rPr>
          <w:color w:val="1F497D"/>
        </w:rPr>
        <w:t>DGR</w:t>
      </w:r>
      <w:r w:rsidRPr="00CD3BC0">
        <w:rPr>
          <w:color w:val="1F497D"/>
        </w:rPr>
        <w:t xml:space="preserve"> to the </w:t>
      </w:r>
      <w:r w:rsidR="004A712B">
        <w:rPr>
          <w:color w:val="1F497D"/>
        </w:rPr>
        <w:t>PCC</w:t>
      </w:r>
      <w:r w:rsidRPr="00CD3BC0">
        <w:rPr>
          <w:color w:val="1F497D"/>
        </w:rPr>
        <w:t>)</w:t>
      </w:r>
    </w:p>
    <w:p w14:paraId="726CCEB1" w14:textId="77777777" w:rsidR="00CA7F19" w:rsidRDefault="00CA7F19" w:rsidP="00CA7F19">
      <w:pPr>
        <w:rPr>
          <w:color w:val="1F497D"/>
        </w:rPr>
      </w:pPr>
    </w:p>
    <w:p w14:paraId="3559B81C" w14:textId="77777777" w:rsidR="00835728" w:rsidRDefault="00835728" w:rsidP="00CA7F19">
      <w:pPr>
        <w:rPr>
          <w:color w:val="1F497D"/>
        </w:rPr>
      </w:pPr>
    </w:p>
    <w:p w14:paraId="53425C34" w14:textId="77777777" w:rsidR="00CA7F19" w:rsidRDefault="00F05294" w:rsidP="00CA7F19">
      <w:pPr>
        <w:rPr>
          <w:b/>
          <w:color w:val="1F497D"/>
        </w:rPr>
      </w:pPr>
      <w:r w:rsidRPr="00CD3BC0">
        <w:rPr>
          <w:b/>
          <w:color w:val="1F497D"/>
        </w:rPr>
        <w:t xml:space="preserve">AVR Test </w:t>
      </w:r>
      <w:r w:rsidR="00CA7F19" w:rsidRPr="00CD3BC0">
        <w:rPr>
          <w:b/>
          <w:color w:val="1F497D"/>
        </w:rPr>
        <w:t>PASS/FAIL Criteria:</w:t>
      </w:r>
    </w:p>
    <w:p w14:paraId="33D81321" w14:textId="77777777" w:rsidR="00B20B89" w:rsidRDefault="00B20B89" w:rsidP="00CA7F19">
      <w:pPr>
        <w:rPr>
          <w:b/>
          <w:color w:val="1F497D"/>
        </w:rPr>
      </w:pPr>
    </w:p>
    <w:p w14:paraId="0362A379" w14:textId="77777777" w:rsidR="00DC3E1F" w:rsidRPr="00DB2222" w:rsidRDefault="00DC3E1F" w:rsidP="00DC3E1F">
      <w:pPr>
        <w:pStyle w:val="ListParagraph"/>
        <w:numPr>
          <w:ilvl w:val="0"/>
          <w:numId w:val="10"/>
        </w:numPr>
        <w:rPr>
          <w:color w:val="1F497D"/>
        </w:rPr>
      </w:pPr>
      <w:r w:rsidRPr="00DB2222">
        <w:rPr>
          <w:color w:val="1F497D"/>
        </w:rPr>
        <w:t xml:space="preserve">ERCOT will consult </w:t>
      </w:r>
      <w:r w:rsidR="00BD2DF4">
        <w:rPr>
          <w:color w:val="1F497D"/>
        </w:rPr>
        <w:t xml:space="preserve">the </w:t>
      </w:r>
      <w:r w:rsidRPr="00DB2222">
        <w:rPr>
          <w:color w:val="1F497D"/>
        </w:rPr>
        <w:t xml:space="preserve">DSP/TSP </w:t>
      </w:r>
      <w:r w:rsidR="00947FE2">
        <w:rPr>
          <w:color w:val="1F497D"/>
        </w:rPr>
        <w:t xml:space="preserve">and exercise engineering judgement </w:t>
      </w:r>
      <w:r w:rsidRPr="00DB2222">
        <w:rPr>
          <w:color w:val="1F497D"/>
        </w:rPr>
        <w:t>if there is a question of the AVR Test passing</w:t>
      </w:r>
      <w:r>
        <w:rPr>
          <w:color w:val="1F497D"/>
        </w:rPr>
        <w:t xml:space="preserve"> based on the following criteria.</w:t>
      </w:r>
    </w:p>
    <w:p w14:paraId="7A25FB32" w14:textId="77777777" w:rsidR="00DC3E1F" w:rsidRPr="00CD3BC0" w:rsidRDefault="00DC3E1F" w:rsidP="00CD3BC0">
      <w:pPr>
        <w:pStyle w:val="ListParagraph"/>
        <w:rPr>
          <w:b/>
          <w:color w:val="1F497D"/>
        </w:rPr>
      </w:pPr>
    </w:p>
    <w:p w14:paraId="717FF1A4" w14:textId="77777777" w:rsidR="00835728" w:rsidRPr="00835728" w:rsidRDefault="00835728" w:rsidP="00835728">
      <w:pPr>
        <w:pStyle w:val="ListParagraph"/>
        <w:numPr>
          <w:ilvl w:val="0"/>
          <w:numId w:val="13"/>
        </w:numPr>
        <w:contextualSpacing/>
        <w:rPr>
          <w:rFonts w:ascii="Arial" w:hAnsi="Arial" w:cs="Microsoft Sans Serif"/>
          <w:color w:val="1F4E79" w:themeColor="accent1" w:themeShade="80"/>
        </w:rPr>
      </w:pPr>
      <w:r w:rsidRPr="00835728">
        <w:rPr>
          <w:color w:val="1F4E79" w:themeColor="accent1" w:themeShade="80"/>
        </w:rPr>
        <w:t>Each test point is evaluated using the following rules:</w:t>
      </w:r>
    </w:p>
    <w:p w14:paraId="5466220E" w14:textId="1D5B0A63" w:rsidR="00835728" w:rsidRPr="00E11B11" w:rsidRDefault="00835728" w:rsidP="00E11B11">
      <w:pPr>
        <w:pStyle w:val="ListParagraph"/>
        <w:numPr>
          <w:ilvl w:val="1"/>
          <w:numId w:val="13"/>
        </w:numPr>
        <w:rPr>
          <w:color w:val="1F4E79" w:themeColor="accent1" w:themeShade="80"/>
        </w:rPr>
      </w:pPr>
      <w:r w:rsidRPr="00E11B11">
        <w:rPr>
          <w:color w:val="1F4E79" w:themeColor="accent1" w:themeShade="80"/>
        </w:rPr>
        <w:t>For when the absolute value of the DGR MW PCC flow is &gt; 30% of</w:t>
      </w:r>
      <w:r w:rsidR="00E11B11" w:rsidRPr="00E11B11">
        <w:rPr>
          <w:color w:val="1F4E79" w:themeColor="accent1" w:themeShade="80"/>
        </w:rPr>
        <w:t xml:space="preserve"> maximum MW DGR capability</w:t>
      </w:r>
    </w:p>
    <w:p w14:paraId="6D354821" w14:textId="77777777" w:rsidR="00835728" w:rsidRPr="00835728" w:rsidRDefault="00835728" w:rsidP="00835728">
      <w:pPr>
        <w:pStyle w:val="ListParagraph"/>
        <w:numPr>
          <w:ilvl w:val="2"/>
          <w:numId w:val="13"/>
        </w:numPr>
        <w:contextualSpacing/>
        <w:rPr>
          <w:color w:val="1F4E79" w:themeColor="accent1" w:themeShade="80"/>
        </w:rPr>
      </w:pPr>
      <w:r w:rsidRPr="00835728">
        <w:rPr>
          <w:color w:val="1F4E79" w:themeColor="accent1" w:themeShade="80"/>
        </w:rPr>
        <w:t>A test measurement will “pass” if the absolute value of the DGR MVAr PCC flow is &lt;= 3.5% of absolute value of the DGR MW PCC flow</w:t>
      </w:r>
    </w:p>
    <w:p w14:paraId="301CFA0C" w14:textId="77777777" w:rsidR="00835728" w:rsidRPr="00835728" w:rsidRDefault="00835728" w:rsidP="00835728">
      <w:pPr>
        <w:pStyle w:val="ListParagraph"/>
        <w:rPr>
          <w:color w:val="1F4E79" w:themeColor="accent1" w:themeShade="80"/>
        </w:rPr>
      </w:pPr>
      <w:r w:rsidRPr="00835728">
        <w:rPr>
          <w:color w:val="1F4E79" w:themeColor="accent1" w:themeShade="80"/>
        </w:rPr>
        <w:t xml:space="preserve"> </w:t>
      </w:r>
    </w:p>
    <w:p w14:paraId="62B1731A" w14:textId="479FA8F7" w:rsidR="00835728" w:rsidRPr="008D1D76" w:rsidRDefault="00835728" w:rsidP="00835728">
      <w:pPr>
        <w:pStyle w:val="ListParagraph"/>
        <w:numPr>
          <w:ilvl w:val="1"/>
          <w:numId w:val="13"/>
        </w:numPr>
        <w:contextualSpacing/>
        <w:rPr>
          <w:color w:val="1F4E79" w:themeColor="accent1" w:themeShade="80"/>
        </w:rPr>
      </w:pPr>
      <w:r w:rsidRPr="008D1D76">
        <w:rPr>
          <w:color w:val="1F4E79" w:themeColor="accent1" w:themeShade="80"/>
        </w:rPr>
        <w:t>For when the absolute value of the DGR MW PCC flow is &lt;= 30% of</w:t>
      </w:r>
      <w:r w:rsidR="008D1D76" w:rsidRPr="008D1D76">
        <w:rPr>
          <w:color w:val="1F4E79" w:themeColor="accent1" w:themeShade="80"/>
        </w:rPr>
        <w:t xml:space="preserve"> maximum installed MW DGR capability</w:t>
      </w:r>
    </w:p>
    <w:p w14:paraId="4C9996FE" w14:textId="35A12293" w:rsidR="00835728" w:rsidRPr="008D1D76" w:rsidRDefault="00835728" w:rsidP="00835728">
      <w:pPr>
        <w:pStyle w:val="ListParagraph"/>
        <w:numPr>
          <w:ilvl w:val="2"/>
          <w:numId w:val="13"/>
        </w:numPr>
        <w:contextualSpacing/>
        <w:rPr>
          <w:color w:val="1F4E79" w:themeColor="accent1" w:themeShade="80"/>
        </w:rPr>
      </w:pPr>
      <w:r w:rsidRPr="008D1D76">
        <w:rPr>
          <w:color w:val="1F4E79" w:themeColor="accent1" w:themeShade="80"/>
        </w:rPr>
        <w:t>A test measurement will “pass” if</w:t>
      </w:r>
      <w:r w:rsidRPr="008D1D76">
        <w:rPr>
          <w:b/>
          <w:bCs/>
          <w:color w:val="1F4E79" w:themeColor="accent1" w:themeShade="80"/>
        </w:rPr>
        <w:t xml:space="preserve"> </w:t>
      </w:r>
      <w:r w:rsidRPr="008D1D76">
        <w:rPr>
          <w:color w:val="1F4E79" w:themeColor="accent1" w:themeShade="80"/>
        </w:rPr>
        <w:t xml:space="preserve">the absolute value of the DGR MVAr PCC flow is &lt;= 1.3% of the </w:t>
      </w:r>
      <w:r w:rsidR="008D1D76" w:rsidRPr="008D1D76">
        <w:rPr>
          <w:color w:val="1F4E79" w:themeColor="accent1" w:themeShade="80"/>
        </w:rPr>
        <w:t>maximum installed MW DGR capability</w:t>
      </w:r>
    </w:p>
    <w:p w14:paraId="19968117" w14:textId="5D038CAA" w:rsidR="00D47325" w:rsidRDefault="00921776" w:rsidP="00CD3BC0">
      <w:pPr>
        <w:pStyle w:val="ListParagraph"/>
        <w:ind w:left="2160"/>
        <w:rPr>
          <w:color w:val="1F497D"/>
        </w:rPr>
      </w:pPr>
      <w:r>
        <w:rPr>
          <w:noProof/>
          <w:color w:val="1F497D"/>
        </w:rPr>
        <w:drawing>
          <wp:anchor distT="0" distB="0" distL="114300" distR="114300" simplePos="0" relativeHeight="251658240" behindDoc="0" locked="0" layoutInCell="1" allowOverlap="1" wp14:anchorId="5C035A84" wp14:editId="122C6937">
            <wp:simplePos x="0" y="0"/>
            <wp:positionH relativeFrom="margin">
              <wp:posOffset>197674</wp:posOffset>
            </wp:positionH>
            <wp:positionV relativeFrom="paragraph">
              <wp:posOffset>355476</wp:posOffset>
            </wp:positionV>
            <wp:extent cx="5518150" cy="3617595"/>
            <wp:effectExtent l="114300" t="114300" r="120650" b="116205"/>
            <wp:wrapSquare wrapText="bothSides"/>
            <wp:docPr id="902907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0" cy="3617595"/>
                    </a:xfrm>
                    <a:prstGeom prst="rect">
                      <a:avLst/>
                    </a:prstGeom>
                    <a:noFill/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E318EF" w14:textId="18FC8E6F" w:rsidR="006B6B41" w:rsidRPr="00CD3BC0" w:rsidRDefault="006B6B41" w:rsidP="006E7916">
      <w:pPr>
        <w:ind w:left="720"/>
        <w:rPr>
          <w:color w:val="1F497D"/>
        </w:rPr>
      </w:pPr>
    </w:p>
    <w:p w14:paraId="4C4070E6" w14:textId="0ABF2D25" w:rsidR="00A34FF2" w:rsidRDefault="00A34FF2" w:rsidP="00CD3BC0">
      <w:pPr>
        <w:pStyle w:val="ListParagraph"/>
        <w:rPr>
          <w:color w:val="1F497D"/>
        </w:rPr>
      </w:pPr>
    </w:p>
    <w:p w14:paraId="5F380CDB" w14:textId="102BA193" w:rsidR="007578B2" w:rsidRPr="00CD3BC0" w:rsidRDefault="00B70F42" w:rsidP="00CD3BC0">
      <w:pPr>
        <w:pStyle w:val="ListParagraph"/>
        <w:rPr>
          <w:color w:val="1F497D"/>
        </w:rPr>
      </w:pPr>
      <w:r w:rsidRPr="00DB2222">
        <w:rPr>
          <w:color w:val="1F497D"/>
        </w:rPr>
        <w:lastRenderedPageBreak/>
        <w:t xml:space="preserve">For the test points that “fail” the above </w:t>
      </w:r>
      <w:r w:rsidR="00947FE2">
        <w:rPr>
          <w:color w:val="1F497D"/>
        </w:rPr>
        <w:t>2</w:t>
      </w:r>
      <w:r w:rsidR="00947FE2" w:rsidRPr="00DB2222">
        <w:rPr>
          <w:color w:val="1F497D"/>
        </w:rPr>
        <w:t xml:space="preserve"> </w:t>
      </w:r>
      <w:r w:rsidR="00D20210">
        <w:rPr>
          <w:color w:val="1F497D"/>
        </w:rPr>
        <w:t>rules</w:t>
      </w:r>
      <w:r w:rsidRPr="00DB2222">
        <w:rPr>
          <w:color w:val="1F497D"/>
        </w:rPr>
        <w:t>, the voltage dips</w:t>
      </w:r>
      <w:r w:rsidR="000614D6">
        <w:rPr>
          <w:color w:val="1F497D"/>
        </w:rPr>
        <w:t xml:space="preserve"> (flicker)</w:t>
      </w:r>
      <w:r w:rsidRPr="00DB2222">
        <w:rPr>
          <w:color w:val="1F497D"/>
        </w:rPr>
        <w:t xml:space="preserve"> mus</w:t>
      </w:r>
      <w:r w:rsidR="000614D6">
        <w:rPr>
          <w:color w:val="1F497D"/>
        </w:rPr>
        <w:t xml:space="preserve">t be less than the following </w:t>
      </w:r>
      <w:r w:rsidRPr="00DB2222">
        <w:rPr>
          <w:color w:val="1F497D"/>
        </w:rPr>
        <w:t>to mini</w:t>
      </w:r>
      <w:r w:rsidR="00DC3E1F">
        <w:rPr>
          <w:color w:val="1F497D"/>
        </w:rPr>
        <w:t>mize MVAr</w:t>
      </w:r>
      <w:r w:rsidR="000614D6">
        <w:rPr>
          <w:color w:val="1F497D"/>
        </w:rPr>
        <w:t xml:space="preserve"> transients to the </w:t>
      </w:r>
      <w:r w:rsidR="004A712B">
        <w:rPr>
          <w:color w:val="1F497D"/>
        </w:rPr>
        <w:t>PCC</w:t>
      </w:r>
      <w:r w:rsidR="000614D6">
        <w:rPr>
          <w:color w:val="1F497D"/>
        </w:rPr>
        <w:t xml:space="preserve">.  (Refer to IEEE Std 1453-2015 IEEE Recommended Practice for the Analysis of Fluctuating Installations on Power Systems – Figure </w:t>
      </w:r>
      <w:r w:rsidR="00DC3E1F">
        <w:rPr>
          <w:color w:val="1F497D"/>
        </w:rPr>
        <w:t>1 --- GE flicker curve.</w:t>
      </w:r>
      <w:r w:rsidR="000614D6">
        <w:rPr>
          <w:color w:val="1F497D"/>
        </w:rPr>
        <w:t>)</w:t>
      </w:r>
    </w:p>
    <w:p w14:paraId="04521D95" w14:textId="18906970" w:rsidR="007578B2" w:rsidRPr="00DB2222" w:rsidRDefault="00B70F42" w:rsidP="006E7916">
      <w:pPr>
        <w:pStyle w:val="ListParagraph"/>
        <w:numPr>
          <w:ilvl w:val="2"/>
          <w:numId w:val="2"/>
        </w:numPr>
        <w:ind w:left="1440"/>
        <w:rPr>
          <w:color w:val="1F497D"/>
        </w:rPr>
      </w:pPr>
      <w:r w:rsidRPr="00DB2222">
        <w:rPr>
          <w:color w:val="1F497D"/>
        </w:rPr>
        <w:t xml:space="preserve">Voltage dips resulting in a &lt;= 3% change in </w:t>
      </w:r>
      <w:r w:rsidR="004A712B">
        <w:rPr>
          <w:color w:val="1F497D"/>
        </w:rPr>
        <w:t>PCC</w:t>
      </w:r>
      <w:r w:rsidRPr="00DB2222">
        <w:rPr>
          <w:color w:val="1F497D"/>
        </w:rPr>
        <w:t xml:space="preserve"> voltage will “pass” if the frequency of voltage dips is &lt;= 10 voltage dips per hour (for typical operations)</w:t>
      </w:r>
    </w:p>
    <w:p w14:paraId="5D457F72" w14:textId="6AE3C149" w:rsidR="007578B2" w:rsidRPr="00DB2222" w:rsidRDefault="00B70F42" w:rsidP="006E7916">
      <w:pPr>
        <w:pStyle w:val="ListParagraph"/>
        <w:numPr>
          <w:ilvl w:val="2"/>
          <w:numId w:val="2"/>
        </w:numPr>
        <w:ind w:left="1440"/>
        <w:rPr>
          <w:color w:val="1F497D"/>
        </w:rPr>
      </w:pPr>
      <w:r w:rsidRPr="00DB2222">
        <w:rPr>
          <w:color w:val="1F497D"/>
        </w:rPr>
        <w:t xml:space="preserve">Voltage dips resulting in a &lt;= 2% change in </w:t>
      </w:r>
      <w:r w:rsidR="004A712B">
        <w:rPr>
          <w:color w:val="1F497D"/>
        </w:rPr>
        <w:t>PCC</w:t>
      </w:r>
      <w:r w:rsidRPr="00DB2222">
        <w:rPr>
          <w:color w:val="1F497D"/>
        </w:rPr>
        <w:t xml:space="preserve"> voltage will “pass” if the frequency of voltage dips is &lt;= 1 voltage dip per minute (for typical operations)</w:t>
      </w:r>
    </w:p>
    <w:p w14:paraId="4E371998" w14:textId="7E9B31B5" w:rsidR="00AB2165" w:rsidRDefault="00B70F42" w:rsidP="006E7916">
      <w:pPr>
        <w:pStyle w:val="ListParagraph"/>
        <w:numPr>
          <w:ilvl w:val="2"/>
          <w:numId w:val="2"/>
        </w:numPr>
        <w:ind w:left="1440"/>
        <w:rPr>
          <w:color w:val="1F497D"/>
        </w:rPr>
      </w:pPr>
      <w:r w:rsidRPr="00DB2222">
        <w:rPr>
          <w:color w:val="1F497D"/>
        </w:rPr>
        <w:t xml:space="preserve">Voltage dips resulting in a &lt;= 1% change in </w:t>
      </w:r>
      <w:r w:rsidR="004A712B">
        <w:rPr>
          <w:color w:val="1F497D"/>
        </w:rPr>
        <w:t>PCC</w:t>
      </w:r>
      <w:r w:rsidRPr="00DB2222">
        <w:rPr>
          <w:color w:val="1F497D"/>
        </w:rPr>
        <w:t xml:space="preserve"> voltage will “pass” if the frequency of voltage dips is &lt;= 15 voltage dips per minute (for typical operations)</w:t>
      </w:r>
    </w:p>
    <w:p w14:paraId="32DDCC9D" w14:textId="3B592319" w:rsidR="008675E7" w:rsidRPr="00870F45" w:rsidRDefault="008675E7" w:rsidP="006E7916">
      <w:pPr>
        <w:pStyle w:val="ListParagraph"/>
        <w:numPr>
          <w:ilvl w:val="2"/>
          <w:numId w:val="2"/>
        </w:numPr>
        <w:ind w:left="1440"/>
        <w:rPr>
          <w:color w:val="1F497D"/>
        </w:rPr>
      </w:pPr>
      <w:r w:rsidRPr="00DB2222">
        <w:rPr>
          <w:color w:val="1F497D"/>
        </w:rPr>
        <w:t xml:space="preserve">Voltage dips resulting in a &lt;= </w:t>
      </w:r>
      <w:r>
        <w:rPr>
          <w:color w:val="1F497D"/>
        </w:rPr>
        <w:t>0.5</w:t>
      </w:r>
      <w:r w:rsidRPr="00DB2222">
        <w:rPr>
          <w:color w:val="1F497D"/>
        </w:rPr>
        <w:t xml:space="preserve">% change in </w:t>
      </w:r>
      <w:r w:rsidR="004A712B">
        <w:rPr>
          <w:color w:val="1F497D"/>
        </w:rPr>
        <w:t>PCC</w:t>
      </w:r>
      <w:r w:rsidRPr="00DB2222">
        <w:rPr>
          <w:color w:val="1F497D"/>
        </w:rPr>
        <w:t xml:space="preserve"> voltage will “pass” </w:t>
      </w:r>
      <w:r>
        <w:rPr>
          <w:color w:val="1F497D"/>
        </w:rPr>
        <w:t xml:space="preserve">regardless of </w:t>
      </w:r>
      <w:r w:rsidRPr="00DB2222">
        <w:rPr>
          <w:color w:val="1F497D"/>
        </w:rPr>
        <w:t>frequency of voltage dips (for typical operations)</w:t>
      </w:r>
    </w:p>
    <w:p w14:paraId="01FF6833" w14:textId="08CA15BD" w:rsidR="00CA7F19" w:rsidRDefault="00CA7F19" w:rsidP="00CA7F19">
      <w:pPr>
        <w:rPr>
          <w:color w:val="1F497D"/>
        </w:rPr>
      </w:pPr>
    </w:p>
    <w:p w14:paraId="3E4D12BE" w14:textId="50C6BFAF" w:rsidR="00DC3E1F" w:rsidRDefault="00CA7F19" w:rsidP="00CA7F19">
      <w:pPr>
        <w:rPr>
          <w:color w:val="1F497D"/>
        </w:rPr>
      </w:pPr>
      <w:r>
        <w:rPr>
          <w:color w:val="1F497D"/>
        </w:rPr>
        <w:t>The AVR test data spreadsheet is to be submitted as an attachment in the NDCRC application on MIS in the section for AVR Tests.</w:t>
      </w:r>
      <w:r w:rsidR="00AB2165">
        <w:rPr>
          <w:color w:val="1F497D"/>
        </w:rPr>
        <w:t xml:space="preserve"> </w:t>
      </w:r>
    </w:p>
    <w:p w14:paraId="2DD4CEEE" w14:textId="489E0C71" w:rsidR="005E61BE" w:rsidRDefault="005E61BE" w:rsidP="00CA7F19">
      <w:pPr>
        <w:rPr>
          <w:color w:val="1F497D"/>
        </w:rPr>
      </w:pPr>
    </w:p>
    <w:p w14:paraId="58134B03" w14:textId="5B795F11" w:rsidR="005E61BE" w:rsidRPr="00CD3BC0" w:rsidRDefault="005E61BE" w:rsidP="00CA7F19">
      <w:pPr>
        <w:rPr>
          <w:b/>
          <w:color w:val="1F497D"/>
        </w:rPr>
      </w:pPr>
      <w:r w:rsidRPr="00CD3BC0">
        <w:rPr>
          <w:b/>
          <w:color w:val="1F497D"/>
        </w:rPr>
        <w:t>References:</w:t>
      </w:r>
    </w:p>
    <w:p w14:paraId="7731A806" w14:textId="77777777" w:rsidR="005E61BE" w:rsidRDefault="005E61BE" w:rsidP="00CA7F19">
      <w:pPr>
        <w:rPr>
          <w:color w:val="1F497D"/>
        </w:rPr>
      </w:pPr>
    </w:p>
    <w:p w14:paraId="4707EAA3" w14:textId="77777777" w:rsidR="005E61BE" w:rsidRDefault="005E61BE" w:rsidP="00CD3BC0">
      <w:pPr>
        <w:pStyle w:val="ListParagraph"/>
        <w:numPr>
          <w:ilvl w:val="0"/>
          <w:numId w:val="9"/>
        </w:numPr>
        <w:rPr>
          <w:color w:val="1F497D"/>
        </w:rPr>
      </w:pPr>
      <w:r>
        <w:rPr>
          <w:color w:val="1F497D"/>
        </w:rPr>
        <w:t>Initial d</w:t>
      </w:r>
      <w:r w:rsidRPr="00CD3BC0">
        <w:rPr>
          <w:color w:val="1F497D"/>
        </w:rPr>
        <w:t xml:space="preserve">iscussions </w:t>
      </w:r>
      <w:r>
        <w:rPr>
          <w:color w:val="1F497D"/>
        </w:rPr>
        <w:t>with</w:t>
      </w:r>
      <w:r w:rsidRPr="00CD3BC0">
        <w:rPr>
          <w:color w:val="1F497D"/>
        </w:rPr>
        <w:t xml:space="preserve"> Oncor, TNMP and PEC.</w:t>
      </w:r>
    </w:p>
    <w:p w14:paraId="15C13DD1" w14:textId="3674129A" w:rsidR="005E61BE" w:rsidRPr="00CD3BC0" w:rsidRDefault="005E61BE" w:rsidP="00CD3BC0">
      <w:pPr>
        <w:pStyle w:val="ListParagraph"/>
        <w:numPr>
          <w:ilvl w:val="0"/>
          <w:numId w:val="9"/>
        </w:numPr>
        <w:rPr>
          <w:color w:val="1F497D"/>
        </w:rPr>
      </w:pPr>
      <w:r>
        <w:rPr>
          <w:color w:val="1F497D"/>
        </w:rPr>
        <w:t>IEEE Std 1453-2015 IEEE Recommended Practice for the Analysis of Fluctuating Installations on Power Systems</w:t>
      </w:r>
    </w:p>
    <w:p w14:paraId="316D4328" w14:textId="77777777" w:rsidR="005E61BE" w:rsidRDefault="005E61BE" w:rsidP="00CA7F19">
      <w:pPr>
        <w:rPr>
          <w:color w:val="1F497D"/>
        </w:rPr>
      </w:pPr>
    </w:p>
    <w:p w14:paraId="47B63344" w14:textId="77777777" w:rsidR="00A0455B" w:rsidRDefault="00A0455B"/>
    <w:sectPr w:rsidR="00A0455B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2D385" w14:textId="77777777" w:rsidR="001C75F8" w:rsidRDefault="001C75F8" w:rsidP="00D96E08">
      <w:r>
        <w:separator/>
      </w:r>
    </w:p>
  </w:endnote>
  <w:endnote w:type="continuationSeparator" w:id="0">
    <w:p w14:paraId="56530507" w14:textId="77777777" w:rsidR="001C75F8" w:rsidRDefault="001C75F8" w:rsidP="00D96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19384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176793" w14:textId="77777777" w:rsidR="00D96E08" w:rsidRDefault="00D96E0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797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3ED70A8" w14:textId="77777777" w:rsidR="00D96E08" w:rsidRDefault="00D96E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5D3E1" w14:textId="77777777" w:rsidR="001C75F8" w:rsidRDefault="001C75F8" w:rsidP="00D96E08">
      <w:r>
        <w:separator/>
      </w:r>
    </w:p>
  </w:footnote>
  <w:footnote w:type="continuationSeparator" w:id="0">
    <w:p w14:paraId="5477E27D" w14:textId="77777777" w:rsidR="001C75F8" w:rsidRDefault="001C75F8" w:rsidP="00D96E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6DBD"/>
    <w:multiLevelType w:val="hybridMultilevel"/>
    <w:tmpl w:val="3618ACF0"/>
    <w:lvl w:ilvl="0" w:tplc="341691B0">
      <w:start w:val="1"/>
      <w:numFmt w:val="decimal"/>
      <w:lvlText w:val="(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2B7C96"/>
    <w:multiLevelType w:val="hybridMultilevel"/>
    <w:tmpl w:val="C00412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E6342"/>
    <w:multiLevelType w:val="hybridMultilevel"/>
    <w:tmpl w:val="60482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02D8F"/>
    <w:multiLevelType w:val="multilevel"/>
    <w:tmpl w:val="014E45B2"/>
    <w:lvl w:ilvl="0">
      <w:start w:val="1"/>
      <w:numFmt w:val="decimal"/>
      <w:lvlText w:val="%1."/>
      <w:lvlJc w:val="left"/>
      <w:pPr>
        <w:ind w:left="1426" w:hanging="360"/>
      </w:pPr>
    </w:lvl>
    <w:lvl w:ilvl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4" w15:restartNumberingAfterBreak="0">
    <w:nsid w:val="2E1D3AB6"/>
    <w:multiLevelType w:val="hybridMultilevel"/>
    <w:tmpl w:val="3AAC6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FC4C5D"/>
    <w:multiLevelType w:val="hybridMultilevel"/>
    <w:tmpl w:val="9E72119E"/>
    <w:lvl w:ilvl="0" w:tplc="341691B0">
      <w:start w:val="1"/>
      <w:numFmt w:val="decimal"/>
      <w:lvlText w:val="(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0307EAE"/>
    <w:multiLevelType w:val="hybridMultilevel"/>
    <w:tmpl w:val="4086BA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4E773B6"/>
    <w:multiLevelType w:val="hybridMultilevel"/>
    <w:tmpl w:val="D2687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5C2523"/>
    <w:multiLevelType w:val="hybridMultilevel"/>
    <w:tmpl w:val="33B4F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5F52DF"/>
    <w:multiLevelType w:val="hybridMultilevel"/>
    <w:tmpl w:val="E8708D62"/>
    <w:lvl w:ilvl="0" w:tplc="6882D7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72F0A8">
      <w:start w:val="18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E029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7C74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6AC1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167A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122F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9AEB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DC0E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CFD3E7A"/>
    <w:multiLevelType w:val="hybridMultilevel"/>
    <w:tmpl w:val="317E1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2053154">
    <w:abstractNumId w:val="4"/>
  </w:num>
  <w:num w:numId="2" w16cid:durableId="2025933828">
    <w:abstractNumId w:val="8"/>
  </w:num>
  <w:num w:numId="3" w16cid:durableId="13122468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56362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8012244">
    <w:abstractNumId w:val="0"/>
  </w:num>
  <w:num w:numId="6" w16cid:durableId="1124226327">
    <w:abstractNumId w:val="1"/>
  </w:num>
  <w:num w:numId="7" w16cid:durableId="317150838">
    <w:abstractNumId w:val="6"/>
  </w:num>
  <w:num w:numId="8" w16cid:durableId="594870833">
    <w:abstractNumId w:val="9"/>
  </w:num>
  <w:num w:numId="9" w16cid:durableId="1650554776">
    <w:abstractNumId w:val="7"/>
  </w:num>
  <w:num w:numId="10" w16cid:durableId="516041794">
    <w:abstractNumId w:val="10"/>
  </w:num>
  <w:num w:numId="11" w16cid:durableId="243803859">
    <w:abstractNumId w:val="2"/>
  </w:num>
  <w:num w:numId="12" w16cid:durableId="72183081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249312893">
    <w:abstractNumId w:val="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F19"/>
    <w:rsid w:val="000017DC"/>
    <w:rsid w:val="000614D6"/>
    <w:rsid w:val="000800A2"/>
    <w:rsid w:val="00087320"/>
    <w:rsid w:val="001037B9"/>
    <w:rsid w:val="00105800"/>
    <w:rsid w:val="00130E8D"/>
    <w:rsid w:val="00196D2B"/>
    <w:rsid w:val="001A1FBE"/>
    <w:rsid w:val="001C75F8"/>
    <w:rsid w:val="002471FC"/>
    <w:rsid w:val="00277239"/>
    <w:rsid w:val="002F4E29"/>
    <w:rsid w:val="00327970"/>
    <w:rsid w:val="00347AF7"/>
    <w:rsid w:val="00412F8C"/>
    <w:rsid w:val="00417A8C"/>
    <w:rsid w:val="004614B4"/>
    <w:rsid w:val="00472C52"/>
    <w:rsid w:val="0048486C"/>
    <w:rsid w:val="004A712B"/>
    <w:rsid w:val="005356E6"/>
    <w:rsid w:val="00573272"/>
    <w:rsid w:val="005B5D10"/>
    <w:rsid w:val="005E61BE"/>
    <w:rsid w:val="005F73CB"/>
    <w:rsid w:val="006163CF"/>
    <w:rsid w:val="006A2AC1"/>
    <w:rsid w:val="006A734F"/>
    <w:rsid w:val="006B6B41"/>
    <w:rsid w:val="006E30F3"/>
    <w:rsid w:val="006E7916"/>
    <w:rsid w:val="006F1F40"/>
    <w:rsid w:val="00752FED"/>
    <w:rsid w:val="007578B2"/>
    <w:rsid w:val="00782292"/>
    <w:rsid w:val="007C246C"/>
    <w:rsid w:val="007C2FF4"/>
    <w:rsid w:val="007D4DD3"/>
    <w:rsid w:val="00835728"/>
    <w:rsid w:val="00860E59"/>
    <w:rsid w:val="008623EF"/>
    <w:rsid w:val="008675E7"/>
    <w:rsid w:val="00870F45"/>
    <w:rsid w:val="00875E6B"/>
    <w:rsid w:val="008C2DD2"/>
    <w:rsid w:val="008C7BE6"/>
    <w:rsid w:val="008D1D76"/>
    <w:rsid w:val="00921776"/>
    <w:rsid w:val="00921B24"/>
    <w:rsid w:val="009277E7"/>
    <w:rsid w:val="00947FE2"/>
    <w:rsid w:val="009553B4"/>
    <w:rsid w:val="009B5207"/>
    <w:rsid w:val="009F0EDD"/>
    <w:rsid w:val="009F1139"/>
    <w:rsid w:val="00A0072D"/>
    <w:rsid w:val="00A0455B"/>
    <w:rsid w:val="00A34FF2"/>
    <w:rsid w:val="00A722BC"/>
    <w:rsid w:val="00A74163"/>
    <w:rsid w:val="00AB2165"/>
    <w:rsid w:val="00B15F57"/>
    <w:rsid w:val="00B20B89"/>
    <w:rsid w:val="00B34A15"/>
    <w:rsid w:val="00B70F42"/>
    <w:rsid w:val="00B71648"/>
    <w:rsid w:val="00BD2DF4"/>
    <w:rsid w:val="00BF4161"/>
    <w:rsid w:val="00BF63A4"/>
    <w:rsid w:val="00C22600"/>
    <w:rsid w:val="00C30688"/>
    <w:rsid w:val="00C8610B"/>
    <w:rsid w:val="00CA7F19"/>
    <w:rsid w:val="00CB5F6F"/>
    <w:rsid w:val="00CD3BC0"/>
    <w:rsid w:val="00D20210"/>
    <w:rsid w:val="00D47325"/>
    <w:rsid w:val="00D64FA2"/>
    <w:rsid w:val="00D96E08"/>
    <w:rsid w:val="00DB19A1"/>
    <w:rsid w:val="00DB2222"/>
    <w:rsid w:val="00DC3E1F"/>
    <w:rsid w:val="00DC754B"/>
    <w:rsid w:val="00E11B11"/>
    <w:rsid w:val="00E33A17"/>
    <w:rsid w:val="00E53336"/>
    <w:rsid w:val="00EA44F5"/>
    <w:rsid w:val="00EC320D"/>
    <w:rsid w:val="00EE41F9"/>
    <w:rsid w:val="00EE49A2"/>
    <w:rsid w:val="00EE7AEC"/>
    <w:rsid w:val="00EF6812"/>
    <w:rsid w:val="00F05294"/>
    <w:rsid w:val="00F26AC0"/>
    <w:rsid w:val="00F6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1ACED"/>
  <w15:chartTrackingRefBased/>
  <w15:docId w15:val="{6CDEFFF1-C6B7-47C3-9202-994A7C5C8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F1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7F1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24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46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47A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7A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7AF7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7A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7AF7"/>
    <w:rPr>
      <w:rFonts w:ascii="Calibri" w:hAnsi="Calibri" w:cs="Calibr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96E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6E08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96E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6E08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0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95688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85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72162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557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669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07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11DDA-C3D6-4276-BBD8-80621E4C6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666</Words>
  <Characters>2988</Characters>
  <Application>Microsoft Office Word</Application>
  <DocSecurity>0</DocSecurity>
  <Lines>76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Electric Reliability Council of Texas</Company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Geer, Ed</dc:creator>
  <cp:keywords/>
  <dc:description/>
  <cp:lastModifiedBy>Lawson, John</cp:lastModifiedBy>
  <cp:revision>2</cp:revision>
  <dcterms:created xsi:type="dcterms:W3CDTF">2026-01-26T14:45:00Z</dcterms:created>
  <dcterms:modified xsi:type="dcterms:W3CDTF">2026-01-26T14:45:00Z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2026-01-06T16:20:55Z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6910b7d6-ff51-44e7-a6f2-14cf60f30264</vt:lpwstr>
  </property>
  <property fmtid="{D5CDD505-2E9C-101B-9397-08002B2CF9AE}" pid="8" name="MSIP_Label_7084cbda-52b8-46fb-a7b7-cb5bd465ed85_ContentBits">
    <vt:lpwstr>0</vt:lpwstr>
  </property>
  <property fmtid="{D5CDD505-2E9C-101B-9397-08002B2CF9AE}" pid="9" name="MSIP_Label_7084cbda-52b8-46fb-a7b7-cb5bd465ed85_Tag">
    <vt:lpwstr>10, 3, 0, 1</vt:lpwstr>
  </property>
</Properties>
</file>