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528" w14:textId="452462DC" w:rsidR="000D2AA6" w:rsidRDefault="00844D0B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87C66" w:rsidRPr="00287C66">
        <w:rPr>
          <w:b/>
          <w:bCs/>
          <w:sz w:val="28"/>
          <w:szCs w:val="28"/>
        </w:rPr>
        <w:t>Planning Working Group (PLWG) Meeting Minutes</w:t>
      </w:r>
    </w:p>
    <w:p w14:paraId="1EE0C269" w14:textId="2015770E" w:rsidR="00A765CC" w:rsidRPr="00A765CC" w:rsidRDefault="00BF31AD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16</w:t>
      </w:r>
      <w:r w:rsidR="00287C66" w:rsidRPr="00287C66">
        <w:rPr>
          <w:b/>
          <w:bCs/>
          <w:sz w:val="28"/>
          <w:szCs w:val="28"/>
        </w:rPr>
        <w:t>, 2025 (</w:t>
      </w:r>
      <w:r w:rsidR="000D6D65">
        <w:rPr>
          <w:b/>
          <w:bCs/>
          <w:sz w:val="28"/>
          <w:szCs w:val="28"/>
        </w:rPr>
        <w:t xml:space="preserve">In Person &amp; </w:t>
      </w:r>
      <w:proofErr w:type="spellStart"/>
      <w:r w:rsidR="00287C66" w:rsidRPr="00287C66">
        <w:rPr>
          <w:b/>
          <w:bCs/>
          <w:sz w:val="28"/>
          <w:szCs w:val="28"/>
        </w:rPr>
        <w:t>WebEx</w:t>
      </w:r>
      <w:proofErr w:type="spellEnd"/>
      <w:r w:rsidR="00287C66" w:rsidRPr="00287C66">
        <w:rPr>
          <w:b/>
          <w:bCs/>
          <w:sz w:val="28"/>
          <w:szCs w:val="28"/>
        </w:rPr>
        <w:t>)</w:t>
      </w:r>
    </w:p>
    <w:tbl>
      <w:tblPr>
        <w:tblW w:w="49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10"/>
        <w:gridCol w:w="1620"/>
      </w:tblGrid>
      <w:tr w:rsidR="0056135A" w:rsidRPr="00A765CC" w14:paraId="2C1C752A" w14:textId="77777777" w:rsidTr="0056135A">
        <w:trPr>
          <w:trHeight w:val="630"/>
        </w:trPr>
        <w:tc>
          <w:tcPr>
            <w:tcW w:w="291" w:type="pct"/>
            <w:hideMark/>
          </w:tcPr>
          <w:p w14:paraId="2F8EFA68" w14:textId="77777777" w:rsidR="0056135A" w:rsidRPr="00A765CC" w:rsidRDefault="0056135A" w:rsidP="00A765CC">
            <w:r w:rsidRPr="00A765CC">
              <w:rPr>
                <w:b/>
                <w:bCs/>
              </w:rPr>
              <w:t>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3D7672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Antitrust Admonition</w:t>
            </w:r>
          </w:p>
          <w:p w14:paraId="1B292D78" w14:textId="1CD5E189" w:rsidR="0056135A" w:rsidRPr="00A765CC" w:rsidRDefault="00DC7FCA" w:rsidP="00A765CC">
            <w:r>
              <w:t xml:space="preserve">Meeting </w:t>
            </w:r>
            <w:r w:rsidR="007B7E9D">
              <w:t xml:space="preserve">started </w:t>
            </w:r>
            <w:r>
              <w:t xml:space="preserve">at </w:t>
            </w:r>
            <w:r w:rsidR="00113496">
              <w:t>1</w:t>
            </w:r>
            <w:r w:rsidR="00BF31AD">
              <w:t>:30</w:t>
            </w:r>
            <w:r w:rsidR="00113496">
              <w:t xml:space="preserve"> pm</w:t>
            </w:r>
            <w:r>
              <w:t xml:space="preserve">. </w:t>
            </w:r>
            <w:r w:rsidR="0056135A">
              <w:t>Antitrust admonition was given.</w:t>
            </w:r>
          </w:p>
        </w:tc>
        <w:tc>
          <w:tcPr>
            <w:tcW w:w="874" w:type="pct"/>
            <w:hideMark/>
          </w:tcPr>
          <w:p w14:paraId="15C2053A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4A04B9CE" w14:textId="77777777" w:rsidTr="0056135A">
        <w:trPr>
          <w:trHeight w:val="630"/>
        </w:trPr>
        <w:tc>
          <w:tcPr>
            <w:tcW w:w="291" w:type="pct"/>
            <w:hideMark/>
          </w:tcPr>
          <w:p w14:paraId="5AC78C3F" w14:textId="77777777" w:rsidR="0056135A" w:rsidRPr="00A765CC" w:rsidRDefault="0056135A" w:rsidP="00A765CC">
            <w:r w:rsidRPr="00A765CC">
              <w:rPr>
                <w:b/>
                <w:bCs/>
              </w:rPr>
              <w:t>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A44C6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Agenda Review</w:t>
            </w:r>
          </w:p>
          <w:p w14:paraId="345C2B5F" w14:textId="03AFE6BC" w:rsidR="0056135A" w:rsidRPr="00A765CC" w:rsidRDefault="0056135A" w:rsidP="00A765CC">
            <w:r>
              <w:t>Agenda was reviewed.</w:t>
            </w:r>
          </w:p>
        </w:tc>
        <w:tc>
          <w:tcPr>
            <w:tcW w:w="874" w:type="pct"/>
            <w:hideMark/>
          </w:tcPr>
          <w:p w14:paraId="4EF8B739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7FD5B6DD" w14:textId="77777777" w:rsidTr="0056135A">
        <w:trPr>
          <w:trHeight w:val="630"/>
        </w:trPr>
        <w:tc>
          <w:tcPr>
            <w:tcW w:w="291" w:type="pct"/>
            <w:hideMark/>
          </w:tcPr>
          <w:p w14:paraId="3258EB6E" w14:textId="77777777" w:rsidR="0056135A" w:rsidRPr="00A765CC" w:rsidRDefault="0056135A" w:rsidP="00A765CC">
            <w:r w:rsidRPr="00A765CC">
              <w:rPr>
                <w:b/>
                <w:bCs/>
              </w:rPr>
              <w:t>3.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8ACD8" w14:textId="14617152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Review of PLWG Meeting Minutes (</w:t>
            </w:r>
            <w:r w:rsidR="00BF31AD">
              <w:rPr>
                <w:b/>
                <w:bCs/>
              </w:rPr>
              <w:t>December</w:t>
            </w:r>
            <w:r w:rsidRPr="00A765CC">
              <w:rPr>
                <w:b/>
                <w:bCs/>
              </w:rPr>
              <w:t>)</w:t>
            </w:r>
          </w:p>
          <w:p w14:paraId="184C9B67" w14:textId="496498FE" w:rsidR="0056135A" w:rsidRPr="00A765CC" w:rsidRDefault="000D6D65" w:rsidP="00A765CC">
            <w:r>
              <w:t>Reviewed</w:t>
            </w:r>
            <w:r w:rsidR="00160DC5">
              <w:t xml:space="preserve"> </w:t>
            </w:r>
            <w:r w:rsidR="00BF31AD">
              <w:t>December</w:t>
            </w:r>
            <w:r w:rsidR="00160DC5">
              <w:t xml:space="preserve"> meeting minutes at the </w:t>
            </w:r>
            <w:r w:rsidR="00BF31AD">
              <w:t>January</w:t>
            </w:r>
            <w:r w:rsidR="00160DC5">
              <w:t xml:space="preserve"> PLWG meeting.</w:t>
            </w:r>
            <w:r w:rsidR="00E661EF">
              <w:t xml:space="preserve"> No comments</w:t>
            </w:r>
            <w:r w:rsidR="000839DA">
              <w:t xml:space="preserve"> received.</w:t>
            </w:r>
          </w:p>
        </w:tc>
        <w:tc>
          <w:tcPr>
            <w:tcW w:w="874" w:type="pct"/>
            <w:hideMark/>
          </w:tcPr>
          <w:p w14:paraId="4DF279FC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902A66" w:rsidRPr="00A765CC" w14:paraId="4FC69B35" w14:textId="77777777" w:rsidTr="007A560F">
        <w:trPr>
          <w:trHeight w:val="630"/>
        </w:trPr>
        <w:tc>
          <w:tcPr>
            <w:tcW w:w="291" w:type="pct"/>
          </w:tcPr>
          <w:p w14:paraId="08868242" w14:textId="65D78232" w:rsidR="00902A66" w:rsidRDefault="000D6D65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02A66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A214E" w14:textId="003A48A4" w:rsidR="00902A66" w:rsidRPr="00902A66" w:rsidRDefault="00902A66" w:rsidP="007A560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128</w:t>
            </w:r>
            <w:r>
              <w:rPr>
                <w:b/>
                <w:bCs/>
              </w:rPr>
              <w:t xml:space="preserve"> - </w:t>
            </w:r>
            <w:r w:rsidRPr="00D724A0">
              <w:rPr>
                <w:b/>
                <w:bCs/>
              </w:rPr>
              <w:t>Regional Transmission Plan Review of Grid Enhancing Technologies</w:t>
            </w:r>
            <w:r w:rsidR="00003D0D">
              <w:rPr>
                <w:b/>
                <w:bCs/>
              </w:rPr>
              <w:t xml:space="preserve"> (“Regional Planning Group Disclosure of Grid Enhancing Technologies”)</w:t>
            </w:r>
          </w:p>
        </w:tc>
        <w:tc>
          <w:tcPr>
            <w:tcW w:w="874" w:type="pct"/>
          </w:tcPr>
          <w:p w14:paraId="7FDCAC30" w14:textId="713DAFA1" w:rsidR="00902A66" w:rsidRDefault="00E20B96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PLWG</w:t>
            </w:r>
          </w:p>
        </w:tc>
      </w:tr>
      <w:tr w:rsidR="001F68E6" w:rsidRPr="00A765CC" w14:paraId="250F016D" w14:textId="77777777" w:rsidTr="0056135A">
        <w:trPr>
          <w:trHeight w:val="630"/>
        </w:trPr>
        <w:tc>
          <w:tcPr>
            <w:tcW w:w="291" w:type="pct"/>
          </w:tcPr>
          <w:p w14:paraId="66F6C040" w14:textId="77777777" w:rsidR="001F68E6" w:rsidRPr="009B00D1" w:rsidRDefault="001F68E6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9464EA" w14:textId="3AC83319" w:rsidR="005F044C" w:rsidRDefault="009376C0" w:rsidP="00A765CC">
            <w:r>
              <w:t xml:space="preserve">Sponsor Eric Goff confirmed that </w:t>
            </w:r>
            <w:r w:rsidR="00376B79">
              <w:t>sponsors and interested stakeholders are continuing to have offline conversations and would like to keep PGRR128 tabled today.</w:t>
            </w:r>
          </w:p>
          <w:p w14:paraId="233A4133" w14:textId="234575E2" w:rsidR="00CD24C9" w:rsidRPr="00D40512" w:rsidRDefault="00CD24C9" w:rsidP="00A765CC">
            <w:pPr>
              <w:rPr>
                <w:b/>
                <w:bCs/>
                <w:i/>
                <w:iCs/>
              </w:rPr>
            </w:pPr>
            <w:r w:rsidRPr="00D40512">
              <w:rPr>
                <w:b/>
                <w:bCs/>
                <w:i/>
                <w:iCs/>
              </w:rPr>
              <w:t xml:space="preserve">Action Taken: </w:t>
            </w:r>
            <w:r w:rsidR="00376B79">
              <w:rPr>
                <w:b/>
                <w:bCs/>
                <w:i/>
                <w:iCs/>
              </w:rPr>
              <w:t xml:space="preserve">No discussion. </w:t>
            </w:r>
            <w:r w:rsidR="00682E11">
              <w:rPr>
                <w:b/>
                <w:bCs/>
                <w:i/>
                <w:iCs/>
              </w:rPr>
              <w:t>Continued to table</w:t>
            </w:r>
            <w:r w:rsidR="00D40512" w:rsidRPr="00D40512">
              <w:rPr>
                <w:b/>
                <w:bCs/>
                <w:i/>
                <w:iCs/>
              </w:rPr>
              <w:t xml:space="preserve"> PGRR128.</w:t>
            </w:r>
          </w:p>
        </w:tc>
        <w:tc>
          <w:tcPr>
            <w:tcW w:w="874" w:type="pct"/>
          </w:tcPr>
          <w:p w14:paraId="0CE4153A" w14:textId="0118336A" w:rsidR="001F68E6" w:rsidRPr="009B00D1" w:rsidRDefault="001F68E6" w:rsidP="00A765CC"/>
        </w:tc>
      </w:tr>
      <w:tr w:rsidR="000E6247" w:rsidRPr="00A765CC" w14:paraId="36FDCACC" w14:textId="77777777" w:rsidTr="0056135A">
        <w:trPr>
          <w:trHeight w:val="630"/>
        </w:trPr>
        <w:tc>
          <w:tcPr>
            <w:tcW w:w="291" w:type="pct"/>
          </w:tcPr>
          <w:p w14:paraId="4996BB3B" w14:textId="066AD9A2" w:rsidR="000E6247" w:rsidRDefault="000D6D65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E6247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5F8115" w14:textId="77777777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PGRR 130 – Related to NPRR1295, GTC Exit Solutions</w:t>
            </w:r>
          </w:p>
          <w:p w14:paraId="3699B16F" w14:textId="2B91130A" w:rsidR="00705EC8" w:rsidRPr="006564B7" w:rsidRDefault="00432B8F" w:rsidP="000E6247">
            <w:r>
              <w:t xml:space="preserve">Sponsor </w:t>
            </w:r>
            <w:r w:rsidR="00505BBA">
              <w:t>Alex Miller (</w:t>
            </w:r>
            <w:proofErr w:type="spellStart"/>
            <w:r w:rsidR="00505BBA">
              <w:t>edf</w:t>
            </w:r>
            <w:proofErr w:type="spellEnd"/>
            <w:r w:rsidR="00505BBA">
              <w:t xml:space="preserve"> Power Solutions) </w:t>
            </w:r>
            <w:r w:rsidR="003D6BDC">
              <w:t>provided a brief status update.</w:t>
            </w:r>
            <w:r w:rsidR="00505BBA">
              <w:t xml:space="preserve"> </w:t>
            </w:r>
            <w:r w:rsidR="000C785E">
              <w:t>The language s</w:t>
            </w:r>
            <w:r w:rsidR="00376B79">
              <w:t>ponsors are continuing to solicit input from interested stakeholders</w:t>
            </w:r>
            <w:r w:rsidR="00DF153B">
              <w:t xml:space="preserve"> and l</w:t>
            </w:r>
            <w:r w:rsidR="00376B79">
              <w:t xml:space="preserve">ikely will have more to </w:t>
            </w:r>
            <w:r w:rsidR="00420006">
              <w:t>discuss</w:t>
            </w:r>
            <w:r w:rsidR="00DF153B">
              <w:t xml:space="preserve"> sometime in Q1.</w:t>
            </w:r>
            <w:r w:rsidR="00420006">
              <w:t xml:space="preserve"> Sponsors plan to have additional comments either in draft form or filed ahead of February meeting.</w:t>
            </w:r>
          </w:p>
        </w:tc>
        <w:tc>
          <w:tcPr>
            <w:tcW w:w="874" w:type="pct"/>
          </w:tcPr>
          <w:p w14:paraId="4138B17C" w14:textId="666B0E59" w:rsidR="000E6247" w:rsidRDefault="00E20B96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PLWG</w:t>
            </w:r>
          </w:p>
        </w:tc>
      </w:tr>
      <w:tr w:rsidR="000E6247" w:rsidRPr="00A765CC" w14:paraId="0EA88CFA" w14:textId="77777777" w:rsidTr="00F706CF">
        <w:trPr>
          <w:trHeight w:val="630"/>
        </w:trPr>
        <w:tc>
          <w:tcPr>
            <w:tcW w:w="291" w:type="pct"/>
            <w:hideMark/>
          </w:tcPr>
          <w:p w14:paraId="1D9F2B57" w14:textId="0D814F7D" w:rsidR="000E6247" w:rsidRPr="00634629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3324B" w14:textId="1A2DF9C7" w:rsidR="000E6247" w:rsidRPr="00BD5CC9" w:rsidRDefault="000E6247" w:rsidP="000E6247">
            <w:pPr>
              <w:rPr>
                <w:b/>
                <w:bCs/>
                <w:i/>
                <w:iCs/>
              </w:rPr>
            </w:pPr>
            <w:r w:rsidRPr="00B61C5D">
              <w:rPr>
                <w:b/>
                <w:bCs/>
                <w:i/>
                <w:iCs/>
              </w:rPr>
              <w:t>Action</w:t>
            </w:r>
            <w:r w:rsidR="00F12FA1">
              <w:rPr>
                <w:b/>
                <w:bCs/>
                <w:i/>
                <w:iCs/>
              </w:rPr>
              <w:t xml:space="preserve"> Taken</w:t>
            </w:r>
            <w:r w:rsidRPr="00B61C5D">
              <w:rPr>
                <w:b/>
                <w:bCs/>
                <w:i/>
                <w:iCs/>
              </w:rPr>
              <w:t>:</w:t>
            </w:r>
            <w:r w:rsidR="00F12FA1">
              <w:rPr>
                <w:b/>
                <w:bCs/>
                <w:i/>
                <w:iCs/>
              </w:rPr>
              <w:t xml:space="preserve"> </w:t>
            </w:r>
            <w:r w:rsidR="00DF153B">
              <w:rPr>
                <w:b/>
                <w:bCs/>
                <w:i/>
                <w:iCs/>
              </w:rPr>
              <w:t xml:space="preserve">No discussion. </w:t>
            </w:r>
            <w:r w:rsidR="00682E11">
              <w:rPr>
                <w:b/>
                <w:bCs/>
                <w:i/>
                <w:iCs/>
              </w:rPr>
              <w:t>Continued to table PGRR130</w:t>
            </w:r>
            <w:r w:rsidR="00BD5CC9" w:rsidRPr="00BD5CC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  <w:hideMark/>
          </w:tcPr>
          <w:p w14:paraId="318D23F0" w14:textId="213E04DB" w:rsidR="000E6247" w:rsidRPr="002D22AD" w:rsidRDefault="000E6247" w:rsidP="000E6247">
            <w:pPr>
              <w:rPr>
                <w:b/>
                <w:bCs/>
              </w:rPr>
            </w:pPr>
          </w:p>
        </w:tc>
      </w:tr>
      <w:tr w:rsidR="00C102A0" w:rsidRPr="00A765CC" w14:paraId="61C4AFEB" w14:textId="77777777" w:rsidTr="00240829">
        <w:trPr>
          <w:trHeight w:val="345"/>
        </w:trPr>
        <w:tc>
          <w:tcPr>
            <w:tcW w:w="291" w:type="pct"/>
          </w:tcPr>
          <w:p w14:paraId="28F23995" w14:textId="2BEF0486" w:rsidR="00C102A0" w:rsidRDefault="00897A36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102A0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97CE49" w14:textId="0DA41401" w:rsidR="00C102A0" w:rsidRPr="00C102A0" w:rsidRDefault="00C102A0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PGRR134 – Interconnection Studies Reform for Dispatchable Loads</w:t>
            </w:r>
          </w:p>
        </w:tc>
        <w:tc>
          <w:tcPr>
            <w:tcW w:w="874" w:type="pct"/>
          </w:tcPr>
          <w:p w14:paraId="2DD1B976" w14:textId="2EAF5B3B" w:rsidR="00C102A0" w:rsidRPr="007D61BD" w:rsidRDefault="007D61BD" w:rsidP="000E6247">
            <w:pPr>
              <w:rPr>
                <w:b/>
                <w:bCs/>
              </w:rPr>
            </w:pPr>
            <w:r w:rsidRPr="007D61BD">
              <w:rPr>
                <w:b/>
                <w:bCs/>
              </w:rPr>
              <w:t>PLWG</w:t>
            </w:r>
          </w:p>
        </w:tc>
      </w:tr>
      <w:tr w:rsidR="00C102A0" w:rsidRPr="00A765CC" w14:paraId="37CDA1FC" w14:textId="77777777" w:rsidTr="00240829">
        <w:trPr>
          <w:trHeight w:val="345"/>
        </w:trPr>
        <w:tc>
          <w:tcPr>
            <w:tcW w:w="291" w:type="pct"/>
          </w:tcPr>
          <w:p w14:paraId="7512704F" w14:textId="77777777" w:rsidR="00C102A0" w:rsidRDefault="00C102A0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9B5C8F" w14:textId="1C80D9D5" w:rsidR="006B73EC" w:rsidRPr="002E4820" w:rsidRDefault="006B73EC" w:rsidP="00DD7AB4">
            <w:r>
              <w:t>Clayton Greer</w:t>
            </w:r>
            <w:r w:rsidR="00C64838">
              <w:t xml:space="preserve"> (Cholla Petroleum)</w:t>
            </w:r>
            <w:r>
              <w:t xml:space="preserve"> shared that </w:t>
            </w:r>
            <w:r w:rsidR="000C785E">
              <w:t>the s</w:t>
            </w:r>
            <w:r>
              <w:t xml:space="preserve">ponsors are continuing to engage with ERCOT. </w:t>
            </w:r>
            <w:r w:rsidR="00C64838">
              <w:t xml:space="preserve">The introduction of the Large Load batch study process </w:t>
            </w:r>
            <w:r w:rsidR="000C785E">
              <w:t xml:space="preserve">has complicated </w:t>
            </w:r>
            <w:r w:rsidR="00C64838">
              <w:t xml:space="preserve">this PGRR—some additional work </w:t>
            </w:r>
            <w:r w:rsidR="00AC10A5">
              <w:t>will be required to ensure</w:t>
            </w:r>
            <w:r w:rsidR="00C64838">
              <w:t xml:space="preserve"> the proposed language harmonizes with th</w:t>
            </w:r>
            <w:r w:rsidR="00AC10A5">
              <w:t>e batch study process language</w:t>
            </w:r>
            <w:r w:rsidR="00C64838">
              <w:t>.</w:t>
            </w:r>
          </w:p>
          <w:p w14:paraId="5F6B7CB6" w14:textId="6E3EC83C" w:rsidR="000C44B5" w:rsidRPr="006325AD" w:rsidRDefault="00F60E5D" w:rsidP="00DD7AB4">
            <w:pPr>
              <w:rPr>
                <w:b/>
                <w:bCs/>
                <w:i/>
                <w:iCs/>
              </w:rPr>
            </w:pPr>
            <w:r w:rsidRPr="006325AD">
              <w:rPr>
                <w:b/>
                <w:bCs/>
                <w:i/>
                <w:iCs/>
              </w:rPr>
              <w:t xml:space="preserve">Action Taken: </w:t>
            </w:r>
            <w:r w:rsidR="004B7BDD">
              <w:rPr>
                <w:b/>
                <w:bCs/>
                <w:i/>
                <w:iCs/>
              </w:rPr>
              <w:t xml:space="preserve">Continued to table </w:t>
            </w:r>
            <w:r w:rsidRPr="006325AD">
              <w:rPr>
                <w:b/>
                <w:bCs/>
                <w:i/>
                <w:iCs/>
              </w:rPr>
              <w:t>PGRR134</w:t>
            </w:r>
            <w:r w:rsidR="006325AD" w:rsidRPr="006325A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399C2F41" w14:textId="77777777" w:rsidR="00C102A0" w:rsidRDefault="00C102A0" w:rsidP="000E6247"/>
        </w:tc>
      </w:tr>
      <w:tr w:rsidR="0055069B" w:rsidRPr="00A765CC" w14:paraId="25A5788C" w14:textId="77777777" w:rsidTr="00240829">
        <w:trPr>
          <w:trHeight w:val="345"/>
        </w:trPr>
        <w:tc>
          <w:tcPr>
            <w:tcW w:w="291" w:type="pct"/>
          </w:tcPr>
          <w:p w14:paraId="5891E31C" w14:textId="37CF75DA" w:rsidR="0055069B" w:rsidRDefault="0055069B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C28D20" w14:textId="0FC01E9E" w:rsidR="0055069B" w:rsidRPr="0055069B" w:rsidRDefault="0055069B" w:rsidP="0055069B">
            <w:pPr>
              <w:rPr>
                <w:b/>
                <w:bCs/>
              </w:rPr>
            </w:pPr>
            <w:r w:rsidRPr="0055069B">
              <w:rPr>
                <w:b/>
                <w:bCs/>
              </w:rPr>
              <w:t>PGRR 140 - Related to NPRR1317, Creation of Non-Settled Generator (NSG) and Clarification of the Types, Usage, and Registration of Distributed Generation</w:t>
            </w:r>
          </w:p>
        </w:tc>
        <w:tc>
          <w:tcPr>
            <w:tcW w:w="874" w:type="pct"/>
          </w:tcPr>
          <w:p w14:paraId="15ACEA4E" w14:textId="2E94236B" w:rsidR="0055069B" w:rsidRDefault="0055069B" w:rsidP="000E6247">
            <w:r>
              <w:t>ERCOT</w:t>
            </w:r>
          </w:p>
        </w:tc>
      </w:tr>
      <w:tr w:rsidR="00E56143" w:rsidRPr="00A765CC" w14:paraId="254DCAD2" w14:textId="77777777" w:rsidTr="00240829">
        <w:trPr>
          <w:trHeight w:val="345"/>
        </w:trPr>
        <w:tc>
          <w:tcPr>
            <w:tcW w:w="291" w:type="pct"/>
          </w:tcPr>
          <w:p w14:paraId="7D3EE54C" w14:textId="77777777" w:rsidR="00E56143" w:rsidRPr="002350AB" w:rsidRDefault="00E56143" w:rsidP="000E6247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FB64B8" w14:textId="13FDCCFB" w:rsidR="002350AB" w:rsidRDefault="002350AB" w:rsidP="0055069B">
            <w:r w:rsidRPr="002350AB">
              <w:t xml:space="preserve">New referral from </w:t>
            </w:r>
            <w:r w:rsidR="000C785E">
              <w:t>the January 8</w:t>
            </w:r>
            <w:r w:rsidR="000C785E" w:rsidRPr="000C785E">
              <w:rPr>
                <w:vertAlign w:val="superscript"/>
              </w:rPr>
              <w:t>th</w:t>
            </w:r>
            <w:r w:rsidR="000C785E">
              <w:t xml:space="preserve"> </w:t>
            </w:r>
            <w:r w:rsidRPr="002350AB">
              <w:t>ROS</w:t>
            </w:r>
            <w:r w:rsidR="000C785E">
              <w:t xml:space="preserve"> meeting. </w:t>
            </w:r>
            <w:r w:rsidR="00A3622D">
              <w:t>Ping Yan (ERCOT) shared that the ERCOT sponsor would like to introduce this language at the February PLWG meeting.</w:t>
            </w:r>
          </w:p>
          <w:p w14:paraId="70EF95B5" w14:textId="104DCDE4" w:rsidR="00A3622D" w:rsidRPr="00A3622D" w:rsidRDefault="00A3622D" w:rsidP="0055069B">
            <w:pPr>
              <w:rPr>
                <w:b/>
                <w:bCs/>
                <w:i/>
                <w:iCs/>
              </w:rPr>
            </w:pPr>
            <w:r w:rsidRPr="00A3622D">
              <w:rPr>
                <w:b/>
                <w:bCs/>
                <w:i/>
                <w:iCs/>
              </w:rPr>
              <w:t>Action Taken: No discussion. Tabled PGRR140.</w:t>
            </w:r>
          </w:p>
        </w:tc>
        <w:tc>
          <w:tcPr>
            <w:tcW w:w="874" w:type="pct"/>
          </w:tcPr>
          <w:p w14:paraId="324F3FC2" w14:textId="77777777" w:rsidR="00E56143" w:rsidRDefault="00E56143" w:rsidP="000E6247"/>
        </w:tc>
      </w:tr>
      <w:tr w:rsidR="0055069B" w:rsidRPr="00A765CC" w14:paraId="09AF83A3" w14:textId="77777777" w:rsidTr="00240829">
        <w:trPr>
          <w:trHeight w:val="345"/>
        </w:trPr>
        <w:tc>
          <w:tcPr>
            <w:tcW w:w="291" w:type="pct"/>
          </w:tcPr>
          <w:p w14:paraId="0ADF8874" w14:textId="655ED92E" w:rsidR="0055069B" w:rsidRDefault="0055069B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827F31" w14:textId="7CBB6943" w:rsidR="0055069B" w:rsidRPr="0055069B" w:rsidRDefault="00E56143" w:rsidP="00E56143">
            <w:pPr>
              <w:rPr>
                <w:b/>
                <w:bCs/>
              </w:rPr>
            </w:pPr>
            <w:r w:rsidRPr="00E56143">
              <w:rPr>
                <w:b/>
                <w:bCs/>
              </w:rPr>
              <w:t>PGRR 141 -Large Load Interconnection Study Reform for Substantiated Load</w:t>
            </w:r>
          </w:p>
        </w:tc>
        <w:tc>
          <w:tcPr>
            <w:tcW w:w="874" w:type="pct"/>
          </w:tcPr>
          <w:p w14:paraId="7556455A" w14:textId="75356CEC" w:rsidR="0055069B" w:rsidRDefault="00E56143" w:rsidP="000E6247">
            <w:proofErr w:type="spellStart"/>
            <w:r>
              <w:t>Lancium</w:t>
            </w:r>
            <w:proofErr w:type="spellEnd"/>
          </w:p>
        </w:tc>
      </w:tr>
      <w:tr w:rsidR="00E56143" w:rsidRPr="00A765CC" w14:paraId="761FB50A" w14:textId="77777777" w:rsidTr="00240829">
        <w:trPr>
          <w:trHeight w:val="345"/>
        </w:trPr>
        <w:tc>
          <w:tcPr>
            <w:tcW w:w="291" w:type="pct"/>
          </w:tcPr>
          <w:p w14:paraId="0031ACB1" w14:textId="77777777" w:rsidR="00E56143" w:rsidRDefault="00E56143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64209B" w14:textId="364C9E2B" w:rsidR="00A3622D" w:rsidRDefault="00FD53D2" w:rsidP="000E6247">
            <w:r>
              <w:t>Sponsor Evan Neel (</w:t>
            </w:r>
            <w:proofErr w:type="spellStart"/>
            <w:r w:rsidR="00A3622D">
              <w:t>Lancium</w:t>
            </w:r>
            <w:proofErr w:type="spellEnd"/>
            <w:r>
              <w:t xml:space="preserve">) introduced this </w:t>
            </w:r>
            <w:r w:rsidR="00F64449">
              <w:t xml:space="preserve">PGRR141 language </w:t>
            </w:r>
            <w:r>
              <w:t>as a preview</w:t>
            </w:r>
            <w:r w:rsidR="005D5664">
              <w:t xml:space="preserve"> prior to anticipated referral by ROS. </w:t>
            </w:r>
            <w:r w:rsidR="005D5994">
              <w:t>PGRR141 is c</w:t>
            </w:r>
            <w:r w:rsidR="005D5664">
              <w:t xml:space="preserve">o-sponsored </w:t>
            </w:r>
            <w:r w:rsidR="005D5994">
              <w:t>by</w:t>
            </w:r>
            <w:r w:rsidR="005D5664">
              <w:t xml:space="preserve"> </w:t>
            </w:r>
            <w:r w:rsidR="00A3622D">
              <w:t>Google</w:t>
            </w:r>
            <w:r w:rsidR="005D5664">
              <w:t>.</w:t>
            </w:r>
            <w:r w:rsidR="00F25E31">
              <w:t xml:space="preserve"> </w:t>
            </w:r>
            <w:r w:rsidR="005624A2">
              <w:t>PGRR141 proposes changes to Section 9.3.1 to allow RPG review to substitute for LLIS for substantiated large loads. Sponsors view this as a</w:t>
            </w:r>
            <w:r w:rsidR="00F25E31">
              <w:t xml:space="preserve"> bridge solution towards an effective batch process.</w:t>
            </w:r>
          </w:p>
          <w:p w14:paraId="04DEB750" w14:textId="7DFDB726" w:rsidR="00420D35" w:rsidRDefault="00420D35" w:rsidP="000E6247">
            <w:r>
              <w:t>Clayton</w:t>
            </w:r>
            <w:r w:rsidR="000A2891">
              <w:t xml:space="preserve"> Greer (Cholla)</w:t>
            </w:r>
            <w:r>
              <w:t xml:space="preserve"> </w:t>
            </w:r>
            <w:r w:rsidR="00D549B5">
              <w:t>questioned whether this language would be helpful</w:t>
            </w:r>
            <w:r w:rsidR="006F680F">
              <w:t xml:space="preserve"> due to the timing of </w:t>
            </w:r>
            <w:r>
              <w:t>batch studies kicking off in February</w:t>
            </w:r>
            <w:r w:rsidR="006F680F">
              <w:t>.</w:t>
            </w:r>
          </w:p>
          <w:p w14:paraId="6165782E" w14:textId="3C34688D" w:rsidR="00420D35" w:rsidRDefault="00420D35" w:rsidP="000E6247">
            <w:r>
              <w:t>Evan</w:t>
            </w:r>
            <w:r w:rsidR="005D3CC5">
              <w:t xml:space="preserve"> Neel</w:t>
            </w:r>
            <w:r>
              <w:t xml:space="preserve"> </w:t>
            </w:r>
            <w:r w:rsidR="006F680F">
              <w:t>responded that it’s not too late for this language to be helpful</w:t>
            </w:r>
            <w:r>
              <w:t xml:space="preserve"> because the batch process will need to go through a PGRR </w:t>
            </w:r>
            <w:r w:rsidR="00B77F35">
              <w:t>and stakeholder process</w:t>
            </w:r>
            <w:r>
              <w:t xml:space="preserve"> to </w:t>
            </w:r>
            <w:r w:rsidR="00B77F35">
              <w:t xml:space="preserve">be </w:t>
            </w:r>
            <w:r>
              <w:t>formalize</w:t>
            </w:r>
            <w:r w:rsidR="00B77F35">
              <w:t>d</w:t>
            </w:r>
            <w:r>
              <w:t xml:space="preserve"> even if Batch</w:t>
            </w:r>
            <w:r w:rsidR="00B77F35">
              <w:t xml:space="preserve"> Zero</w:t>
            </w:r>
            <w:r>
              <w:t xml:space="preserve"> </w:t>
            </w:r>
            <w:r w:rsidR="0036371A">
              <w:t>occurs this February. Also believe this could potentially serve as Batch</w:t>
            </w:r>
            <w:r w:rsidR="00B77F35">
              <w:t xml:space="preserve"> Zero.</w:t>
            </w:r>
          </w:p>
          <w:p w14:paraId="79695E12" w14:textId="7CD8C265" w:rsidR="0082057D" w:rsidRDefault="0082057D" w:rsidP="000E6247">
            <w:r>
              <w:t>Monica (</w:t>
            </w:r>
            <w:proofErr w:type="spellStart"/>
            <w:r>
              <w:t>Vistra</w:t>
            </w:r>
            <w:proofErr w:type="spellEnd"/>
            <w:r>
              <w:t>)</w:t>
            </w:r>
            <w:r w:rsidR="00E90748">
              <w:t xml:space="preserve"> expressed support and asked if the PGRR </w:t>
            </w:r>
            <w:r w:rsidR="00031D40">
              <w:t>has</w:t>
            </w:r>
            <w:r w:rsidR="00E90748">
              <w:t xml:space="preserve"> received feedback from ERCOT yet. Evan</w:t>
            </w:r>
            <w:r w:rsidR="00031D40">
              <w:t xml:space="preserve"> responded no, they have not yet received direct feedback.</w:t>
            </w:r>
          </w:p>
          <w:p w14:paraId="7864AF67" w14:textId="0A7A92C0" w:rsidR="009401C5" w:rsidRDefault="00926A38" w:rsidP="000E6247">
            <w:r>
              <w:t xml:space="preserve">Harsh Naik (Oncor) </w:t>
            </w:r>
            <w:r w:rsidR="00031D40">
              <w:t>also expressed support, noting that</w:t>
            </w:r>
            <w:r w:rsidR="0011612B">
              <w:t xml:space="preserve"> Oncor ha</w:t>
            </w:r>
            <w:r w:rsidR="00031D40">
              <w:t>d formerly</w:t>
            </w:r>
            <w:r w:rsidR="0011612B">
              <w:t xml:space="preserve"> completed several </w:t>
            </w:r>
            <w:r w:rsidR="00031D40">
              <w:t xml:space="preserve">project reviews through the </w:t>
            </w:r>
            <w:r w:rsidR="0011612B">
              <w:t>RPG exemption process</w:t>
            </w:r>
            <w:r w:rsidR="00031D40">
              <w:t xml:space="preserve">, which has now been </w:t>
            </w:r>
            <w:r w:rsidR="00223B7D">
              <w:t>effectively ended</w:t>
            </w:r>
            <w:r w:rsidR="00031D40">
              <w:t xml:space="preserve"> by language in PGRR115</w:t>
            </w:r>
            <w:r w:rsidR="00223B7D">
              <w:t>, which creates duplicative efforts.</w:t>
            </w:r>
          </w:p>
          <w:p w14:paraId="577F4236" w14:textId="34FCE249" w:rsidR="00CA07CD" w:rsidRDefault="009401C5" w:rsidP="000E6247">
            <w:r>
              <w:t xml:space="preserve">Prabhu Gnanam </w:t>
            </w:r>
            <w:r w:rsidR="00223B7D">
              <w:t>and other ERCOT Staff raised concerns about the breadth of the language</w:t>
            </w:r>
            <w:r w:rsidR="00C13F1A">
              <w:t xml:space="preserve"> and whether “substantiated load” is firm enough to bypass the LLIS process.</w:t>
            </w:r>
            <w:r w:rsidR="0082057D">
              <w:t xml:space="preserve"> </w:t>
            </w:r>
            <w:r w:rsidR="00CA07CD">
              <w:t>Agee Springer (ERCOT)</w:t>
            </w:r>
            <w:r w:rsidR="00974E41">
              <w:t xml:space="preserve"> </w:t>
            </w:r>
            <w:r w:rsidR="00C13F1A">
              <w:t>expressed his</w:t>
            </w:r>
            <w:r w:rsidR="00974E41">
              <w:t xml:space="preserve"> concern with moving forward without defining batch processes.</w:t>
            </w:r>
          </w:p>
          <w:p w14:paraId="2E2E783C" w14:textId="2B4877A1" w:rsidR="00800B96" w:rsidRDefault="008940F8" w:rsidP="000E6247">
            <w:r>
              <w:t>Bob Wittmeyer</w:t>
            </w:r>
            <w:r w:rsidR="00C11924">
              <w:t xml:space="preserve"> queried </w:t>
            </w:r>
            <w:r>
              <w:t xml:space="preserve">PLWG to ask if </w:t>
            </w:r>
            <w:r w:rsidR="00800B96">
              <w:t>any stakeholders had concerns on this language that would merit further discussion at PLWG.</w:t>
            </w:r>
            <w:r w:rsidR="00C11924">
              <w:t xml:space="preserve"> Agee Springer (ERCOT) noted that</w:t>
            </w:r>
            <w:r w:rsidR="00800B96">
              <w:t xml:space="preserve"> ERCOT</w:t>
            </w:r>
            <w:r w:rsidR="00C11924">
              <w:t>’s preferred path forward</w:t>
            </w:r>
            <w:r w:rsidR="00800B96">
              <w:t xml:space="preserve"> is to have </w:t>
            </w:r>
            <w:r w:rsidR="00C36E93">
              <w:t>continued discussion</w:t>
            </w:r>
            <w:r w:rsidR="00C11924">
              <w:t xml:space="preserve"> at PLWG</w:t>
            </w:r>
            <w:r w:rsidR="00C36E93">
              <w:t xml:space="preserve"> rather than a vote of endorsement at the Feb</w:t>
            </w:r>
            <w:r w:rsidR="00C11924">
              <w:t>ruary</w:t>
            </w:r>
            <w:r w:rsidR="00C36E93">
              <w:t xml:space="preserve"> ROS meeting.</w:t>
            </w:r>
          </w:p>
          <w:p w14:paraId="0CBAB09C" w14:textId="4C02491D" w:rsidR="00E0546D" w:rsidRPr="00986C1D" w:rsidRDefault="00E0546D" w:rsidP="000E6247">
            <w:r w:rsidRPr="00E0546D">
              <w:rPr>
                <w:b/>
                <w:bCs/>
                <w:i/>
                <w:iCs/>
              </w:rPr>
              <w:t>No action taken as this has not yet been formally referred to PLWG.</w:t>
            </w:r>
          </w:p>
        </w:tc>
        <w:tc>
          <w:tcPr>
            <w:tcW w:w="874" w:type="pct"/>
          </w:tcPr>
          <w:p w14:paraId="71160DE3" w14:textId="77777777" w:rsidR="00E56143" w:rsidRPr="00A765CC" w:rsidRDefault="00E56143" w:rsidP="000E6247"/>
        </w:tc>
      </w:tr>
      <w:tr w:rsidR="000E6247" w:rsidRPr="00A765CC" w14:paraId="0FD7E72D" w14:textId="77777777" w:rsidTr="00240829">
        <w:trPr>
          <w:trHeight w:val="345"/>
        </w:trPr>
        <w:tc>
          <w:tcPr>
            <w:tcW w:w="291" w:type="pct"/>
            <w:hideMark/>
          </w:tcPr>
          <w:p w14:paraId="66C479BD" w14:textId="45F70456" w:rsidR="000E6247" w:rsidRPr="00A765CC" w:rsidRDefault="00E56143" w:rsidP="000E6247">
            <w:r>
              <w:rPr>
                <w:b/>
                <w:bCs/>
              </w:rPr>
              <w:lastRenderedPageBreak/>
              <w:t>9</w:t>
            </w:r>
            <w:r w:rsidR="000E6247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7F28EB" w14:textId="6E113856" w:rsidR="000E6247" w:rsidRPr="00D82DD9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Tabled Items</w:t>
            </w:r>
          </w:p>
        </w:tc>
        <w:tc>
          <w:tcPr>
            <w:tcW w:w="874" w:type="pct"/>
            <w:hideMark/>
          </w:tcPr>
          <w:p w14:paraId="1B51905F" w14:textId="26FD24B7" w:rsidR="000E6247" w:rsidRPr="00A765CC" w:rsidRDefault="000E6247" w:rsidP="000E6247"/>
        </w:tc>
      </w:tr>
      <w:tr w:rsidR="000E6247" w:rsidRPr="00A765CC" w14:paraId="028401F1" w14:textId="77777777" w:rsidTr="00240829">
        <w:trPr>
          <w:trHeight w:val="990"/>
        </w:trPr>
        <w:tc>
          <w:tcPr>
            <w:tcW w:w="291" w:type="pct"/>
          </w:tcPr>
          <w:p w14:paraId="58CA2D1A" w14:textId="2F21FB06" w:rsidR="000E6247" w:rsidRPr="00A765CC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9044B0" w14:textId="58C6B698" w:rsidR="000E6247" w:rsidRDefault="000E6247" w:rsidP="000E6247">
            <w:pPr>
              <w:pStyle w:val="ListParagraph"/>
              <w:ind w:left="73" w:hanging="73"/>
            </w:pPr>
            <w:r>
              <w:t>The following items were not taken up for discussion.</w:t>
            </w:r>
          </w:p>
          <w:p w14:paraId="7D64A71A" w14:textId="77777777" w:rsidR="00A0323F" w:rsidRDefault="00A0323F" w:rsidP="000E6247">
            <w:pPr>
              <w:pStyle w:val="ListParagraph"/>
              <w:numPr>
                <w:ilvl w:val="0"/>
                <w:numId w:val="9"/>
              </w:numPr>
            </w:pPr>
            <w:r>
              <w:t xml:space="preserve">NPRR1286 – </w:t>
            </w:r>
            <w:r w:rsidRPr="00A0323F">
              <w:t>Establish Multi-Value Criteria for Resiliency-Related Transmission Project Evaluation</w:t>
            </w:r>
          </w:p>
          <w:p w14:paraId="2049F012" w14:textId="5D3DF4CB" w:rsidR="00A0323F" w:rsidRDefault="00A0323F" w:rsidP="000E6247">
            <w:pPr>
              <w:pStyle w:val="ListParagraph"/>
              <w:numPr>
                <w:ilvl w:val="0"/>
                <w:numId w:val="9"/>
              </w:numPr>
            </w:pPr>
            <w:r>
              <w:t xml:space="preserve">PGRR126 - </w:t>
            </w:r>
            <w:r w:rsidR="00897A36" w:rsidRPr="00897A36">
              <w:t>Related to NPRR1284, Guaranteed Reliability Load Process</w:t>
            </w:r>
            <w:r>
              <w:t xml:space="preserve"> </w:t>
            </w:r>
          </w:p>
          <w:p w14:paraId="0555B07A" w14:textId="77777777" w:rsidR="000E6247" w:rsidRDefault="000E6247" w:rsidP="000E6247">
            <w:pPr>
              <w:pStyle w:val="ListParagraph"/>
              <w:numPr>
                <w:ilvl w:val="0"/>
                <w:numId w:val="9"/>
              </w:numPr>
            </w:pPr>
            <w:r>
              <w:t>PGRR 122 – Reliability Performance Criteria for Loss of Load</w:t>
            </w:r>
          </w:p>
          <w:p w14:paraId="5F31332F" w14:textId="435FF7C9" w:rsidR="00EB5FEB" w:rsidRPr="00717207" w:rsidRDefault="00EB5FEB" w:rsidP="000E6247">
            <w:pPr>
              <w:pStyle w:val="ListParagraph"/>
              <w:numPr>
                <w:ilvl w:val="0"/>
                <w:numId w:val="9"/>
              </w:numPr>
            </w:pPr>
            <w:r>
              <w:t>PGRR 124 – ESR Maintenance Exception to Modifications</w:t>
            </w:r>
          </w:p>
        </w:tc>
        <w:tc>
          <w:tcPr>
            <w:tcW w:w="874" w:type="pct"/>
          </w:tcPr>
          <w:p w14:paraId="7D856BC3" w14:textId="40FC0A55" w:rsidR="000E6247" w:rsidRDefault="000E6247" w:rsidP="000E6247">
            <w:pPr>
              <w:rPr>
                <w:b/>
                <w:bCs/>
              </w:rPr>
            </w:pPr>
          </w:p>
        </w:tc>
      </w:tr>
      <w:tr w:rsidR="000E6247" w:rsidRPr="00A765CC" w14:paraId="02F0A2F1" w14:textId="77777777" w:rsidTr="00240829">
        <w:trPr>
          <w:trHeight w:val="990"/>
        </w:trPr>
        <w:tc>
          <w:tcPr>
            <w:tcW w:w="291" w:type="pct"/>
          </w:tcPr>
          <w:p w14:paraId="35817397" w14:textId="5E15B400" w:rsidR="000E6247" w:rsidRPr="00D82DD9" w:rsidRDefault="00E56143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E6247" w:rsidRPr="00D82DD9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A10FA5" w14:textId="77777777" w:rsidR="000E6247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Other Business</w:t>
            </w:r>
          </w:p>
          <w:p w14:paraId="512C9032" w14:textId="64C45506" w:rsidR="000E6247" w:rsidRPr="00845F40" w:rsidRDefault="00E56143" w:rsidP="000E6247">
            <w:pPr>
              <w:rPr>
                <w:b/>
                <w:bCs/>
              </w:rPr>
            </w:pPr>
            <w:r w:rsidRPr="00845F40">
              <w:rPr>
                <w:b/>
                <w:bCs/>
              </w:rPr>
              <w:t>Leadership Nominations</w:t>
            </w:r>
          </w:p>
          <w:p w14:paraId="08552F75" w14:textId="4ECB86C5" w:rsidR="00494926" w:rsidRDefault="00494926" w:rsidP="000E6247">
            <w:r>
              <w:t xml:space="preserve">Kiran Kota with PEC was nominated for </w:t>
            </w:r>
            <w:r w:rsidR="0017003C">
              <w:t xml:space="preserve">2026 </w:t>
            </w:r>
            <w:r>
              <w:t>Vice-Chair by Kevin Hanson (Invenergy).</w:t>
            </w:r>
          </w:p>
          <w:p w14:paraId="48081037" w14:textId="722A7256" w:rsidR="0017003C" w:rsidRDefault="00494926" w:rsidP="0017003C">
            <w:r>
              <w:t xml:space="preserve">Mina Turner with AEP was nominated for </w:t>
            </w:r>
            <w:r w:rsidR="0017003C">
              <w:t xml:space="preserve">2026 </w:t>
            </w:r>
            <w:r>
              <w:t xml:space="preserve">Chair by </w:t>
            </w:r>
            <w:r w:rsidR="00FE209B">
              <w:t>Eric Goff</w:t>
            </w:r>
            <w:r w:rsidR="0017003C">
              <w:t>.</w:t>
            </w:r>
          </w:p>
          <w:p w14:paraId="423C3734" w14:textId="543E61F7" w:rsidR="00DF3DFB" w:rsidRPr="00FD7394" w:rsidRDefault="00845F40" w:rsidP="0017003C">
            <w:pPr>
              <w:rPr>
                <w:b/>
                <w:bCs/>
                <w:i/>
                <w:iCs/>
              </w:rPr>
            </w:pPr>
            <w:r w:rsidRPr="00FD7394">
              <w:rPr>
                <w:b/>
                <w:bCs/>
                <w:i/>
                <w:iCs/>
              </w:rPr>
              <w:t xml:space="preserve">Action Taken: </w:t>
            </w:r>
            <w:r w:rsidR="0017003C">
              <w:rPr>
                <w:b/>
                <w:bCs/>
                <w:i/>
                <w:iCs/>
              </w:rPr>
              <w:t>Chair w</w:t>
            </w:r>
            <w:r w:rsidR="00FD7394" w:rsidRPr="00FD7394">
              <w:rPr>
                <w:b/>
                <w:bCs/>
                <w:i/>
                <w:iCs/>
              </w:rPr>
              <w:t>ill forward nominations to ROS for confirmation vote.</w:t>
            </w:r>
          </w:p>
        </w:tc>
        <w:tc>
          <w:tcPr>
            <w:tcW w:w="874" w:type="pct"/>
          </w:tcPr>
          <w:p w14:paraId="1B1EAD72" w14:textId="4BB0395A" w:rsidR="000E6247" w:rsidRDefault="00396FBA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Chair</w:t>
            </w:r>
          </w:p>
        </w:tc>
      </w:tr>
      <w:tr w:rsidR="000E6247" w:rsidRPr="00A765CC" w14:paraId="5AFFCF84" w14:textId="77777777" w:rsidTr="0056135A">
        <w:trPr>
          <w:trHeight w:val="630"/>
        </w:trPr>
        <w:tc>
          <w:tcPr>
            <w:tcW w:w="291" w:type="pct"/>
            <w:hideMark/>
          </w:tcPr>
          <w:p w14:paraId="49254981" w14:textId="48FAF87B" w:rsidR="000E6247" w:rsidRPr="00A765CC" w:rsidRDefault="00E56143" w:rsidP="000E6247">
            <w:r>
              <w:rPr>
                <w:b/>
                <w:bCs/>
              </w:rPr>
              <w:t>11</w:t>
            </w:r>
            <w:r w:rsidR="000E6247" w:rsidRPr="00A765CC">
              <w:rPr>
                <w:b/>
                <w:bCs/>
              </w:rPr>
              <w:t>.</w:t>
            </w:r>
            <w:r w:rsidR="000E6247" w:rsidRPr="00A765CC">
              <w:t> 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50C123" w14:textId="77777777" w:rsidR="000E6247" w:rsidRDefault="000E6247" w:rsidP="000E6247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Adjourn</w:t>
            </w:r>
          </w:p>
          <w:p w14:paraId="3681AE4F" w14:textId="030D6228" w:rsidR="000E6247" w:rsidRPr="00A765CC" w:rsidRDefault="000E6247" w:rsidP="000E6247">
            <w:r>
              <w:t xml:space="preserve">Meeting adjourned at </w:t>
            </w:r>
            <w:r w:rsidR="00845F40" w:rsidRPr="00FD7394">
              <w:t>2</w:t>
            </w:r>
            <w:r w:rsidR="00DA4283" w:rsidRPr="00FD7394">
              <w:t>:30 pm</w:t>
            </w:r>
            <w:r>
              <w:t xml:space="preserve">. The next PLWG meeting </w:t>
            </w:r>
            <w:r w:rsidR="004B7BDD">
              <w:t>is scheduled for</w:t>
            </w:r>
            <w:r w:rsidR="00396FBA">
              <w:t xml:space="preserve"> </w:t>
            </w:r>
            <w:r w:rsidR="00E56143">
              <w:t>February 2</w:t>
            </w:r>
            <w:r w:rsidR="00897A36">
              <w:t>, 2026</w:t>
            </w:r>
            <w:r w:rsidR="00396FBA">
              <w:t>.</w:t>
            </w:r>
          </w:p>
        </w:tc>
        <w:tc>
          <w:tcPr>
            <w:tcW w:w="874" w:type="pct"/>
            <w:hideMark/>
          </w:tcPr>
          <w:p w14:paraId="2808DB60" w14:textId="77777777" w:rsidR="000E6247" w:rsidRPr="00A765CC" w:rsidRDefault="000E6247" w:rsidP="000E6247">
            <w:r w:rsidRPr="00A765CC">
              <w:rPr>
                <w:b/>
                <w:bCs/>
              </w:rPr>
              <w:t>Chair </w:t>
            </w:r>
          </w:p>
        </w:tc>
      </w:tr>
    </w:tbl>
    <w:p w14:paraId="1B3E5208" w14:textId="77777777" w:rsidR="008D4CFB" w:rsidRDefault="008D4CFB"/>
    <w:sectPr w:rsidR="008D4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1FC5" w14:textId="77777777" w:rsidR="00D267CD" w:rsidRDefault="00D267CD" w:rsidP="00701AAE">
      <w:pPr>
        <w:spacing w:after="0" w:line="240" w:lineRule="auto"/>
      </w:pPr>
      <w:r>
        <w:separator/>
      </w:r>
    </w:p>
  </w:endnote>
  <w:endnote w:type="continuationSeparator" w:id="0">
    <w:p w14:paraId="58806F16" w14:textId="77777777" w:rsidR="00D267CD" w:rsidRDefault="00D267CD" w:rsidP="0070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941C" w14:textId="4ED3D72C" w:rsidR="00701AAE" w:rsidRDefault="00701AAE" w:rsidP="00701AAE">
    <w:pPr>
      <w:pStyle w:val="Footer"/>
      <w:tabs>
        <w:tab w:val="clear" w:pos="4680"/>
        <w:tab w:val="clear" w:pos="9360"/>
        <w:tab w:val="left" w:pos="3586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B003" w14:textId="77777777" w:rsidR="00D267CD" w:rsidRDefault="00D267CD" w:rsidP="00701AAE">
      <w:pPr>
        <w:spacing w:after="0" w:line="240" w:lineRule="auto"/>
      </w:pPr>
      <w:r>
        <w:separator/>
      </w:r>
    </w:p>
  </w:footnote>
  <w:footnote w:type="continuationSeparator" w:id="0">
    <w:p w14:paraId="4076A869" w14:textId="77777777" w:rsidR="00D267CD" w:rsidRDefault="00D267CD" w:rsidP="0070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84"/>
    <w:multiLevelType w:val="hybridMultilevel"/>
    <w:tmpl w:val="B0B4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4C6"/>
    <w:multiLevelType w:val="multilevel"/>
    <w:tmpl w:val="0E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631DC"/>
    <w:multiLevelType w:val="multilevel"/>
    <w:tmpl w:val="F7E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7857"/>
    <w:multiLevelType w:val="multilevel"/>
    <w:tmpl w:val="C1B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4B9"/>
    <w:multiLevelType w:val="multilevel"/>
    <w:tmpl w:val="FAC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6392B"/>
    <w:multiLevelType w:val="hybridMultilevel"/>
    <w:tmpl w:val="C878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A1D34"/>
    <w:multiLevelType w:val="hybridMultilevel"/>
    <w:tmpl w:val="0332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430CF"/>
    <w:multiLevelType w:val="hybridMultilevel"/>
    <w:tmpl w:val="4276FF8A"/>
    <w:lvl w:ilvl="0" w:tplc="592C6BC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96733"/>
    <w:multiLevelType w:val="hybridMultilevel"/>
    <w:tmpl w:val="C32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E7543"/>
    <w:multiLevelType w:val="multilevel"/>
    <w:tmpl w:val="C27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05CDE"/>
    <w:multiLevelType w:val="multilevel"/>
    <w:tmpl w:val="D8D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A5E38"/>
    <w:multiLevelType w:val="hybridMultilevel"/>
    <w:tmpl w:val="FAA4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44098">
    <w:abstractNumId w:val="4"/>
  </w:num>
  <w:num w:numId="2" w16cid:durableId="542834862">
    <w:abstractNumId w:val="2"/>
  </w:num>
  <w:num w:numId="3" w16cid:durableId="1979676816">
    <w:abstractNumId w:val="10"/>
  </w:num>
  <w:num w:numId="4" w16cid:durableId="911700180">
    <w:abstractNumId w:val="1"/>
  </w:num>
  <w:num w:numId="5" w16cid:durableId="54398409">
    <w:abstractNumId w:val="9"/>
  </w:num>
  <w:num w:numId="6" w16cid:durableId="173692088">
    <w:abstractNumId w:val="3"/>
  </w:num>
  <w:num w:numId="7" w16cid:durableId="133527217">
    <w:abstractNumId w:val="5"/>
  </w:num>
  <w:num w:numId="8" w16cid:durableId="738481879">
    <w:abstractNumId w:val="8"/>
  </w:num>
  <w:num w:numId="9" w16cid:durableId="1012343052">
    <w:abstractNumId w:val="11"/>
  </w:num>
  <w:num w:numId="10" w16cid:durableId="502473757">
    <w:abstractNumId w:val="7"/>
  </w:num>
  <w:num w:numId="11" w16cid:durableId="1213887352">
    <w:abstractNumId w:val="0"/>
  </w:num>
  <w:num w:numId="12" w16cid:durableId="2023388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C"/>
    <w:rsid w:val="0000009A"/>
    <w:rsid w:val="0000095B"/>
    <w:rsid w:val="00003D0D"/>
    <w:rsid w:val="00004735"/>
    <w:rsid w:val="00011B31"/>
    <w:rsid w:val="000126BB"/>
    <w:rsid w:val="00013462"/>
    <w:rsid w:val="00013E2F"/>
    <w:rsid w:val="00014FFE"/>
    <w:rsid w:val="0001526F"/>
    <w:rsid w:val="000160D3"/>
    <w:rsid w:val="00017743"/>
    <w:rsid w:val="00020392"/>
    <w:rsid w:val="0002118D"/>
    <w:rsid w:val="00021734"/>
    <w:rsid w:val="00025B03"/>
    <w:rsid w:val="00026FAB"/>
    <w:rsid w:val="00027C1E"/>
    <w:rsid w:val="00031B2A"/>
    <w:rsid w:val="00031D40"/>
    <w:rsid w:val="000327AC"/>
    <w:rsid w:val="000334CF"/>
    <w:rsid w:val="00033842"/>
    <w:rsid w:val="00034273"/>
    <w:rsid w:val="00035287"/>
    <w:rsid w:val="00035FC7"/>
    <w:rsid w:val="00037354"/>
    <w:rsid w:val="00037898"/>
    <w:rsid w:val="00043B8F"/>
    <w:rsid w:val="000449A0"/>
    <w:rsid w:val="00046FC1"/>
    <w:rsid w:val="00050568"/>
    <w:rsid w:val="0005082D"/>
    <w:rsid w:val="00051512"/>
    <w:rsid w:val="00051E13"/>
    <w:rsid w:val="000538F3"/>
    <w:rsid w:val="000539D4"/>
    <w:rsid w:val="00056A74"/>
    <w:rsid w:val="00057904"/>
    <w:rsid w:val="00060FD0"/>
    <w:rsid w:val="00061164"/>
    <w:rsid w:val="00064D14"/>
    <w:rsid w:val="00066567"/>
    <w:rsid w:val="00067199"/>
    <w:rsid w:val="000676FC"/>
    <w:rsid w:val="00070686"/>
    <w:rsid w:val="0007069A"/>
    <w:rsid w:val="00071722"/>
    <w:rsid w:val="0007180D"/>
    <w:rsid w:val="000720AB"/>
    <w:rsid w:val="00074BF9"/>
    <w:rsid w:val="00077827"/>
    <w:rsid w:val="00080683"/>
    <w:rsid w:val="000818CE"/>
    <w:rsid w:val="000839DA"/>
    <w:rsid w:val="00083EEB"/>
    <w:rsid w:val="000849EC"/>
    <w:rsid w:val="00084DDC"/>
    <w:rsid w:val="00086710"/>
    <w:rsid w:val="00086AAB"/>
    <w:rsid w:val="00086D21"/>
    <w:rsid w:val="000950F1"/>
    <w:rsid w:val="00097266"/>
    <w:rsid w:val="000A2567"/>
    <w:rsid w:val="000A2891"/>
    <w:rsid w:val="000A295C"/>
    <w:rsid w:val="000A35B1"/>
    <w:rsid w:val="000A3627"/>
    <w:rsid w:val="000A3629"/>
    <w:rsid w:val="000A38F4"/>
    <w:rsid w:val="000A4BA8"/>
    <w:rsid w:val="000A513F"/>
    <w:rsid w:val="000A5FD2"/>
    <w:rsid w:val="000A605D"/>
    <w:rsid w:val="000A79C3"/>
    <w:rsid w:val="000B21C6"/>
    <w:rsid w:val="000B5D99"/>
    <w:rsid w:val="000B6FDD"/>
    <w:rsid w:val="000B7BB3"/>
    <w:rsid w:val="000C096D"/>
    <w:rsid w:val="000C2A7C"/>
    <w:rsid w:val="000C3E15"/>
    <w:rsid w:val="000C409B"/>
    <w:rsid w:val="000C44B5"/>
    <w:rsid w:val="000C681F"/>
    <w:rsid w:val="000C785E"/>
    <w:rsid w:val="000D1D6E"/>
    <w:rsid w:val="000D2AA6"/>
    <w:rsid w:val="000D2DD4"/>
    <w:rsid w:val="000D31A9"/>
    <w:rsid w:val="000D3D9F"/>
    <w:rsid w:val="000D40DF"/>
    <w:rsid w:val="000D42BC"/>
    <w:rsid w:val="000D4E42"/>
    <w:rsid w:val="000D4F61"/>
    <w:rsid w:val="000D51C3"/>
    <w:rsid w:val="000D6D65"/>
    <w:rsid w:val="000D76BE"/>
    <w:rsid w:val="000E005A"/>
    <w:rsid w:val="000E058B"/>
    <w:rsid w:val="000E090B"/>
    <w:rsid w:val="000E3830"/>
    <w:rsid w:val="000E5FAD"/>
    <w:rsid w:val="000E6247"/>
    <w:rsid w:val="000E62CA"/>
    <w:rsid w:val="000F0944"/>
    <w:rsid w:val="000F27AF"/>
    <w:rsid w:val="000F2858"/>
    <w:rsid w:val="000F3777"/>
    <w:rsid w:val="000F52EF"/>
    <w:rsid w:val="000F5377"/>
    <w:rsid w:val="000F58C1"/>
    <w:rsid w:val="000F64AA"/>
    <w:rsid w:val="000F70C5"/>
    <w:rsid w:val="00100AAA"/>
    <w:rsid w:val="0010261B"/>
    <w:rsid w:val="0010298F"/>
    <w:rsid w:val="00105E80"/>
    <w:rsid w:val="00110771"/>
    <w:rsid w:val="00113496"/>
    <w:rsid w:val="0011612B"/>
    <w:rsid w:val="00116235"/>
    <w:rsid w:val="00120156"/>
    <w:rsid w:val="0012134C"/>
    <w:rsid w:val="00127DC3"/>
    <w:rsid w:val="00132B60"/>
    <w:rsid w:val="00133434"/>
    <w:rsid w:val="001336D5"/>
    <w:rsid w:val="00134CED"/>
    <w:rsid w:val="0013518E"/>
    <w:rsid w:val="00137847"/>
    <w:rsid w:val="0014037D"/>
    <w:rsid w:val="00140C27"/>
    <w:rsid w:val="00142093"/>
    <w:rsid w:val="00142827"/>
    <w:rsid w:val="00145738"/>
    <w:rsid w:val="001461EE"/>
    <w:rsid w:val="00147697"/>
    <w:rsid w:val="00150214"/>
    <w:rsid w:val="001516C2"/>
    <w:rsid w:val="00152146"/>
    <w:rsid w:val="00154703"/>
    <w:rsid w:val="0015628A"/>
    <w:rsid w:val="00156453"/>
    <w:rsid w:val="00160004"/>
    <w:rsid w:val="001605F1"/>
    <w:rsid w:val="001606CD"/>
    <w:rsid w:val="00160DC5"/>
    <w:rsid w:val="00162845"/>
    <w:rsid w:val="00167D02"/>
    <w:rsid w:val="0017003C"/>
    <w:rsid w:val="00171659"/>
    <w:rsid w:val="00172DFC"/>
    <w:rsid w:val="00174AAE"/>
    <w:rsid w:val="00177F77"/>
    <w:rsid w:val="0018164B"/>
    <w:rsid w:val="00183A54"/>
    <w:rsid w:val="00185A3F"/>
    <w:rsid w:val="001916D6"/>
    <w:rsid w:val="001945DF"/>
    <w:rsid w:val="001961AB"/>
    <w:rsid w:val="00197670"/>
    <w:rsid w:val="00197DE6"/>
    <w:rsid w:val="001A0DA0"/>
    <w:rsid w:val="001A1101"/>
    <w:rsid w:val="001A47FB"/>
    <w:rsid w:val="001A6E6D"/>
    <w:rsid w:val="001B076A"/>
    <w:rsid w:val="001B0DFA"/>
    <w:rsid w:val="001B0E0D"/>
    <w:rsid w:val="001B2EE5"/>
    <w:rsid w:val="001B3E50"/>
    <w:rsid w:val="001B6919"/>
    <w:rsid w:val="001C0CC7"/>
    <w:rsid w:val="001C1FD7"/>
    <w:rsid w:val="001C55C4"/>
    <w:rsid w:val="001C7ECC"/>
    <w:rsid w:val="001E0620"/>
    <w:rsid w:val="001E095D"/>
    <w:rsid w:val="001E1300"/>
    <w:rsid w:val="001E1E53"/>
    <w:rsid w:val="001E2DA7"/>
    <w:rsid w:val="001E484D"/>
    <w:rsid w:val="001E6E50"/>
    <w:rsid w:val="001E6EB0"/>
    <w:rsid w:val="001E7120"/>
    <w:rsid w:val="001F2CAC"/>
    <w:rsid w:val="001F49E7"/>
    <w:rsid w:val="001F55DD"/>
    <w:rsid w:val="001F628E"/>
    <w:rsid w:val="001F68E6"/>
    <w:rsid w:val="002018C9"/>
    <w:rsid w:val="00202485"/>
    <w:rsid w:val="00202ABA"/>
    <w:rsid w:val="002032B5"/>
    <w:rsid w:val="00205B25"/>
    <w:rsid w:val="0021054E"/>
    <w:rsid w:val="00210DB5"/>
    <w:rsid w:val="002144AE"/>
    <w:rsid w:val="002148E2"/>
    <w:rsid w:val="00217F34"/>
    <w:rsid w:val="00223659"/>
    <w:rsid w:val="002236BE"/>
    <w:rsid w:val="002236E4"/>
    <w:rsid w:val="00223B7D"/>
    <w:rsid w:val="0022624C"/>
    <w:rsid w:val="00226934"/>
    <w:rsid w:val="00226B64"/>
    <w:rsid w:val="00226F76"/>
    <w:rsid w:val="0022768B"/>
    <w:rsid w:val="0023302B"/>
    <w:rsid w:val="002350AB"/>
    <w:rsid w:val="002357C9"/>
    <w:rsid w:val="00240054"/>
    <w:rsid w:val="00240829"/>
    <w:rsid w:val="002423CC"/>
    <w:rsid w:val="0024273C"/>
    <w:rsid w:val="00250E9B"/>
    <w:rsid w:val="0025482D"/>
    <w:rsid w:val="00255796"/>
    <w:rsid w:val="002600E0"/>
    <w:rsid w:val="00261595"/>
    <w:rsid w:val="00262FFC"/>
    <w:rsid w:val="002636A3"/>
    <w:rsid w:val="00263B29"/>
    <w:rsid w:val="00270EA4"/>
    <w:rsid w:val="002714D4"/>
    <w:rsid w:val="002737FC"/>
    <w:rsid w:val="0027507E"/>
    <w:rsid w:val="0028124F"/>
    <w:rsid w:val="002819B1"/>
    <w:rsid w:val="00284540"/>
    <w:rsid w:val="00284C7B"/>
    <w:rsid w:val="00287C66"/>
    <w:rsid w:val="00290F0E"/>
    <w:rsid w:val="0029156C"/>
    <w:rsid w:val="00292B1D"/>
    <w:rsid w:val="0029388E"/>
    <w:rsid w:val="00294F53"/>
    <w:rsid w:val="0029592A"/>
    <w:rsid w:val="002A06F1"/>
    <w:rsid w:val="002A1E26"/>
    <w:rsid w:val="002A2B5E"/>
    <w:rsid w:val="002A4F3D"/>
    <w:rsid w:val="002A51AD"/>
    <w:rsid w:val="002A6321"/>
    <w:rsid w:val="002A72EA"/>
    <w:rsid w:val="002B1C34"/>
    <w:rsid w:val="002B22B1"/>
    <w:rsid w:val="002B4F18"/>
    <w:rsid w:val="002C1C51"/>
    <w:rsid w:val="002C3166"/>
    <w:rsid w:val="002D135C"/>
    <w:rsid w:val="002D22AD"/>
    <w:rsid w:val="002D27E4"/>
    <w:rsid w:val="002D4682"/>
    <w:rsid w:val="002D72B3"/>
    <w:rsid w:val="002E0E68"/>
    <w:rsid w:val="002E4820"/>
    <w:rsid w:val="002F4621"/>
    <w:rsid w:val="002F4CC1"/>
    <w:rsid w:val="002F4F85"/>
    <w:rsid w:val="002F73A8"/>
    <w:rsid w:val="002F777B"/>
    <w:rsid w:val="00301D43"/>
    <w:rsid w:val="00302CC0"/>
    <w:rsid w:val="00304158"/>
    <w:rsid w:val="00307040"/>
    <w:rsid w:val="003079B9"/>
    <w:rsid w:val="00310042"/>
    <w:rsid w:val="0031087D"/>
    <w:rsid w:val="00312322"/>
    <w:rsid w:val="00314A61"/>
    <w:rsid w:val="0032192A"/>
    <w:rsid w:val="0032256B"/>
    <w:rsid w:val="0032404E"/>
    <w:rsid w:val="00325FAF"/>
    <w:rsid w:val="00326A84"/>
    <w:rsid w:val="003309F6"/>
    <w:rsid w:val="0033156B"/>
    <w:rsid w:val="00332907"/>
    <w:rsid w:val="00332C56"/>
    <w:rsid w:val="003330E7"/>
    <w:rsid w:val="00334648"/>
    <w:rsid w:val="00336744"/>
    <w:rsid w:val="00340E3B"/>
    <w:rsid w:val="00347FBE"/>
    <w:rsid w:val="003506FA"/>
    <w:rsid w:val="00354F7A"/>
    <w:rsid w:val="00360A01"/>
    <w:rsid w:val="0036371A"/>
    <w:rsid w:val="003644E0"/>
    <w:rsid w:val="00364DF6"/>
    <w:rsid w:val="00365F8D"/>
    <w:rsid w:val="00367A81"/>
    <w:rsid w:val="00370753"/>
    <w:rsid w:val="00371379"/>
    <w:rsid w:val="00372075"/>
    <w:rsid w:val="00372584"/>
    <w:rsid w:val="00372AD2"/>
    <w:rsid w:val="00372D8C"/>
    <w:rsid w:val="00375A26"/>
    <w:rsid w:val="003767ED"/>
    <w:rsid w:val="00376B79"/>
    <w:rsid w:val="00383734"/>
    <w:rsid w:val="003921B3"/>
    <w:rsid w:val="00392459"/>
    <w:rsid w:val="00396FBA"/>
    <w:rsid w:val="003979F5"/>
    <w:rsid w:val="003A01F9"/>
    <w:rsid w:val="003A110E"/>
    <w:rsid w:val="003B0210"/>
    <w:rsid w:val="003B065C"/>
    <w:rsid w:val="003B086D"/>
    <w:rsid w:val="003B0BE6"/>
    <w:rsid w:val="003B0DDC"/>
    <w:rsid w:val="003B2498"/>
    <w:rsid w:val="003B3843"/>
    <w:rsid w:val="003B50BF"/>
    <w:rsid w:val="003B50FC"/>
    <w:rsid w:val="003B5A7A"/>
    <w:rsid w:val="003B5F4F"/>
    <w:rsid w:val="003B6210"/>
    <w:rsid w:val="003B66B9"/>
    <w:rsid w:val="003B6C94"/>
    <w:rsid w:val="003B6F79"/>
    <w:rsid w:val="003B7960"/>
    <w:rsid w:val="003C314D"/>
    <w:rsid w:val="003C3DF4"/>
    <w:rsid w:val="003C50B1"/>
    <w:rsid w:val="003D07B0"/>
    <w:rsid w:val="003D314F"/>
    <w:rsid w:val="003D6194"/>
    <w:rsid w:val="003D6BDC"/>
    <w:rsid w:val="003D7964"/>
    <w:rsid w:val="003E0837"/>
    <w:rsid w:val="003E2A8F"/>
    <w:rsid w:val="003E3C80"/>
    <w:rsid w:val="003E7955"/>
    <w:rsid w:val="003F1A3E"/>
    <w:rsid w:val="003F266F"/>
    <w:rsid w:val="003F498B"/>
    <w:rsid w:val="003F53F5"/>
    <w:rsid w:val="003F5F06"/>
    <w:rsid w:val="003F631D"/>
    <w:rsid w:val="0040036D"/>
    <w:rsid w:val="00404657"/>
    <w:rsid w:val="0040574A"/>
    <w:rsid w:val="00407275"/>
    <w:rsid w:val="00407AF6"/>
    <w:rsid w:val="0041002C"/>
    <w:rsid w:val="00411E9F"/>
    <w:rsid w:val="00414574"/>
    <w:rsid w:val="004158FC"/>
    <w:rsid w:val="00417D21"/>
    <w:rsid w:val="00420006"/>
    <w:rsid w:val="00420D35"/>
    <w:rsid w:val="00420E37"/>
    <w:rsid w:val="0042242A"/>
    <w:rsid w:val="004224DC"/>
    <w:rsid w:val="00424B33"/>
    <w:rsid w:val="00426298"/>
    <w:rsid w:val="00426D39"/>
    <w:rsid w:val="00427CF8"/>
    <w:rsid w:val="00432B8F"/>
    <w:rsid w:val="004348F5"/>
    <w:rsid w:val="004372C8"/>
    <w:rsid w:val="00437B10"/>
    <w:rsid w:val="004401C3"/>
    <w:rsid w:val="004412DB"/>
    <w:rsid w:val="0044245C"/>
    <w:rsid w:val="0044278E"/>
    <w:rsid w:val="00443FC5"/>
    <w:rsid w:val="004469A6"/>
    <w:rsid w:val="00446F0B"/>
    <w:rsid w:val="004476A8"/>
    <w:rsid w:val="00450473"/>
    <w:rsid w:val="00450A6D"/>
    <w:rsid w:val="00450D31"/>
    <w:rsid w:val="00451EE9"/>
    <w:rsid w:val="0045353A"/>
    <w:rsid w:val="00453B7F"/>
    <w:rsid w:val="00456245"/>
    <w:rsid w:val="0045795E"/>
    <w:rsid w:val="004633B2"/>
    <w:rsid w:val="004634FA"/>
    <w:rsid w:val="00465649"/>
    <w:rsid w:val="00472C92"/>
    <w:rsid w:val="00472ECE"/>
    <w:rsid w:val="004760CE"/>
    <w:rsid w:val="0047745F"/>
    <w:rsid w:val="00480803"/>
    <w:rsid w:val="00481527"/>
    <w:rsid w:val="004818BA"/>
    <w:rsid w:val="00481F56"/>
    <w:rsid w:val="0048355A"/>
    <w:rsid w:val="00484111"/>
    <w:rsid w:val="00485FE3"/>
    <w:rsid w:val="00487504"/>
    <w:rsid w:val="004875F9"/>
    <w:rsid w:val="00491AEA"/>
    <w:rsid w:val="00491AFD"/>
    <w:rsid w:val="00493B0E"/>
    <w:rsid w:val="00494926"/>
    <w:rsid w:val="00495337"/>
    <w:rsid w:val="004A339E"/>
    <w:rsid w:val="004A362C"/>
    <w:rsid w:val="004A3C89"/>
    <w:rsid w:val="004A51CE"/>
    <w:rsid w:val="004A57BD"/>
    <w:rsid w:val="004A5F21"/>
    <w:rsid w:val="004A7016"/>
    <w:rsid w:val="004A7E85"/>
    <w:rsid w:val="004B027E"/>
    <w:rsid w:val="004B2994"/>
    <w:rsid w:val="004B3626"/>
    <w:rsid w:val="004B3EC7"/>
    <w:rsid w:val="004B4821"/>
    <w:rsid w:val="004B5320"/>
    <w:rsid w:val="004B570D"/>
    <w:rsid w:val="004B65F1"/>
    <w:rsid w:val="004B734C"/>
    <w:rsid w:val="004B7BDD"/>
    <w:rsid w:val="004C1898"/>
    <w:rsid w:val="004C1FD5"/>
    <w:rsid w:val="004C3110"/>
    <w:rsid w:val="004C3D86"/>
    <w:rsid w:val="004D14E0"/>
    <w:rsid w:val="004D202C"/>
    <w:rsid w:val="004D2159"/>
    <w:rsid w:val="004D4259"/>
    <w:rsid w:val="004E0BBD"/>
    <w:rsid w:val="004E2A55"/>
    <w:rsid w:val="004F094E"/>
    <w:rsid w:val="004F097A"/>
    <w:rsid w:val="004F0ADE"/>
    <w:rsid w:val="004F3C75"/>
    <w:rsid w:val="004F4333"/>
    <w:rsid w:val="004F50B0"/>
    <w:rsid w:val="004F5AFB"/>
    <w:rsid w:val="004F5C8E"/>
    <w:rsid w:val="004F64ED"/>
    <w:rsid w:val="004F6DD4"/>
    <w:rsid w:val="004F768A"/>
    <w:rsid w:val="00501CE0"/>
    <w:rsid w:val="005036B8"/>
    <w:rsid w:val="00505B9F"/>
    <w:rsid w:val="00505BBA"/>
    <w:rsid w:val="00505CAF"/>
    <w:rsid w:val="00511659"/>
    <w:rsid w:val="0051172D"/>
    <w:rsid w:val="0051393D"/>
    <w:rsid w:val="00515007"/>
    <w:rsid w:val="005151A7"/>
    <w:rsid w:val="005221D4"/>
    <w:rsid w:val="00522B5D"/>
    <w:rsid w:val="00524E80"/>
    <w:rsid w:val="00525E4A"/>
    <w:rsid w:val="00527D10"/>
    <w:rsid w:val="00533054"/>
    <w:rsid w:val="00536386"/>
    <w:rsid w:val="00542545"/>
    <w:rsid w:val="0054265B"/>
    <w:rsid w:val="005432F3"/>
    <w:rsid w:val="005436E5"/>
    <w:rsid w:val="00545B83"/>
    <w:rsid w:val="00546810"/>
    <w:rsid w:val="0055069B"/>
    <w:rsid w:val="005559E3"/>
    <w:rsid w:val="00557FC1"/>
    <w:rsid w:val="005603CD"/>
    <w:rsid w:val="005606EF"/>
    <w:rsid w:val="0056135A"/>
    <w:rsid w:val="00561D53"/>
    <w:rsid w:val="00562075"/>
    <w:rsid w:val="005624A2"/>
    <w:rsid w:val="00564F76"/>
    <w:rsid w:val="00571EE8"/>
    <w:rsid w:val="0057374A"/>
    <w:rsid w:val="00575A11"/>
    <w:rsid w:val="00575B8D"/>
    <w:rsid w:val="00580ABD"/>
    <w:rsid w:val="00584F84"/>
    <w:rsid w:val="005873AC"/>
    <w:rsid w:val="00591B75"/>
    <w:rsid w:val="005945B9"/>
    <w:rsid w:val="00596F6A"/>
    <w:rsid w:val="005A03E3"/>
    <w:rsid w:val="005A6957"/>
    <w:rsid w:val="005A6C2E"/>
    <w:rsid w:val="005B2589"/>
    <w:rsid w:val="005B2C53"/>
    <w:rsid w:val="005B3CD0"/>
    <w:rsid w:val="005B414D"/>
    <w:rsid w:val="005B42CC"/>
    <w:rsid w:val="005B46AA"/>
    <w:rsid w:val="005B55BD"/>
    <w:rsid w:val="005B62CE"/>
    <w:rsid w:val="005B704E"/>
    <w:rsid w:val="005B75FC"/>
    <w:rsid w:val="005B7D3B"/>
    <w:rsid w:val="005C19E5"/>
    <w:rsid w:val="005C26D9"/>
    <w:rsid w:val="005C28EF"/>
    <w:rsid w:val="005C60DB"/>
    <w:rsid w:val="005C7DCF"/>
    <w:rsid w:val="005D2249"/>
    <w:rsid w:val="005D32BB"/>
    <w:rsid w:val="005D3CC5"/>
    <w:rsid w:val="005D45C9"/>
    <w:rsid w:val="005D5664"/>
    <w:rsid w:val="005D5994"/>
    <w:rsid w:val="005E2714"/>
    <w:rsid w:val="005E59BE"/>
    <w:rsid w:val="005E5A04"/>
    <w:rsid w:val="005E67ED"/>
    <w:rsid w:val="005F044C"/>
    <w:rsid w:val="005F09BE"/>
    <w:rsid w:val="005F0C7A"/>
    <w:rsid w:val="005F0D4D"/>
    <w:rsid w:val="005F1452"/>
    <w:rsid w:val="005F2349"/>
    <w:rsid w:val="005F312E"/>
    <w:rsid w:val="005F32D8"/>
    <w:rsid w:val="005F6CE0"/>
    <w:rsid w:val="005F7756"/>
    <w:rsid w:val="0060249F"/>
    <w:rsid w:val="00602883"/>
    <w:rsid w:val="00603E5F"/>
    <w:rsid w:val="006046C2"/>
    <w:rsid w:val="006072F0"/>
    <w:rsid w:val="00607D45"/>
    <w:rsid w:val="006104A9"/>
    <w:rsid w:val="006135A2"/>
    <w:rsid w:val="00613833"/>
    <w:rsid w:val="00615801"/>
    <w:rsid w:val="0061659F"/>
    <w:rsid w:val="00617077"/>
    <w:rsid w:val="00617574"/>
    <w:rsid w:val="00617FE4"/>
    <w:rsid w:val="006206F0"/>
    <w:rsid w:val="006217DA"/>
    <w:rsid w:val="00625047"/>
    <w:rsid w:val="006254EB"/>
    <w:rsid w:val="006258CE"/>
    <w:rsid w:val="0062599C"/>
    <w:rsid w:val="006325AD"/>
    <w:rsid w:val="006327E8"/>
    <w:rsid w:val="00633799"/>
    <w:rsid w:val="00634629"/>
    <w:rsid w:val="00641B78"/>
    <w:rsid w:val="0064282F"/>
    <w:rsid w:val="00643010"/>
    <w:rsid w:val="006439BA"/>
    <w:rsid w:val="006504CD"/>
    <w:rsid w:val="0065074A"/>
    <w:rsid w:val="0065171B"/>
    <w:rsid w:val="00652DA0"/>
    <w:rsid w:val="00653A36"/>
    <w:rsid w:val="006550CE"/>
    <w:rsid w:val="0065597F"/>
    <w:rsid w:val="006564B7"/>
    <w:rsid w:val="0066223B"/>
    <w:rsid w:val="006628D9"/>
    <w:rsid w:val="0066389B"/>
    <w:rsid w:val="00664F51"/>
    <w:rsid w:val="00666146"/>
    <w:rsid w:val="00667905"/>
    <w:rsid w:val="00667A16"/>
    <w:rsid w:val="006701DF"/>
    <w:rsid w:val="006737F7"/>
    <w:rsid w:val="00675C1E"/>
    <w:rsid w:val="006762FD"/>
    <w:rsid w:val="00676F39"/>
    <w:rsid w:val="00677082"/>
    <w:rsid w:val="00682E11"/>
    <w:rsid w:val="00682E48"/>
    <w:rsid w:val="0068519F"/>
    <w:rsid w:val="00685443"/>
    <w:rsid w:val="006947FE"/>
    <w:rsid w:val="00695351"/>
    <w:rsid w:val="006967B2"/>
    <w:rsid w:val="00696B1C"/>
    <w:rsid w:val="00696FC8"/>
    <w:rsid w:val="006A194A"/>
    <w:rsid w:val="006A4720"/>
    <w:rsid w:val="006B0ED7"/>
    <w:rsid w:val="006B15DB"/>
    <w:rsid w:val="006B2A88"/>
    <w:rsid w:val="006B445C"/>
    <w:rsid w:val="006B73EC"/>
    <w:rsid w:val="006C1690"/>
    <w:rsid w:val="006C2AEE"/>
    <w:rsid w:val="006C33D7"/>
    <w:rsid w:val="006C3684"/>
    <w:rsid w:val="006C430A"/>
    <w:rsid w:val="006C639D"/>
    <w:rsid w:val="006C7475"/>
    <w:rsid w:val="006D0CD0"/>
    <w:rsid w:val="006D27AB"/>
    <w:rsid w:val="006D296C"/>
    <w:rsid w:val="006E2BD8"/>
    <w:rsid w:val="006E39FE"/>
    <w:rsid w:val="006E4957"/>
    <w:rsid w:val="006E510B"/>
    <w:rsid w:val="006E5CCB"/>
    <w:rsid w:val="006E5E1F"/>
    <w:rsid w:val="006E7458"/>
    <w:rsid w:val="006F0E55"/>
    <w:rsid w:val="006F1409"/>
    <w:rsid w:val="006F1F5D"/>
    <w:rsid w:val="006F3154"/>
    <w:rsid w:val="006F4339"/>
    <w:rsid w:val="006F4888"/>
    <w:rsid w:val="006F4BF8"/>
    <w:rsid w:val="006F63E4"/>
    <w:rsid w:val="006F680F"/>
    <w:rsid w:val="006F69E7"/>
    <w:rsid w:val="006F6DAC"/>
    <w:rsid w:val="006F7CBE"/>
    <w:rsid w:val="007006BC"/>
    <w:rsid w:val="00700D26"/>
    <w:rsid w:val="00701AAE"/>
    <w:rsid w:val="00704F48"/>
    <w:rsid w:val="00705DDB"/>
    <w:rsid w:val="00705EC8"/>
    <w:rsid w:val="007102CB"/>
    <w:rsid w:val="007104C5"/>
    <w:rsid w:val="00711954"/>
    <w:rsid w:val="00712452"/>
    <w:rsid w:val="00717207"/>
    <w:rsid w:val="00720868"/>
    <w:rsid w:val="00720E78"/>
    <w:rsid w:val="00725854"/>
    <w:rsid w:val="00726DB7"/>
    <w:rsid w:val="00727CC5"/>
    <w:rsid w:val="00731A72"/>
    <w:rsid w:val="00731C58"/>
    <w:rsid w:val="00740121"/>
    <w:rsid w:val="00750ACE"/>
    <w:rsid w:val="00750FEE"/>
    <w:rsid w:val="0075108E"/>
    <w:rsid w:val="0075338D"/>
    <w:rsid w:val="00753B19"/>
    <w:rsid w:val="00756428"/>
    <w:rsid w:val="007568E8"/>
    <w:rsid w:val="00756E42"/>
    <w:rsid w:val="00760299"/>
    <w:rsid w:val="0076236C"/>
    <w:rsid w:val="00763C10"/>
    <w:rsid w:val="00766CED"/>
    <w:rsid w:val="00770A8F"/>
    <w:rsid w:val="00776BD1"/>
    <w:rsid w:val="00781353"/>
    <w:rsid w:val="007817DF"/>
    <w:rsid w:val="0078333D"/>
    <w:rsid w:val="00783682"/>
    <w:rsid w:val="00784C58"/>
    <w:rsid w:val="00785836"/>
    <w:rsid w:val="007861EE"/>
    <w:rsid w:val="00790B75"/>
    <w:rsid w:val="00790B92"/>
    <w:rsid w:val="00791332"/>
    <w:rsid w:val="00792AFA"/>
    <w:rsid w:val="0079440F"/>
    <w:rsid w:val="00796137"/>
    <w:rsid w:val="007A2208"/>
    <w:rsid w:val="007A47F9"/>
    <w:rsid w:val="007A5C05"/>
    <w:rsid w:val="007A6538"/>
    <w:rsid w:val="007A7EFF"/>
    <w:rsid w:val="007B19E4"/>
    <w:rsid w:val="007B2189"/>
    <w:rsid w:val="007B72EE"/>
    <w:rsid w:val="007B7AAD"/>
    <w:rsid w:val="007B7E9D"/>
    <w:rsid w:val="007C027C"/>
    <w:rsid w:val="007C236E"/>
    <w:rsid w:val="007C3171"/>
    <w:rsid w:val="007C34E1"/>
    <w:rsid w:val="007C424D"/>
    <w:rsid w:val="007C4819"/>
    <w:rsid w:val="007C7776"/>
    <w:rsid w:val="007D0E92"/>
    <w:rsid w:val="007D28A9"/>
    <w:rsid w:val="007D298E"/>
    <w:rsid w:val="007D479F"/>
    <w:rsid w:val="007D61BD"/>
    <w:rsid w:val="007E1D4E"/>
    <w:rsid w:val="007E4362"/>
    <w:rsid w:val="007E79DD"/>
    <w:rsid w:val="007F12E6"/>
    <w:rsid w:val="007F18D2"/>
    <w:rsid w:val="007F25D5"/>
    <w:rsid w:val="007F26AD"/>
    <w:rsid w:val="007F3003"/>
    <w:rsid w:val="007F4015"/>
    <w:rsid w:val="007F597E"/>
    <w:rsid w:val="007F6580"/>
    <w:rsid w:val="0080034B"/>
    <w:rsid w:val="00800B96"/>
    <w:rsid w:val="00800C68"/>
    <w:rsid w:val="00800FEF"/>
    <w:rsid w:val="0080136D"/>
    <w:rsid w:val="00802EEB"/>
    <w:rsid w:val="00803490"/>
    <w:rsid w:val="00804808"/>
    <w:rsid w:val="0082057D"/>
    <w:rsid w:val="00820FF5"/>
    <w:rsid w:val="00821F80"/>
    <w:rsid w:val="008221AC"/>
    <w:rsid w:val="00824A7E"/>
    <w:rsid w:val="00825A00"/>
    <w:rsid w:val="0082642A"/>
    <w:rsid w:val="008266C5"/>
    <w:rsid w:val="008269AF"/>
    <w:rsid w:val="00826BF0"/>
    <w:rsid w:val="00832336"/>
    <w:rsid w:val="00833B37"/>
    <w:rsid w:val="008344A2"/>
    <w:rsid w:val="00834AEF"/>
    <w:rsid w:val="00834DA5"/>
    <w:rsid w:val="00835ADD"/>
    <w:rsid w:val="008372D0"/>
    <w:rsid w:val="00837C18"/>
    <w:rsid w:val="00841C62"/>
    <w:rsid w:val="0084254E"/>
    <w:rsid w:val="008430A1"/>
    <w:rsid w:val="00844502"/>
    <w:rsid w:val="00844D0B"/>
    <w:rsid w:val="00844EAD"/>
    <w:rsid w:val="00845F40"/>
    <w:rsid w:val="00851030"/>
    <w:rsid w:val="00853EAD"/>
    <w:rsid w:val="0085612E"/>
    <w:rsid w:val="008564F2"/>
    <w:rsid w:val="008565F1"/>
    <w:rsid w:val="00861ECF"/>
    <w:rsid w:val="0086347B"/>
    <w:rsid w:val="0086542D"/>
    <w:rsid w:val="008658C2"/>
    <w:rsid w:val="008670DC"/>
    <w:rsid w:val="008672C2"/>
    <w:rsid w:val="0086794C"/>
    <w:rsid w:val="008727E4"/>
    <w:rsid w:val="00882831"/>
    <w:rsid w:val="00885737"/>
    <w:rsid w:val="00886B0A"/>
    <w:rsid w:val="0088789C"/>
    <w:rsid w:val="008940F8"/>
    <w:rsid w:val="00896A81"/>
    <w:rsid w:val="00897583"/>
    <w:rsid w:val="00897A36"/>
    <w:rsid w:val="008B14E4"/>
    <w:rsid w:val="008B271E"/>
    <w:rsid w:val="008B75F5"/>
    <w:rsid w:val="008C1315"/>
    <w:rsid w:val="008C16E3"/>
    <w:rsid w:val="008C1864"/>
    <w:rsid w:val="008C25A6"/>
    <w:rsid w:val="008C465B"/>
    <w:rsid w:val="008C508C"/>
    <w:rsid w:val="008C5CC4"/>
    <w:rsid w:val="008C798E"/>
    <w:rsid w:val="008D035F"/>
    <w:rsid w:val="008D23E7"/>
    <w:rsid w:val="008D3628"/>
    <w:rsid w:val="008D38DD"/>
    <w:rsid w:val="008D4CFB"/>
    <w:rsid w:val="008D5A7F"/>
    <w:rsid w:val="008D7691"/>
    <w:rsid w:val="008D798D"/>
    <w:rsid w:val="008E118F"/>
    <w:rsid w:val="008E150D"/>
    <w:rsid w:val="008E3328"/>
    <w:rsid w:val="008E4F6B"/>
    <w:rsid w:val="008E6290"/>
    <w:rsid w:val="008E7BB6"/>
    <w:rsid w:val="008F0D11"/>
    <w:rsid w:val="008F35FE"/>
    <w:rsid w:val="008F3AFB"/>
    <w:rsid w:val="008F465F"/>
    <w:rsid w:val="008F6AC5"/>
    <w:rsid w:val="00900960"/>
    <w:rsid w:val="00902A66"/>
    <w:rsid w:val="00904060"/>
    <w:rsid w:val="009047E7"/>
    <w:rsid w:val="00905205"/>
    <w:rsid w:val="009077C0"/>
    <w:rsid w:val="0091583D"/>
    <w:rsid w:val="009177CC"/>
    <w:rsid w:val="00920104"/>
    <w:rsid w:val="00922125"/>
    <w:rsid w:val="00923C08"/>
    <w:rsid w:val="009260B6"/>
    <w:rsid w:val="00926709"/>
    <w:rsid w:val="00926A38"/>
    <w:rsid w:val="00932EE5"/>
    <w:rsid w:val="009362E9"/>
    <w:rsid w:val="009376C0"/>
    <w:rsid w:val="00937AAA"/>
    <w:rsid w:val="009401C5"/>
    <w:rsid w:val="009407F3"/>
    <w:rsid w:val="00941BEA"/>
    <w:rsid w:val="00941EDF"/>
    <w:rsid w:val="0094317D"/>
    <w:rsid w:val="00945144"/>
    <w:rsid w:val="00946B43"/>
    <w:rsid w:val="009502AA"/>
    <w:rsid w:val="009512BE"/>
    <w:rsid w:val="00954399"/>
    <w:rsid w:val="0095459B"/>
    <w:rsid w:val="00954ABB"/>
    <w:rsid w:val="00957031"/>
    <w:rsid w:val="00961A60"/>
    <w:rsid w:val="00962844"/>
    <w:rsid w:val="009648CF"/>
    <w:rsid w:val="00964C0C"/>
    <w:rsid w:val="00965CF6"/>
    <w:rsid w:val="00966C26"/>
    <w:rsid w:val="00974764"/>
    <w:rsid w:val="00974E41"/>
    <w:rsid w:val="00975E8A"/>
    <w:rsid w:val="00976457"/>
    <w:rsid w:val="0098096C"/>
    <w:rsid w:val="00982DED"/>
    <w:rsid w:val="0098365C"/>
    <w:rsid w:val="00984C84"/>
    <w:rsid w:val="00986A4D"/>
    <w:rsid w:val="00986C1D"/>
    <w:rsid w:val="00986CCF"/>
    <w:rsid w:val="0098737F"/>
    <w:rsid w:val="0099163C"/>
    <w:rsid w:val="00992835"/>
    <w:rsid w:val="00997698"/>
    <w:rsid w:val="00997E80"/>
    <w:rsid w:val="009A4868"/>
    <w:rsid w:val="009A626F"/>
    <w:rsid w:val="009B00D1"/>
    <w:rsid w:val="009B0996"/>
    <w:rsid w:val="009B165E"/>
    <w:rsid w:val="009B1692"/>
    <w:rsid w:val="009B1D2F"/>
    <w:rsid w:val="009B2FBA"/>
    <w:rsid w:val="009B4CD4"/>
    <w:rsid w:val="009B7F04"/>
    <w:rsid w:val="009C0A7B"/>
    <w:rsid w:val="009C0AFC"/>
    <w:rsid w:val="009C26E4"/>
    <w:rsid w:val="009C2E8F"/>
    <w:rsid w:val="009C7D29"/>
    <w:rsid w:val="009D03C0"/>
    <w:rsid w:val="009D0839"/>
    <w:rsid w:val="009D1329"/>
    <w:rsid w:val="009D2313"/>
    <w:rsid w:val="009D4D7E"/>
    <w:rsid w:val="009E161E"/>
    <w:rsid w:val="009E189A"/>
    <w:rsid w:val="009F0303"/>
    <w:rsid w:val="009F2324"/>
    <w:rsid w:val="009F4328"/>
    <w:rsid w:val="009F5856"/>
    <w:rsid w:val="009F6C3E"/>
    <w:rsid w:val="009F7154"/>
    <w:rsid w:val="009F7950"/>
    <w:rsid w:val="00A0305B"/>
    <w:rsid w:val="00A0323F"/>
    <w:rsid w:val="00A10503"/>
    <w:rsid w:val="00A12AEE"/>
    <w:rsid w:val="00A141C7"/>
    <w:rsid w:val="00A14D9F"/>
    <w:rsid w:val="00A153B9"/>
    <w:rsid w:val="00A15972"/>
    <w:rsid w:val="00A2072B"/>
    <w:rsid w:val="00A22E59"/>
    <w:rsid w:val="00A260CC"/>
    <w:rsid w:val="00A27D79"/>
    <w:rsid w:val="00A30276"/>
    <w:rsid w:val="00A32604"/>
    <w:rsid w:val="00A3622D"/>
    <w:rsid w:val="00A36AF4"/>
    <w:rsid w:val="00A36EB7"/>
    <w:rsid w:val="00A37BB3"/>
    <w:rsid w:val="00A4030C"/>
    <w:rsid w:val="00A405F7"/>
    <w:rsid w:val="00A408F0"/>
    <w:rsid w:val="00A443B9"/>
    <w:rsid w:val="00A446D3"/>
    <w:rsid w:val="00A4489E"/>
    <w:rsid w:val="00A4756E"/>
    <w:rsid w:val="00A47CE2"/>
    <w:rsid w:val="00A5232D"/>
    <w:rsid w:val="00A53C81"/>
    <w:rsid w:val="00A5799D"/>
    <w:rsid w:val="00A618CF"/>
    <w:rsid w:val="00A61D4D"/>
    <w:rsid w:val="00A63BA7"/>
    <w:rsid w:val="00A6492B"/>
    <w:rsid w:val="00A64A4D"/>
    <w:rsid w:val="00A7009C"/>
    <w:rsid w:val="00A722DB"/>
    <w:rsid w:val="00A72642"/>
    <w:rsid w:val="00A7599B"/>
    <w:rsid w:val="00A765CC"/>
    <w:rsid w:val="00A77571"/>
    <w:rsid w:val="00A80BBF"/>
    <w:rsid w:val="00A80F45"/>
    <w:rsid w:val="00A81458"/>
    <w:rsid w:val="00A81FC2"/>
    <w:rsid w:val="00A83D86"/>
    <w:rsid w:val="00A84911"/>
    <w:rsid w:val="00A86551"/>
    <w:rsid w:val="00A86F68"/>
    <w:rsid w:val="00A9053C"/>
    <w:rsid w:val="00A90618"/>
    <w:rsid w:val="00A926C4"/>
    <w:rsid w:val="00A94992"/>
    <w:rsid w:val="00A95893"/>
    <w:rsid w:val="00A95F61"/>
    <w:rsid w:val="00A962AD"/>
    <w:rsid w:val="00AA1BA3"/>
    <w:rsid w:val="00AA2E52"/>
    <w:rsid w:val="00AA3E1A"/>
    <w:rsid w:val="00AA521B"/>
    <w:rsid w:val="00AA7DCB"/>
    <w:rsid w:val="00AB2937"/>
    <w:rsid w:val="00AB66C5"/>
    <w:rsid w:val="00AC0571"/>
    <w:rsid w:val="00AC0FBC"/>
    <w:rsid w:val="00AC10A5"/>
    <w:rsid w:val="00AC1416"/>
    <w:rsid w:val="00AC2A7F"/>
    <w:rsid w:val="00AC2C89"/>
    <w:rsid w:val="00AC30A8"/>
    <w:rsid w:val="00AC6BD7"/>
    <w:rsid w:val="00AC7223"/>
    <w:rsid w:val="00AD252D"/>
    <w:rsid w:val="00AD3477"/>
    <w:rsid w:val="00AD3B6A"/>
    <w:rsid w:val="00AD4B5C"/>
    <w:rsid w:val="00AD5F8E"/>
    <w:rsid w:val="00AE2B8B"/>
    <w:rsid w:val="00AE32CD"/>
    <w:rsid w:val="00AE4E16"/>
    <w:rsid w:val="00AF37D3"/>
    <w:rsid w:val="00AF46DF"/>
    <w:rsid w:val="00AF52D5"/>
    <w:rsid w:val="00AF6564"/>
    <w:rsid w:val="00AF76CC"/>
    <w:rsid w:val="00B03675"/>
    <w:rsid w:val="00B04B28"/>
    <w:rsid w:val="00B06181"/>
    <w:rsid w:val="00B07212"/>
    <w:rsid w:val="00B07705"/>
    <w:rsid w:val="00B11F9F"/>
    <w:rsid w:val="00B13022"/>
    <w:rsid w:val="00B13DC1"/>
    <w:rsid w:val="00B1427B"/>
    <w:rsid w:val="00B15AC2"/>
    <w:rsid w:val="00B24967"/>
    <w:rsid w:val="00B255EF"/>
    <w:rsid w:val="00B301B3"/>
    <w:rsid w:val="00B3038E"/>
    <w:rsid w:val="00B31D23"/>
    <w:rsid w:val="00B33AA2"/>
    <w:rsid w:val="00B347C7"/>
    <w:rsid w:val="00B3521D"/>
    <w:rsid w:val="00B357A9"/>
    <w:rsid w:val="00B36C83"/>
    <w:rsid w:val="00B401C9"/>
    <w:rsid w:val="00B44F59"/>
    <w:rsid w:val="00B4536A"/>
    <w:rsid w:val="00B46FAF"/>
    <w:rsid w:val="00B536EC"/>
    <w:rsid w:val="00B53E60"/>
    <w:rsid w:val="00B54238"/>
    <w:rsid w:val="00B56CD7"/>
    <w:rsid w:val="00B61C5D"/>
    <w:rsid w:val="00B63F6B"/>
    <w:rsid w:val="00B7228B"/>
    <w:rsid w:val="00B753D1"/>
    <w:rsid w:val="00B76E7B"/>
    <w:rsid w:val="00B77F35"/>
    <w:rsid w:val="00B8330B"/>
    <w:rsid w:val="00B83690"/>
    <w:rsid w:val="00B836CC"/>
    <w:rsid w:val="00B876A9"/>
    <w:rsid w:val="00B91B76"/>
    <w:rsid w:val="00B91BB9"/>
    <w:rsid w:val="00B925F6"/>
    <w:rsid w:val="00B92A47"/>
    <w:rsid w:val="00B94E56"/>
    <w:rsid w:val="00B952AE"/>
    <w:rsid w:val="00B95A49"/>
    <w:rsid w:val="00B95E24"/>
    <w:rsid w:val="00B95FE5"/>
    <w:rsid w:val="00B9650A"/>
    <w:rsid w:val="00B96879"/>
    <w:rsid w:val="00BA50EE"/>
    <w:rsid w:val="00BA52FD"/>
    <w:rsid w:val="00BA6F80"/>
    <w:rsid w:val="00BB139A"/>
    <w:rsid w:val="00BB1437"/>
    <w:rsid w:val="00BB213A"/>
    <w:rsid w:val="00BB24C4"/>
    <w:rsid w:val="00BB3660"/>
    <w:rsid w:val="00BB4C48"/>
    <w:rsid w:val="00BB527F"/>
    <w:rsid w:val="00BC2AC0"/>
    <w:rsid w:val="00BC74B0"/>
    <w:rsid w:val="00BD0663"/>
    <w:rsid w:val="00BD27C1"/>
    <w:rsid w:val="00BD43B0"/>
    <w:rsid w:val="00BD454A"/>
    <w:rsid w:val="00BD5CC9"/>
    <w:rsid w:val="00BD6115"/>
    <w:rsid w:val="00BE0710"/>
    <w:rsid w:val="00BE0B34"/>
    <w:rsid w:val="00BE467F"/>
    <w:rsid w:val="00BE66C1"/>
    <w:rsid w:val="00BE6745"/>
    <w:rsid w:val="00BF05CD"/>
    <w:rsid w:val="00BF2A84"/>
    <w:rsid w:val="00BF31AD"/>
    <w:rsid w:val="00BF3DEB"/>
    <w:rsid w:val="00BF6BDF"/>
    <w:rsid w:val="00BF7CD4"/>
    <w:rsid w:val="00C007AE"/>
    <w:rsid w:val="00C00B45"/>
    <w:rsid w:val="00C020F5"/>
    <w:rsid w:val="00C04EA0"/>
    <w:rsid w:val="00C102A0"/>
    <w:rsid w:val="00C11924"/>
    <w:rsid w:val="00C11C9B"/>
    <w:rsid w:val="00C13F1A"/>
    <w:rsid w:val="00C14DDC"/>
    <w:rsid w:val="00C16B9F"/>
    <w:rsid w:val="00C177E5"/>
    <w:rsid w:val="00C21032"/>
    <w:rsid w:val="00C240CC"/>
    <w:rsid w:val="00C24126"/>
    <w:rsid w:val="00C2575D"/>
    <w:rsid w:val="00C26055"/>
    <w:rsid w:val="00C307BF"/>
    <w:rsid w:val="00C30BD1"/>
    <w:rsid w:val="00C3637D"/>
    <w:rsid w:val="00C36E93"/>
    <w:rsid w:val="00C37078"/>
    <w:rsid w:val="00C4067B"/>
    <w:rsid w:val="00C44966"/>
    <w:rsid w:val="00C454FA"/>
    <w:rsid w:val="00C47EDF"/>
    <w:rsid w:val="00C51BE6"/>
    <w:rsid w:val="00C51D74"/>
    <w:rsid w:val="00C6026A"/>
    <w:rsid w:val="00C64838"/>
    <w:rsid w:val="00C65074"/>
    <w:rsid w:val="00C66640"/>
    <w:rsid w:val="00C666C7"/>
    <w:rsid w:val="00C673BA"/>
    <w:rsid w:val="00C67940"/>
    <w:rsid w:val="00C700C1"/>
    <w:rsid w:val="00C7044E"/>
    <w:rsid w:val="00C713AA"/>
    <w:rsid w:val="00C71A68"/>
    <w:rsid w:val="00C71DEC"/>
    <w:rsid w:val="00C7304D"/>
    <w:rsid w:val="00C7413A"/>
    <w:rsid w:val="00C75292"/>
    <w:rsid w:val="00C75B63"/>
    <w:rsid w:val="00C76712"/>
    <w:rsid w:val="00C82359"/>
    <w:rsid w:val="00C8240C"/>
    <w:rsid w:val="00C83B73"/>
    <w:rsid w:val="00C84B93"/>
    <w:rsid w:val="00C84D72"/>
    <w:rsid w:val="00C9020B"/>
    <w:rsid w:val="00C90849"/>
    <w:rsid w:val="00C95B83"/>
    <w:rsid w:val="00C960A7"/>
    <w:rsid w:val="00C96AA8"/>
    <w:rsid w:val="00C97EDE"/>
    <w:rsid w:val="00CA03FD"/>
    <w:rsid w:val="00CA07CD"/>
    <w:rsid w:val="00CA2FC5"/>
    <w:rsid w:val="00CA44A4"/>
    <w:rsid w:val="00CA71DA"/>
    <w:rsid w:val="00CA79AA"/>
    <w:rsid w:val="00CA7ADB"/>
    <w:rsid w:val="00CB2FC7"/>
    <w:rsid w:val="00CB4D61"/>
    <w:rsid w:val="00CB6B44"/>
    <w:rsid w:val="00CB7145"/>
    <w:rsid w:val="00CB7AEA"/>
    <w:rsid w:val="00CC12CB"/>
    <w:rsid w:val="00CC1C1A"/>
    <w:rsid w:val="00CC5409"/>
    <w:rsid w:val="00CC57FE"/>
    <w:rsid w:val="00CC59B0"/>
    <w:rsid w:val="00CD1AD6"/>
    <w:rsid w:val="00CD24C9"/>
    <w:rsid w:val="00CD6C60"/>
    <w:rsid w:val="00CE25D0"/>
    <w:rsid w:val="00CE5667"/>
    <w:rsid w:val="00CE6260"/>
    <w:rsid w:val="00CF05CF"/>
    <w:rsid w:val="00CF1FE2"/>
    <w:rsid w:val="00CF23D7"/>
    <w:rsid w:val="00CF3375"/>
    <w:rsid w:val="00CF6259"/>
    <w:rsid w:val="00CF6CBA"/>
    <w:rsid w:val="00D0069D"/>
    <w:rsid w:val="00D01CCE"/>
    <w:rsid w:val="00D058AD"/>
    <w:rsid w:val="00D05C38"/>
    <w:rsid w:val="00D10D2A"/>
    <w:rsid w:val="00D2235E"/>
    <w:rsid w:val="00D22DC5"/>
    <w:rsid w:val="00D2353D"/>
    <w:rsid w:val="00D238A7"/>
    <w:rsid w:val="00D23CFF"/>
    <w:rsid w:val="00D24235"/>
    <w:rsid w:val="00D242BD"/>
    <w:rsid w:val="00D267CD"/>
    <w:rsid w:val="00D3048F"/>
    <w:rsid w:val="00D3147E"/>
    <w:rsid w:val="00D31EBC"/>
    <w:rsid w:val="00D3419F"/>
    <w:rsid w:val="00D373D9"/>
    <w:rsid w:val="00D40512"/>
    <w:rsid w:val="00D40C3E"/>
    <w:rsid w:val="00D415A4"/>
    <w:rsid w:val="00D41EC5"/>
    <w:rsid w:val="00D43B8B"/>
    <w:rsid w:val="00D43EAD"/>
    <w:rsid w:val="00D441F1"/>
    <w:rsid w:val="00D45808"/>
    <w:rsid w:val="00D53253"/>
    <w:rsid w:val="00D549B5"/>
    <w:rsid w:val="00D56E44"/>
    <w:rsid w:val="00D5755D"/>
    <w:rsid w:val="00D6047A"/>
    <w:rsid w:val="00D64544"/>
    <w:rsid w:val="00D724A0"/>
    <w:rsid w:val="00D767FA"/>
    <w:rsid w:val="00D777FC"/>
    <w:rsid w:val="00D81A4E"/>
    <w:rsid w:val="00D82DD9"/>
    <w:rsid w:val="00D83937"/>
    <w:rsid w:val="00D83C49"/>
    <w:rsid w:val="00D85555"/>
    <w:rsid w:val="00D8562E"/>
    <w:rsid w:val="00D85676"/>
    <w:rsid w:val="00D85FD4"/>
    <w:rsid w:val="00D92670"/>
    <w:rsid w:val="00D96247"/>
    <w:rsid w:val="00D965BA"/>
    <w:rsid w:val="00D9725C"/>
    <w:rsid w:val="00DA03DA"/>
    <w:rsid w:val="00DA2ED3"/>
    <w:rsid w:val="00DA3397"/>
    <w:rsid w:val="00DA4283"/>
    <w:rsid w:val="00DA624C"/>
    <w:rsid w:val="00DA6C87"/>
    <w:rsid w:val="00DA7B35"/>
    <w:rsid w:val="00DA7F42"/>
    <w:rsid w:val="00DB01D8"/>
    <w:rsid w:val="00DB19BE"/>
    <w:rsid w:val="00DB452E"/>
    <w:rsid w:val="00DB5357"/>
    <w:rsid w:val="00DB5442"/>
    <w:rsid w:val="00DB5921"/>
    <w:rsid w:val="00DB5C56"/>
    <w:rsid w:val="00DB663A"/>
    <w:rsid w:val="00DB71C5"/>
    <w:rsid w:val="00DC207C"/>
    <w:rsid w:val="00DC2136"/>
    <w:rsid w:val="00DC3765"/>
    <w:rsid w:val="00DC3A04"/>
    <w:rsid w:val="00DC77BD"/>
    <w:rsid w:val="00DC7FCA"/>
    <w:rsid w:val="00DD116F"/>
    <w:rsid w:val="00DD136D"/>
    <w:rsid w:val="00DD257B"/>
    <w:rsid w:val="00DD2B2B"/>
    <w:rsid w:val="00DD7AB4"/>
    <w:rsid w:val="00DE7103"/>
    <w:rsid w:val="00DF0AF2"/>
    <w:rsid w:val="00DF153B"/>
    <w:rsid w:val="00DF1802"/>
    <w:rsid w:val="00DF1F36"/>
    <w:rsid w:val="00DF349A"/>
    <w:rsid w:val="00DF3DFB"/>
    <w:rsid w:val="00DF516D"/>
    <w:rsid w:val="00DF7554"/>
    <w:rsid w:val="00DF7EB9"/>
    <w:rsid w:val="00E0546D"/>
    <w:rsid w:val="00E109BD"/>
    <w:rsid w:val="00E119C4"/>
    <w:rsid w:val="00E139C9"/>
    <w:rsid w:val="00E13AC0"/>
    <w:rsid w:val="00E14858"/>
    <w:rsid w:val="00E14F6D"/>
    <w:rsid w:val="00E150FE"/>
    <w:rsid w:val="00E17553"/>
    <w:rsid w:val="00E20B96"/>
    <w:rsid w:val="00E21157"/>
    <w:rsid w:val="00E216D6"/>
    <w:rsid w:val="00E225FA"/>
    <w:rsid w:val="00E2642F"/>
    <w:rsid w:val="00E26CCC"/>
    <w:rsid w:val="00E3158A"/>
    <w:rsid w:val="00E32595"/>
    <w:rsid w:val="00E33633"/>
    <w:rsid w:val="00E4141A"/>
    <w:rsid w:val="00E4273B"/>
    <w:rsid w:val="00E45CA4"/>
    <w:rsid w:val="00E46C13"/>
    <w:rsid w:val="00E51A57"/>
    <w:rsid w:val="00E54449"/>
    <w:rsid w:val="00E55441"/>
    <w:rsid w:val="00E56143"/>
    <w:rsid w:val="00E565EE"/>
    <w:rsid w:val="00E572E3"/>
    <w:rsid w:val="00E57A9B"/>
    <w:rsid w:val="00E607FC"/>
    <w:rsid w:val="00E623B2"/>
    <w:rsid w:val="00E65E91"/>
    <w:rsid w:val="00E661EF"/>
    <w:rsid w:val="00E669C8"/>
    <w:rsid w:val="00E67353"/>
    <w:rsid w:val="00E71314"/>
    <w:rsid w:val="00E741C8"/>
    <w:rsid w:val="00E772FC"/>
    <w:rsid w:val="00E77D3C"/>
    <w:rsid w:val="00E77F8B"/>
    <w:rsid w:val="00E81159"/>
    <w:rsid w:val="00E81A4A"/>
    <w:rsid w:val="00E83006"/>
    <w:rsid w:val="00E854AD"/>
    <w:rsid w:val="00E85766"/>
    <w:rsid w:val="00E900C4"/>
    <w:rsid w:val="00E90298"/>
    <w:rsid w:val="00E90319"/>
    <w:rsid w:val="00E90748"/>
    <w:rsid w:val="00E91CB2"/>
    <w:rsid w:val="00E94349"/>
    <w:rsid w:val="00E96A1C"/>
    <w:rsid w:val="00E972AE"/>
    <w:rsid w:val="00EA021D"/>
    <w:rsid w:val="00EA5B9D"/>
    <w:rsid w:val="00EA5F83"/>
    <w:rsid w:val="00EA74C8"/>
    <w:rsid w:val="00EB265C"/>
    <w:rsid w:val="00EB450C"/>
    <w:rsid w:val="00EB4DBD"/>
    <w:rsid w:val="00EB5FEB"/>
    <w:rsid w:val="00EB7897"/>
    <w:rsid w:val="00EC014C"/>
    <w:rsid w:val="00EC12E8"/>
    <w:rsid w:val="00EC1FAB"/>
    <w:rsid w:val="00ED1987"/>
    <w:rsid w:val="00ED2EBF"/>
    <w:rsid w:val="00ED3D5D"/>
    <w:rsid w:val="00ED5BCA"/>
    <w:rsid w:val="00EE0EC9"/>
    <w:rsid w:val="00EE1203"/>
    <w:rsid w:val="00EE3DB5"/>
    <w:rsid w:val="00EE6C8F"/>
    <w:rsid w:val="00EF15B4"/>
    <w:rsid w:val="00EF4CB0"/>
    <w:rsid w:val="00EF5F01"/>
    <w:rsid w:val="00EF6187"/>
    <w:rsid w:val="00F00685"/>
    <w:rsid w:val="00F00DBB"/>
    <w:rsid w:val="00F01B54"/>
    <w:rsid w:val="00F10862"/>
    <w:rsid w:val="00F110F0"/>
    <w:rsid w:val="00F12154"/>
    <w:rsid w:val="00F125EB"/>
    <w:rsid w:val="00F1278B"/>
    <w:rsid w:val="00F12FA1"/>
    <w:rsid w:val="00F15692"/>
    <w:rsid w:val="00F231D6"/>
    <w:rsid w:val="00F23B37"/>
    <w:rsid w:val="00F256C6"/>
    <w:rsid w:val="00F25E31"/>
    <w:rsid w:val="00F26190"/>
    <w:rsid w:val="00F27AF0"/>
    <w:rsid w:val="00F30425"/>
    <w:rsid w:val="00F335CA"/>
    <w:rsid w:val="00F34545"/>
    <w:rsid w:val="00F35B91"/>
    <w:rsid w:val="00F35DE7"/>
    <w:rsid w:val="00F378CB"/>
    <w:rsid w:val="00F41387"/>
    <w:rsid w:val="00F415BE"/>
    <w:rsid w:val="00F42E7B"/>
    <w:rsid w:val="00F44532"/>
    <w:rsid w:val="00F4501E"/>
    <w:rsid w:val="00F508CD"/>
    <w:rsid w:val="00F52B07"/>
    <w:rsid w:val="00F54A71"/>
    <w:rsid w:val="00F60E5D"/>
    <w:rsid w:val="00F6110A"/>
    <w:rsid w:val="00F640E1"/>
    <w:rsid w:val="00F64449"/>
    <w:rsid w:val="00F64815"/>
    <w:rsid w:val="00F704FD"/>
    <w:rsid w:val="00F71252"/>
    <w:rsid w:val="00F71B8F"/>
    <w:rsid w:val="00F7270A"/>
    <w:rsid w:val="00F76A9D"/>
    <w:rsid w:val="00F83F3C"/>
    <w:rsid w:val="00F844FB"/>
    <w:rsid w:val="00F85181"/>
    <w:rsid w:val="00F87807"/>
    <w:rsid w:val="00F91924"/>
    <w:rsid w:val="00F92A37"/>
    <w:rsid w:val="00F95066"/>
    <w:rsid w:val="00FA152C"/>
    <w:rsid w:val="00FA2886"/>
    <w:rsid w:val="00FA4774"/>
    <w:rsid w:val="00FA5036"/>
    <w:rsid w:val="00FA5326"/>
    <w:rsid w:val="00FA6F48"/>
    <w:rsid w:val="00FA7D72"/>
    <w:rsid w:val="00FB0160"/>
    <w:rsid w:val="00FB0BE9"/>
    <w:rsid w:val="00FC12BE"/>
    <w:rsid w:val="00FC23BF"/>
    <w:rsid w:val="00FC49E6"/>
    <w:rsid w:val="00FD0EDF"/>
    <w:rsid w:val="00FD3130"/>
    <w:rsid w:val="00FD53D2"/>
    <w:rsid w:val="00FD6C32"/>
    <w:rsid w:val="00FD7394"/>
    <w:rsid w:val="00FD7D7E"/>
    <w:rsid w:val="00FE07F6"/>
    <w:rsid w:val="00FE209B"/>
    <w:rsid w:val="00FE2FDA"/>
    <w:rsid w:val="00FE7513"/>
    <w:rsid w:val="00FF01C4"/>
    <w:rsid w:val="00FF0EDF"/>
    <w:rsid w:val="00FF4763"/>
    <w:rsid w:val="00FF493E"/>
    <w:rsid w:val="00FF4AF2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1E01"/>
  <w15:chartTrackingRefBased/>
  <w15:docId w15:val="{1E95B631-4425-4DC2-895C-F6766BE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E"/>
  </w:style>
  <w:style w:type="paragraph" w:styleId="Footer">
    <w:name w:val="footer"/>
    <w:basedOn w:val="Normal"/>
    <w:link w:val="Foot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187-4D48-4980-AF9F-7805B845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Kristin (SPC)</dc:creator>
  <cp:keywords/>
  <dc:description/>
  <cp:lastModifiedBy>Cook, Kristin (SPC)</cp:lastModifiedBy>
  <cp:revision>104</cp:revision>
  <dcterms:created xsi:type="dcterms:W3CDTF">2025-12-08T18:38:00Z</dcterms:created>
  <dcterms:modified xsi:type="dcterms:W3CDTF">2026-01-23T17:29:00Z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2025-02-24T17:29:16Z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1b50d964-291c-4e9f-a23b-8baf8ad65ef5</vt:lpwstr>
  </property>
  <property fmtid="{D5CDD505-2E9C-101B-9397-08002B2CF9AE}" pid="8" name="MSIP_Label_ed3826ce-7c18-471d-9596-93de5bae332e_ContentBits">
    <vt:lpwstr>0</vt:lpwstr>
  </property>
</Properties>
</file>