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60"/>
        <w:gridCol w:w="1440"/>
        <w:gridCol w:w="6120"/>
      </w:tblGrid>
      <w:tr w:rsidR="00152993" w14:paraId="2CB0F138" w14:textId="77777777"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18DABC5" w14:textId="77777777" w:rsidR="00152993" w:rsidRDefault="00D825C5" w:rsidP="0001014F">
            <w:pPr>
              <w:pStyle w:val="Header"/>
              <w:rPr>
                <w:rFonts w:ascii="Verdana" w:hAnsi="Verdana"/>
                <w:sz w:val="22"/>
              </w:rPr>
            </w:pPr>
            <w:r>
              <w:t>NOG</w:t>
            </w:r>
            <w:r w:rsidR="00C158EE">
              <w:t xml:space="preserve">RR </w:t>
            </w:r>
            <w:r w:rsidR="00152993">
              <w:t>Number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303836D" w14:textId="0891F1E5" w:rsidR="00152993" w:rsidRDefault="00C85731" w:rsidP="0001014F">
            <w:pPr>
              <w:pStyle w:val="Header"/>
            </w:pPr>
            <w:hyperlink r:id="rId7" w:history="1">
              <w:r w:rsidR="00901786" w:rsidRPr="00C85731">
                <w:rPr>
                  <w:rStyle w:val="Hyperlink"/>
                </w:rPr>
                <w:t>282</w:t>
              </w:r>
            </w:hyperlink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8D5C4C9" w14:textId="77777777" w:rsidR="00152993" w:rsidRDefault="00D825C5" w:rsidP="0001014F">
            <w:pPr>
              <w:pStyle w:val="Header"/>
            </w:pPr>
            <w:r>
              <w:t>NOG</w:t>
            </w:r>
            <w:r w:rsidR="00C158EE">
              <w:t xml:space="preserve">RR </w:t>
            </w:r>
            <w:r w:rsidR="00152993">
              <w:t>Title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14:paraId="1BEB4B35" w14:textId="475482AC" w:rsidR="00152993" w:rsidRDefault="00C85731" w:rsidP="0001014F">
            <w:pPr>
              <w:pStyle w:val="Header"/>
            </w:pPr>
            <w:r w:rsidRPr="00C85731">
              <w:t>Board Priority - Large Electronic Load Ride-Through Requirements</w:t>
            </w:r>
          </w:p>
        </w:tc>
      </w:tr>
    </w:tbl>
    <w:p w14:paraId="1B22B754" w14:textId="77777777" w:rsidR="002771E6" w:rsidRDefault="002771E6" w:rsidP="0001014F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560"/>
      </w:tblGrid>
      <w:tr w:rsidR="00152993" w14:paraId="505D2849" w14:textId="77777777" w:rsidTr="7AFE8BAC">
        <w:trPr>
          <w:trHeight w:val="44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52AC0" w14:textId="77777777" w:rsidR="00152993" w:rsidRDefault="00152993" w:rsidP="0001014F">
            <w:pPr>
              <w:pStyle w:val="Header"/>
            </w:pPr>
            <w:r>
              <w:t>Date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E5C9" w14:textId="1901DBA6" w:rsidR="00152993" w:rsidRDefault="5E477C33" w:rsidP="0001014F">
            <w:pPr>
              <w:pStyle w:val="NormalArial"/>
            </w:pPr>
            <w:r>
              <w:t>January 2</w:t>
            </w:r>
            <w:r w:rsidR="004E7A17">
              <w:t>3</w:t>
            </w:r>
            <w:r>
              <w:t>, 2026</w:t>
            </w:r>
          </w:p>
        </w:tc>
      </w:tr>
    </w:tbl>
    <w:p w14:paraId="20DF5150" w14:textId="77777777" w:rsidR="002771E6" w:rsidRDefault="002771E6" w:rsidP="0001014F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560"/>
      </w:tblGrid>
      <w:tr w:rsidR="00152993" w14:paraId="7689548E" w14:textId="77777777" w:rsidTr="7AFE8BAC">
        <w:trPr>
          <w:trHeight w:val="440"/>
        </w:trPr>
        <w:tc>
          <w:tcPr>
            <w:tcW w:w="1044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C458A4" w14:textId="77777777" w:rsidR="00152993" w:rsidRDefault="00152993" w:rsidP="0001014F">
            <w:pPr>
              <w:pStyle w:val="Header"/>
              <w:jc w:val="center"/>
            </w:pPr>
            <w:r>
              <w:t>Submitter’s Information</w:t>
            </w:r>
          </w:p>
        </w:tc>
      </w:tr>
      <w:tr w:rsidR="00152993" w14:paraId="333930F0" w14:textId="77777777" w:rsidTr="7AFE8BAC">
        <w:trPr>
          <w:trHeight w:val="350"/>
        </w:trPr>
        <w:tc>
          <w:tcPr>
            <w:tcW w:w="2880" w:type="dxa"/>
            <w:shd w:val="clear" w:color="auto" w:fill="FFFFFF" w:themeFill="background1"/>
            <w:vAlign w:val="center"/>
          </w:tcPr>
          <w:p w14:paraId="0D7DC8A5" w14:textId="77777777" w:rsidR="00152993" w:rsidRPr="00EC55B3" w:rsidRDefault="00152993" w:rsidP="0001014F">
            <w:pPr>
              <w:pStyle w:val="Header"/>
            </w:pPr>
            <w:r w:rsidRPr="00EC55B3">
              <w:t>Name</w:t>
            </w:r>
          </w:p>
        </w:tc>
        <w:tc>
          <w:tcPr>
            <w:tcW w:w="7560" w:type="dxa"/>
            <w:vAlign w:val="center"/>
          </w:tcPr>
          <w:p w14:paraId="2D871B90" w14:textId="262D010A" w:rsidR="00152993" w:rsidRDefault="08247F36" w:rsidP="0001014F">
            <w:pPr>
              <w:pStyle w:val="NormalArial"/>
            </w:pPr>
            <w:r>
              <w:t>Diego Pepe</w:t>
            </w:r>
          </w:p>
        </w:tc>
      </w:tr>
      <w:tr w:rsidR="00152993" w14:paraId="2F9FD450" w14:textId="77777777" w:rsidTr="7AFE8BAC">
        <w:trPr>
          <w:trHeight w:val="350"/>
        </w:trPr>
        <w:tc>
          <w:tcPr>
            <w:tcW w:w="2880" w:type="dxa"/>
            <w:shd w:val="clear" w:color="auto" w:fill="FFFFFF" w:themeFill="background1"/>
            <w:vAlign w:val="center"/>
          </w:tcPr>
          <w:p w14:paraId="341747EC" w14:textId="77777777" w:rsidR="00152993" w:rsidRPr="00EC55B3" w:rsidRDefault="00152993" w:rsidP="0001014F">
            <w:pPr>
              <w:pStyle w:val="Header"/>
            </w:pPr>
            <w:r w:rsidRPr="00EC55B3">
              <w:t>E-mail Address</w:t>
            </w:r>
          </w:p>
        </w:tc>
        <w:tc>
          <w:tcPr>
            <w:tcW w:w="7560" w:type="dxa"/>
            <w:vAlign w:val="center"/>
          </w:tcPr>
          <w:p w14:paraId="7C2EEF50" w14:textId="2A72AEEB" w:rsidR="00152993" w:rsidRDefault="00C85731" w:rsidP="0001014F">
            <w:pPr>
              <w:pStyle w:val="NormalArial"/>
            </w:pPr>
            <w:hyperlink r:id="rId8" w:history="1">
              <w:r w:rsidRPr="00CE45F1">
                <w:rPr>
                  <w:rStyle w:val="Hyperlink"/>
                </w:rPr>
                <w:t>Diego.Pepe@onwardenergy.com</w:t>
              </w:r>
            </w:hyperlink>
          </w:p>
        </w:tc>
      </w:tr>
      <w:tr w:rsidR="00152993" w14:paraId="176CC1C5" w14:textId="77777777" w:rsidTr="7AFE8BAC">
        <w:trPr>
          <w:trHeight w:val="350"/>
        </w:trPr>
        <w:tc>
          <w:tcPr>
            <w:tcW w:w="2880" w:type="dxa"/>
            <w:shd w:val="clear" w:color="auto" w:fill="FFFFFF" w:themeFill="background1"/>
            <w:vAlign w:val="center"/>
          </w:tcPr>
          <w:p w14:paraId="21A0CB78" w14:textId="77777777" w:rsidR="00152993" w:rsidRPr="00EC55B3" w:rsidRDefault="00152993" w:rsidP="0001014F">
            <w:pPr>
              <w:pStyle w:val="Header"/>
            </w:pPr>
            <w:r w:rsidRPr="00EC55B3">
              <w:t>Company</w:t>
            </w:r>
          </w:p>
        </w:tc>
        <w:tc>
          <w:tcPr>
            <w:tcW w:w="7560" w:type="dxa"/>
            <w:vAlign w:val="center"/>
          </w:tcPr>
          <w:p w14:paraId="30AA7C3B" w14:textId="3ABF1DFB" w:rsidR="00152993" w:rsidRDefault="1D23C0C2" w:rsidP="0001014F">
            <w:pPr>
              <w:pStyle w:val="NormalArial"/>
            </w:pPr>
            <w:r>
              <w:t>Onward Energy</w:t>
            </w:r>
          </w:p>
        </w:tc>
      </w:tr>
      <w:tr w:rsidR="00152993" w14:paraId="4DC06A22" w14:textId="77777777" w:rsidTr="7AFE8BAC">
        <w:trPr>
          <w:trHeight w:val="350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527058" w14:textId="77777777" w:rsidR="00152993" w:rsidRPr="00EC55B3" w:rsidRDefault="00152993" w:rsidP="0001014F">
            <w:pPr>
              <w:pStyle w:val="Header"/>
            </w:pPr>
            <w:r w:rsidRPr="00EC55B3">
              <w:t>Phone Number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6FACA846" w14:textId="15BCF697" w:rsidR="00152993" w:rsidRDefault="74431EF7" w:rsidP="0001014F">
            <w:pPr>
              <w:pStyle w:val="NormalArial"/>
            </w:pPr>
            <w:r>
              <w:t>720</w:t>
            </w:r>
            <w:r w:rsidR="00C85731">
              <w:t>-</w:t>
            </w:r>
            <w:r>
              <w:t>547-9724</w:t>
            </w:r>
          </w:p>
        </w:tc>
      </w:tr>
      <w:tr w:rsidR="00152993" w14:paraId="45756D59" w14:textId="77777777" w:rsidTr="7AFE8BAC">
        <w:trPr>
          <w:trHeight w:val="350"/>
        </w:trPr>
        <w:tc>
          <w:tcPr>
            <w:tcW w:w="2880" w:type="dxa"/>
            <w:shd w:val="clear" w:color="auto" w:fill="FFFFFF" w:themeFill="background1"/>
            <w:vAlign w:val="center"/>
          </w:tcPr>
          <w:p w14:paraId="69B478FC" w14:textId="77777777" w:rsidR="00152993" w:rsidRPr="00EC55B3" w:rsidRDefault="00075A94" w:rsidP="0001014F">
            <w:pPr>
              <w:pStyle w:val="Header"/>
            </w:pPr>
            <w:r>
              <w:t>Cell</w:t>
            </w:r>
            <w:r w:rsidRPr="00EC55B3">
              <w:t xml:space="preserve"> </w:t>
            </w:r>
            <w:r w:rsidR="00152993" w:rsidRPr="00EC55B3">
              <w:t>Number</w:t>
            </w:r>
          </w:p>
        </w:tc>
        <w:tc>
          <w:tcPr>
            <w:tcW w:w="7560" w:type="dxa"/>
            <w:vAlign w:val="center"/>
          </w:tcPr>
          <w:p w14:paraId="4B924532" w14:textId="77777777" w:rsidR="00152993" w:rsidRDefault="00152993" w:rsidP="0001014F">
            <w:pPr>
              <w:pStyle w:val="NormalArial"/>
            </w:pPr>
          </w:p>
        </w:tc>
      </w:tr>
      <w:tr w:rsidR="00075A94" w14:paraId="429E3C61" w14:textId="77777777" w:rsidTr="7AFE8BAC">
        <w:trPr>
          <w:trHeight w:val="350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F0D589" w14:textId="77777777" w:rsidR="00075A94" w:rsidRPr="00EC55B3" w:rsidDel="00075A94" w:rsidRDefault="00075A94" w:rsidP="0001014F">
            <w:pPr>
              <w:pStyle w:val="Header"/>
            </w:pPr>
            <w:r>
              <w:t>Market Segment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663CB951" w14:textId="24242C9F" w:rsidR="00075A94" w:rsidRDefault="0001014F" w:rsidP="0001014F">
            <w:pPr>
              <w:pStyle w:val="NormalArial"/>
            </w:pPr>
            <w:r>
              <w:t>Not applicable</w:t>
            </w:r>
          </w:p>
        </w:tc>
      </w:tr>
    </w:tbl>
    <w:p w14:paraId="6B040F80" w14:textId="77777777" w:rsidR="00075A94" w:rsidRDefault="00075A94" w:rsidP="0001014F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01014F" w14:paraId="4E076C5C" w14:textId="77777777" w:rsidTr="00023F99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22C7168" w14:textId="0D8C2306" w:rsidR="0001014F" w:rsidRDefault="0001014F" w:rsidP="00023F99">
            <w:pPr>
              <w:pStyle w:val="Header"/>
              <w:jc w:val="center"/>
            </w:pPr>
            <w:r>
              <w:t>Comments</w:t>
            </w:r>
          </w:p>
        </w:tc>
      </w:tr>
    </w:tbl>
    <w:p w14:paraId="59A8EFC7" w14:textId="416778D7" w:rsidR="00E07B54" w:rsidRDefault="00901786" w:rsidP="0001014F">
      <w:pPr>
        <w:pStyle w:val="NormalArial"/>
        <w:spacing w:before="120" w:after="120"/>
      </w:pPr>
      <w:r>
        <w:t xml:space="preserve">Onward </w:t>
      </w:r>
      <w:r w:rsidR="006A33E6">
        <w:t>Energy submits these comments to Nodal Operating Guide Revision Request (NOGRR) 282</w:t>
      </w:r>
      <w:r w:rsidR="003A1425">
        <w:t xml:space="preserve"> to clarify treatment of Large Electronic Loads (LELs) co</w:t>
      </w:r>
      <w:r w:rsidR="1F9C97A8">
        <w:t>-</w:t>
      </w:r>
      <w:r w:rsidR="003A1425">
        <w:t xml:space="preserve">located with </w:t>
      </w:r>
      <w:r w:rsidR="0001014F">
        <w:t>G</w:t>
      </w:r>
      <w:r w:rsidR="003A1425">
        <w:t xml:space="preserve">eneration </w:t>
      </w:r>
      <w:r w:rsidR="0001014F">
        <w:t>R</w:t>
      </w:r>
      <w:r w:rsidR="003A1425">
        <w:t>esources in a net metering arrangement.</w:t>
      </w:r>
      <w:r w:rsidR="006A33E6">
        <w:t xml:space="preserve"> </w:t>
      </w:r>
    </w:p>
    <w:p w14:paraId="7F1C49D2" w14:textId="1EBA1596" w:rsidR="006A33E6" w:rsidRDefault="006A33E6" w:rsidP="0001014F">
      <w:pPr>
        <w:pStyle w:val="NormalArial"/>
        <w:spacing w:before="120" w:after="120"/>
      </w:pPr>
      <w:r>
        <w:t xml:space="preserve">The current version of NOGRR282 establishes voltage and frequency ride-through requirements for LELs; however, it does not address how ride-through failures will be evaluated at facilities where a LEL is co-located with a </w:t>
      </w:r>
      <w:r w:rsidR="0001014F">
        <w:t>G</w:t>
      </w:r>
      <w:r>
        <w:t xml:space="preserve">eneration </w:t>
      </w:r>
      <w:r w:rsidR="0001014F">
        <w:t>R</w:t>
      </w:r>
      <w:r>
        <w:t xml:space="preserve">esource. </w:t>
      </w:r>
    </w:p>
    <w:p w14:paraId="0D396366" w14:textId="1D69BA9C" w:rsidR="006A33E6" w:rsidRDefault="006A33E6" w:rsidP="0001014F">
      <w:pPr>
        <w:pStyle w:val="NormalArial"/>
        <w:spacing w:before="120" w:after="120"/>
      </w:pPr>
      <w:r>
        <w:t xml:space="preserve">The proposed </w:t>
      </w:r>
      <w:r w:rsidR="17231501">
        <w:t xml:space="preserve">NOGRR282 </w:t>
      </w:r>
      <w:r>
        <w:t xml:space="preserve">language does not clarify </w:t>
      </w:r>
      <w:r w:rsidR="1994B180">
        <w:t>whether the NOGRR245</w:t>
      </w:r>
      <w:r w:rsidR="0001014F">
        <w:t xml:space="preserve">, </w:t>
      </w:r>
      <w:r w:rsidR="0001014F" w:rsidRPr="0001014F">
        <w:t>Inverter-Based Resource (IBR) Ride-Through Requirements</w:t>
      </w:r>
      <w:r w:rsidR="0001014F">
        <w:t>,</w:t>
      </w:r>
      <w:r w:rsidR="1994B180">
        <w:t xml:space="preserve"> or NOGRR282 </w:t>
      </w:r>
      <w:r w:rsidR="006B70A7">
        <w:t>ride-through</w:t>
      </w:r>
      <w:r>
        <w:t xml:space="preserve"> requirements</w:t>
      </w:r>
      <w:r w:rsidR="00FC624A">
        <w:t xml:space="preserve"> apply at the Point of Interconnection (POI) in the event of a disturbance</w:t>
      </w:r>
      <w:r w:rsidR="751C2782">
        <w:t>.</w:t>
      </w:r>
      <w:r w:rsidR="0001014F">
        <w:t xml:space="preserve">  </w:t>
      </w:r>
      <w:r w:rsidR="751C2782">
        <w:t xml:space="preserve">Also, the proposed </w:t>
      </w:r>
      <w:r w:rsidR="22A81AD3">
        <w:t>language</w:t>
      </w:r>
      <w:r w:rsidR="00FC624A">
        <w:t xml:space="preserve"> </w:t>
      </w:r>
      <w:r w:rsidR="006B70A7">
        <w:t>does</w:t>
      </w:r>
      <w:r w:rsidR="00FC624A">
        <w:t xml:space="preserve"> not specify how ERCOT intends to determine responsibility when a ride-through failure occurs at a co-located facility</w:t>
      </w:r>
      <w:r w:rsidR="00B65EEE">
        <w:t xml:space="preserve"> where the generator and LEL are connected in parallel to the grid at the POI</w:t>
      </w:r>
      <w:r w:rsidR="00FC624A">
        <w:t xml:space="preserve">. </w:t>
      </w:r>
      <w:r w:rsidR="0001014F">
        <w:t xml:space="preserve"> </w:t>
      </w:r>
      <w:r w:rsidR="00FC624A">
        <w:t xml:space="preserve">Without clarification, it is unclear whether compliance would be evaluated under the generation ride-through requirements of NOGRR245, the LEL ride-through requirements proposed under NOGRR282, or a combination of both. </w:t>
      </w:r>
    </w:p>
    <w:p w14:paraId="48F937AA" w14:textId="08B3B4FF" w:rsidR="00FC624A" w:rsidRDefault="003A1425" w:rsidP="0001014F">
      <w:pPr>
        <w:pStyle w:val="NormalArial"/>
        <w:spacing w:before="120" w:after="120"/>
      </w:pPr>
      <w:r>
        <w:t xml:space="preserve">Onward Energy requests </w:t>
      </w:r>
      <w:r w:rsidR="41962564">
        <w:t>that the final NOGRR clarify</w:t>
      </w:r>
      <w:r w:rsidR="006B70A7">
        <w:t>:</w:t>
      </w:r>
    </w:p>
    <w:p w14:paraId="39ED4EB1" w14:textId="40BA7610" w:rsidR="00424B1F" w:rsidRDefault="006B70A7" w:rsidP="0001014F">
      <w:pPr>
        <w:pStyle w:val="NormalArial"/>
        <w:numPr>
          <w:ilvl w:val="0"/>
          <w:numId w:val="5"/>
        </w:numPr>
        <w:spacing w:before="120" w:after="120" w:line="259" w:lineRule="auto"/>
      </w:pPr>
      <w:r>
        <w:t xml:space="preserve">Which ride-through standards </w:t>
      </w:r>
      <w:r w:rsidR="003A1425">
        <w:t xml:space="preserve">will the </w:t>
      </w:r>
      <w:r w:rsidR="0001014F">
        <w:t>R</w:t>
      </w:r>
      <w:r w:rsidR="003A1425">
        <w:t xml:space="preserve">esource </w:t>
      </w:r>
      <w:r w:rsidR="0001014F">
        <w:t>E</w:t>
      </w:r>
      <w:r w:rsidR="003A1425">
        <w:t>ntity and the LEL be</w:t>
      </w:r>
      <w:r>
        <w:t xml:space="preserve"> expected to </w:t>
      </w:r>
      <w:r w:rsidR="3A0348A1">
        <w:t xml:space="preserve">comply with </w:t>
      </w:r>
      <w:r>
        <w:t>at the POI or co-located facilit</w:t>
      </w:r>
      <w:r w:rsidR="3193B984">
        <w:t>y</w:t>
      </w:r>
      <w:r w:rsidR="00E80E21">
        <w:t xml:space="preserve"> if existing telemetry is unable to identify cause</w:t>
      </w:r>
      <w:r>
        <w:t>?</w:t>
      </w:r>
      <w:r w:rsidR="005F212E">
        <w:t xml:space="preserve"> </w:t>
      </w:r>
      <w:r w:rsidR="009C5D3A">
        <w:t xml:space="preserve">As shown in the tables below, </w:t>
      </w:r>
      <w:r w:rsidR="6C1EC2A3">
        <w:t>there</w:t>
      </w:r>
      <w:r w:rsidR="00506C33">
        <w:t xml:space="preserve"> are</w:t>
      </w:r>
      <w:r w:rsidR="009C5D3A">
        <w:t xml:space="preserve"> multiple ranges in which the </w:t>
      </w:r>
      <w:r w:rsidR="0001014F">
        <w:t>R</w:t>
      </w:r>
      <w:r w:rsidR="009C5D3A">
        <w:t xml:space="preserve">esource </w:t>
      </w:r>
      <w:r w:rsidR="0001014F">
        <w:t>E</w:t>
      </w:r>
      <w:r w:rsidR="009C5D3A">
        <w:t xml:space="preserve">ntity is required to ride through an event longer than the LEL and vice versa.  </w:t>
      </w:r>
    </w:p>
    <w:p w14:paraId="5E693ADE" w14:textId="1D54E787" w:rsidR="006B70A7" w:rsidDel="00024ADD" w:rsidRDefault="006B70A7" w:rsidP="0001014F">
      <w:pPr>
        <w:pStyle w:val="NormalArial"/>
        <w:numPr>
          <w:ilvl w:val="0"/>
          <w:numId w:val="5"/>
        </w:numPr>
        <w:spacing w:before="120" w:after="120"/>
      </w:pPr>
      <w:r>
        <w:t>How will ERCOT assign responsibility and distinguish between generator-caused versus load-caused ride-through failures?</w:t>
      </w:r>
    </w:p>
    <w:p w14:paraId="1FC88A90" w14:textId="65E92C3F" w:rsidR="006B70A7" w:rsidRDefault="00024ADD" w:rsidP="0001014F">
      <w:pPr>
        <w:pStyle w:val="NormalArial"/>
        <w:numPr>
          <w:ilvl w:val="0"/>
          <w:numId w:val="5"/>
        </w:numPr>
        <w:spacing w:before="120" w:after="120"/>
      </w:pPr>
      <w:r>
        <w:lastRenderedPageBreak/>
        <w:t>In the absence of clear attribution, w</w:t>
      </w:r>
      <w:r w:rsidR="006B70A7">
        <w:t xml:space="preserve">ill responsibility for a ride-through failure immediately default to the </w:t>
      </w:r>
      <w:r w:rsidR="0001014F">
        <w:t>G</w:t>
      </w:r>
      <w:r w:rsidR="006B70A7">
        <w:t xml:space="preserve">eneration </w:t>
      </w:r>
      <w:r w:rsidR="0001014F">
        <w:t>R</w:t>
      </w:r>
      <w:r w:rsidR="006B70A7">
        <w:t>esource?</w:t>
      </w:r>
    </w:p>
    <w:p w14:paraId="5B08F75F" w14:textId="2C35A7B9" w:rsidR="0055032D" w:rsidRDefault="00F227C4" w:rsidP="0001014F">
      <w:pPr>
        <w:pStyle w:val="NormalArial"/>
        <w:rPr>
          <w:b/>
          <w:bCs/>
        </w:rPr>
      </w:pPr>
      <w:r>
        <w:rPr>
          <w:b/>
          <w:bCs/>
        </w:rPr>
        <w:t>Frequency Requirements:</w:t>
      </w:r>
    </w:p>
    <w:p w14:paraId="2B93AE6E" w14:textId="77777777" w:rsidR="009E2278" w:rsidRDefault="009E2278" w:rsidP="0001014F">
      <w:pPr>
        <w:pStyle w:val="NormalArial"/>
        <w:rPr>
          <w:b/>
          <w:bCs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5"/>
        <w:gridCol w:w="3506"/>
        <w:gridCol w:w="3639"/>
      </w:tblGrid>
      <w:tr w:rsidR="00583CC3" w14:paraId="44F56A5C" w14:textId="77777777" w:rsidTr="00583CC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4A5726C" w14:textId="77777777" w:rsidR="00583CC3" w:rsidRDefault="00583CC3" w:rsidP="000101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Frequency Range (Hz)</w:t>
            </w:r>
          </w:p>
        </w:tc>
        <w:tc>
          <w:tcPr>
            <w:tcW w:w="0" w:type="auto"/>
            <w:vAlign w:val="center"/>
            <w:hideMark/>
          </w:tcPr>
          <w:p w14:paraId="4A2360DE" w14:textId="4C2B4C8D" w:rsidR="00583CC3" w:rsidRDefault="00583CC3" w:rsidP="0001014F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NOGRR 245 – Generation Resources</w:t>
            </w:r>
            <w:r w:rsidR="00BA5F1C">
              <w:rPr>
                <w:rStyle w:val="FootnoteReference"/>
                <w:b/>
                <w:bCs/>
              </w:rPr>
              <w:footnoteReference w:id="1"/>
            </w:r>
          </w:p>
        </w:tc>
        <w:tc>
          <w:tcPr>
            <w:tcW w:w="0" w:type="auto"/>
            <w:vAlign w:val="center"/>
            <w:hideMark/>
          </w:tcPr>
          <w:p w14:paraId="4A47F100" w14:textId="1188ACBA" w:rsidR="00583CC3" w:rsidRDefault="00583CC3" w:rsidP="0001014F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NOGRR 282 – Large Electronic Loads</w:t>
            </w:r>
            <w:r w:rsidR="00B22FE5">
              <w:rPr>
                <w:rStyle w:val="FootnoteReference"/>
                <w:b/>
                <w:bCs/>
              </w:rPr>
              <w:footnoteReference w:id="2"/>
            </w:r>
          </w:p>
        </w:tc>
      </w:tr>
      <w:tr w:rsidR="00583CC3" w14:paraId="4EF54F91" w14:textId="77777777" w:rsidTr="00583C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FE31B4" w14:textId="77777777" w:rsidR="00583CC3" w:rsidRPr="00303BCA" w:rsidRDefault="00583CC3" w:rsidP="0001014F">
            <w:r w:rsidRPr="00303BCA">
              <w:t>f &gt; 61.8</w:t>
            </w:r>
          </w:p>
        </w:tc>
        <w:tc>
          <w:tcPr>
            <w:tcW w:w="0" w:type="auto"/>
            <w:vAlign w:val="center"/>
            <w:hideMark/>
          </w:tcPr>
          <w:p w14:paraId="53C5778B" w14:textId="77777777" w:rsidR="00583CC3" w:rsidRPr="00303BCA" w:rsidRDefault="00583CC3" w:rsidP="0001014F">
            <w:r w:rsidRPr="00303BCA">
              <w:t>May ride-through or trip</w:t>
            </w:r>
          </w:p>
        </w:tc>
        <w:tc>
          <w:tcPr>
            <w:tcW w:w="0" w:type="auto"/>
            <w:vAlign w:val="center"/>
            <w:hideMark/>
          </w:tcPr>
          <w:p w14:paraId="5987EF54" w14:textId="77777777" w:rsidR="00583CC3" w:rsidRPr="00303BCA" w:rsidRDefault="00583CC3" w:rsidP="0001014F">
            <w:r w:rsidRPr="00303BCA">
              <w:t>May ride-through or trip</w:t>
            </w:r>
          </w:p>
        </w:tc>
      </w:tr>
      <w:tr w:rsidR="00583CC3" w14:paraId="1DF30A24" w14:textId="77777777" w:rsidTr="00583C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FA56A7" w14:textId="77777777" w:rsidR="00583CC3" w:rsidRPr="00303BCA" w:rsidRDefault="00583CC3" w:rsidP="0001014F">
            <w:r w:rsidRPr="00303BCA">
              <w:t>61.6 &lt; f ≤ 61.8</w:t>
            </w:r>
          </w:p>
        </w:tc>
        <w:tc>
          <w:tcPr>
            <w:tcW w:w="0" w:type="auto"/>
            <w:vAlign w:val="center"/>
            <w:hideMark/>
          </w:tcPr>
          <w:p w14:paraId="25DB0A81" w14:textId="77777777" w:rsidR="00583CC3" w:rsidRPr="00303BCA" w:rsidRDefault="00583CC3" w:rsidP="0001014F">
            <w:r w:rsidRPr="00303BCA">
              <w:rPr>
                <w:rStyle w:val="Strong"/>
                <w:b w:val="0"/>
                <w:bCs w:val="0"/>
              </w:rPr>
              <w:t>299 s</w:t>
            </w:r>
          </w:p>
        </w:tc>
        <w:tc>
          <w:tcPr>
            <w:tcW w:w="0" w:type="auto"/>
            <w:vAlign w:val="center"/>
            <w:hideMark/>
          </w:tcPr>
          <w:p w14:paraId="5F2EB56D" w14:textId="2DE3A7C1" w:rsidR="00583CC3" w:rsidRPr="00303BCA" w:rsidRDefault="00B22FE5" w:rsidP="0001014F">
            <w:r w:rsidRPr="00303BCA">
              <w:rPr>
                <w:rStyle w:val="Strong"/>
                <w:b w:val="0"/>
                <w:bCs w:val="0"/>
              </w:rPr>
              <w:t>299 s</w:t>
            </w:r>
          </w:p>
        </w:tc>
      </w:tr>
      <w:tr w:rsidR="00583CC3" w14:paraId="79E839B3" w14:textId="77777777" w:rsidTr="00583C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D8BE01" w14:textId="77777777" w:rsidR="00583CC3" w:rsidRPr="00303BCA" w:rsidRDefault="00583CC3" w:rsidP="0001014F">
            <w:r w:rsidRPr="00303BCA">
              <w:t>61.2 &lt; f ≤ 61.6</w:t>
            </w:r>
          </w:p>
        </w:tc>
        <w:tc>
          <w:tcPr>
            <w:tcW w:w="0" w:type="auto"/>
            <w:vAlign w:val="center"/>
            <w:hideMark/>
          </w:tcPr>
          <w:p w14:paraId="08FDE550" w14:textId="77777777" w:rsidR="00583CC3" w:rsidRPr="00303BCA" w:rsidRDefault="00583CC3" w:rsidP="0001014F">
            <w:r w:rsidRPr="00303BCA">
              <w:rPr>
                <w:rStyle w:val="Strong"/>
                <w:b w:val="0"/>
                <w:bCs w:val="0"/>
              </w:rPr>
              <w:t>540 s</w:t>
            </w:r>
          </w:p>
        </w:tc>
        <w:tc>
          <w:tcPr>
            <w:tcW w:w="0" w:type="auto"/>
            <w:vAlign w:val="center"/>
            <w:hideMark/>
          </w:tcPr>
          <w:p w14:paraId="0F52E357" w14:textId="577E5E62" w:rsidR="00583CC3" w:rsidRPr="00303BCA" w:rsidRDefault="00B22FE5" w:rsidP="0001014F">
            <w:r w:rsidRPr="00303BCA">
              <w:rPr>
                <w:rStyle w:val="Strong"/>
                <w:b w:val="0"/>
                <w:bCs w:val="0"/>
              </w:rPr>
              <w:t>299 s</w:t>
            </w:r>
          </w:p>
        </w:tc>
      </w:tr>
      <w:tr w:rsidR="00583CC3" w14:paraId="1FFA03CA" w14:textId="77777777" w:rsidTr="00583C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1B82A2" w14:textId="77777777" w:rsidR="00583CC3" w:rsidRPr="00303BCA" w:rsidRDefault="00583CC3" w:rsidP="0001014F">
            <w:pPr>
              <w:rPr>
                <w:b/>
                <w:bCs/>
              </w:rPr>
            </w:pPr>
            <w:r w:rsidRPr="00303BCA">
              <w:rPr>
                <w:rStyle w:val="Strong"/>
                <w:b w:val="0"/>
                <w:bCs w:val="0"/>
              </w:rPr>
              <w:t>58.8 ≤ f ≤ 61.2</w:t>
            </w:r>
          </w:p>
        </w:tc>
        <w:tc>
          <w:tcPr>
            <w:tcW w:w="0" w:type="auto"/>
            <w:vAlign w:val="center"/>
            <w:hideMark/>
          </w:tcPr>
          <w:p w14:paraId="1E6F5CCA" w14:textId="77777777" w:rsidR="00583CC3" w:rsidRPr="00303BCA" w:rsidRDefault="00583CC3" w:rsidP="0001014F">
            <w:pPr>
              <w:rPr>
                <w:b/>
                <w:bCs/>
              </w:rPr>
            </w:pPr>
            <w:r w:rsidRPr="00303BCA">
              <w:rPr>
                <w:rStyle w:val="Strong"/>
                <w:b w:val="0"/>
                <w:bCs w:val="0"/>
              </w:rPr>
              <w:t>Continuous</w:t>
            </w:r>
          </w:p>
        </w:tc>
        <w:tc>
          <w:tcPr>
            <w:tcW w:w="0" w:type="auto"/>
            <w:vAlign w:val="center"/>
            <w:hideMark/>
          </w:tcPr>
          <w:p w14:paraId="3147865A" w14:textId="77777777" w:rsidR="00583CC3" w:rsidRPr="00303BCA" w:rsidRDefault="00583CC3" w:rsidP="0001014F">
            <w:pPr>
              <w:rPr>
                <w:b/>
                <w:bCs/>
              </w:rPr>
            </w:pPr>
            <w:r w:rsidRPr="00303BCA">
              <w:rPr>
                <w:rStyle w:val="Strong"/>
                <w:b w:val="0"/>
                <w:bCs w:val="0"/>
              </w:rPr>
              <w:t>Continuous</w:t>
            </w:r>
          </w:p>
        </w:tc>
      </w:tr>
      <w:tr w:rsidR="00583CC3" w14:paraId="3E9CB7DB" w14:textId="77777777" w:rsidTr="00583C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700EBC" w14:textId="77777777" w:rsidR="00583CC3" w:rsidRPr="00303BCA" w:rsidRDefault="00583CC3" w:rsidP="0001014F">
            <w:r w:rsidRPr="00303BCA">
              <w:t>58.4 ≤ f &lt; 58.8</w:t>
            </w:r>
          </w:p>
        </w:tc>
        <w:tc>
          <w:tcPr>
            <w:tcW w:w="0" w:type="auto"/>
            <w:vAlign w:val="center"/>
            <w:hideMark/>
          </w:tcPr>
          <w:p w14:paraId="46F21E89" w14:textId="77777777" w:rsidR="00583CC3" w:rsidRPr="00303BCA" w:rsidRDefault="00583CC3" w:rsidP="0001014F">
            <w:r w:rsidRPr="00303BCA">
              <w:rPr>
                <w:rStyle w:val="Strong"/>
                <w:b w:val="0"/>
                <w:bCs w:val="0"/>
              </w:rPr>
              <w:t>540 s</w:t>
            </w:r>
          </w:p>
        </w:tc>
        <w:tc>
          <w:tcPr>
            <w:tcW w:w="0" w:type="auto"/>
            <w:vAlign w:val="center"/>
            <w:hideMark/>
          </w:tcPr>
          <w:p w14:paraId="518A383F" w14:textId="3568A87C" w:rsidR="00583CC3" w:rsidRPr="00303BCA" w:rsidRDefault="00B22FE5" w:rsidP="0001014F">
            <w:r w:rsidRPr="00303BCA">
              <w:rPr>
                <w:rStyle w:val="Strong"/>
                <w:b w:val="0"/>
                <w:bCs w:val="0"/>
              </w:rPr>
              <w:t>299 s</w:t>
            </w:r>
          </w:p>
        </w:tc>
      </w:tr>
      <w:tr w:rsidR="00583CC3" w14:paraId="351B3C9B" w14:textId="77777777" w:rsidTr="00583C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4626C6" w14:textId="5381B423" w:rsidR="00583CC3" w:rsidRPr="00303BCA" w:rsidRDefault="00583CC3" w:rsidP="0001014F">
            <w:pPr>
              <w:rPr>
                <w:b/>
                <w:bCs/>
              </w:rPr>
            </w:pPr>
            <w:r w:rsidRPr="00303BCA">
              <w:rPr>
                <w:rStyle w:val="Strong"/>
                <w:b w:val="0"/>
                <w:bCs w:val="0"/>
              </w:rPr>
              <w:t>57.0 ≤ f &lt; 58.</w:t>
            </w:r>
            <w:r w:rsidR="00B22FE5">
              <w:rPr>
                <w:rStyle w:val="Strong"/>
                <w:b w:val="0"/>
                <w:bCs w:val="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74A4815" w14:textId="77777777" w:rsidR="00583CC3" w:rsidRPr="00303BCA" w:rsidRDefault="00583CC3" w:rsidP="0001014F">
            <w:pPr>
              <w:rPr>
                <w:b/>
                <w:bCs/>
              </w:rPr>
            </w:pPr>
            <w:r w:rsidRPr="00303BCA">
              <w:rPr>
                <w:rStyle w:val="Strong"/>
                <w:b w:val="0"/>
                <w:bCs w:val="0"/>
              </w:rPr>
              <w:t>299 s</w:t>
            </w:r>
          </w:p>
        </w:tc>
        <w:tc>
          <w:tcPr>
            <w:tcW w:w="0" w:type="auto"/>
            <w:vAlign w:val="center"/>
            <w:hideMark/>
          </w:tcPr>
          <w:p w14:paraId="67BC1269" w14:textId="77777777" w:rsidR="00583CC3" w:rsidRPr="00303BCA" w:rsidRDefault="00583CC3" w:rsidP="0001014F">
            <w:pPr>
              <w:rPr>
                <w:b/>
                <w:bCs/>
              </w:rPr>
            </w:pPr>
            <w:r w:rsidRPr="00303BCA">
              <w:rPr>
                <w:rStyle w:val="Strong"/>
                <w:b w:val="0"/>
                <w:bCs w:val="0"/>
              </w:rPr>
              <w:t>299 s</w:t>
            </w:r>
          </w:p>
        </w:tc>
      </w:tr>
      <w:tr w:rsidR="00583CC3" w14:paraId="66DC0E42" w14:textId="77777777" w:rsidTr="00583C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F0E6D0" w14:textId="77777777" w:rsidR="00583CC3" w:rsidRPr="00303BCA" w:rsidRDefault="00583CC3" w:rsidP="0001014F">
            <w:r w:rsidRPr="00303BCA">
              <w:t>f &lt; 57.0</w:t>
            </w:r>
          </w:p>
        </w:tc>
        <w:tc>
          <w:tcPr>
            <w:tcW w:w="0" w:type="auto"/>
            <w:vAlign w:val="center"/>
            <w:hideMark/>
          </w:tcPr>
          <w:p w14:paraId="64D3B7F7" w14:textId="77777777" w:rsidR="00583CC3" w:rsidRPr="00303BCA" w:rsidRDefault="00583CC3" w:rsidP="0001014F">
            <w:r w:rsidRPr="00303BCA">
              <w:t>May ride-through or trip</w:t>
            </w:r>
          </w:p>
        </w:tc>
        <w:tc>
          <w:tcPr>
            <w:tcW w:w="0" w:type="auto"/>
            <w:vAlign w:val="center"/>
            <w:hideMark/>
          </w:tcPr>
          <w:p w14:paraId="2945690E" w14:textId="77777777" w:rsidR="00583CC3" w:rsidRPr="00303BCA" w:rsidRDefault="00583CC3" w:rsidP="0001014F">
            <w:r w:rsidRPr="00303BCA">
              <w:t>May ride-through or trip</w:t>
            </w:r>
          </w:p>
        </w:tc>
      </w:tr>
    </w:tbl>
    <w:p w14:paraId="2B2EF136" w14:textId="77777777" w:rsidR="009E2278" w:rsidRDefault="009E2278" w:rsidP="0001014F">
      <w:pPr>
        <w:pStyle w:val="NormalArial"/>
        <w:rPr>
          <w:b/>
          <w:bCs/>
        </w:rPr>
      </w:pPr>
    </w:p>
    <w:p w14:paraId="4E29D01C" w14:textId="6F7061BA" w:rsidR="00D87905" w:rsidRDefault="00D87905" w:rsidP="0001014F">
      <w:pPr>
        <w:pStyle w:val="NormalArial"/>
        <w:rPr>
          <w:b/>
          <w:bCs/>
        </w:rPr>
      </w:pPr>
      <w:r w:rsidRPr="028E08AE">
        <w:rPr>
          <w:b/>
          <w:bCs/>
        </w:rPr>
        <w:t>Voltage Requirements:</w:t>
      </w:r>
    </w:p>
    <w:p w14:paraId="635CE86D" w14:textId="77777777" w:rsidR="00D87905" w:rsidRPr="00E80E21" w:rsidRDefault="00D87905" w:rsidP="0001014F">
      <w:pPr>
        <w:pStyle w:val="NormalArial"/>
        <w:rPr>
          <w:b/>
          <w:bCs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5"/>
        <w:gridCol w:w="3060"/>
        <w:gridCol w:w="3581"/>
      </w:tblGrid>
      <w:tr w:rsidR="00AF5A60" w14:paraId="0A60AA1D" w14:textId="77777777" w:rsidTr="19C3F3AC">
        <w:trPr>
          <w:tblHeader/>
          <w:tblCellSpacing w:w="15" w:type="dxa"/>
        </w:trPr>
        <w:tc>
          <w:tcPr>
            <w:tcW w:w="2260" w:type="dxa"/>
            <w:vAlign w:val="center"/>
            <w:hideMark/>
          </w:tcPr>
          <w:p w14:paraId="3BEE6279" w14:textId="77777777" w:rsidR="00AF5A60" w:rsidRDefault="00AF5A60" w:rsidP="000101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RMS Voltage (p.u.)</w:t>
            </w:r>
          </w:p>
        </w:tc>
        <w:tc>
          <w:tcPr>
            <w:tcW w:w="3030" w:type="dxa"/>
            <w:vAlign w:val="center"/>
            <w:hideMark/>
          </w:tcPr>
          <w:p w14:paraId="7B2DD189" w14:textId="77777777" w:rsidR="00AF5A60" w:rsidRDefault="00AF5A60" w:rsidP="0001014F">
            <w:pPr>
              <w:jc w:val="center"/>
              <w:rPr>
                <w:rStyle w:val="Strong"/>
              </w:rPr>
            </w:pPr>
            <w:r>
              <w:rPr>
                <w:rStyle w:val="Strong"/>
              </w:rPr>
              <w:t>NOGRR 245 – Wind IBRs</w:t>
            </w:r>
          </w:p>
          <w:p w14:paraId="4344987E" w14:textId="1919FE4E" w:rsidR="00AF5A60" w:rsidRDefault="00AF5A60" w:rsidP="0001014F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 xml:space="preserve"> (2.9.1.1(1) Table A)</w:t>
            </w:r>
          </w:p>
        </w:tc>
        <w:tc>
          <w:tcPr>
            <w:tcW w:w="3536" w:type="dxa"/>
            <w:vAlign w:val="center"/>
            <w:hideMark/>
          </w:tcPr>
          <w:p w14:paraId="399B0020" w14:textId="59D49055" w:rsidR="00AF5A60" w:rsidRDefault="00AF5A60" w:rsidP="0001014F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NOGRR 282 – Large Electronic Loads</w:t>
            </w:r>
          </w:p>
        </w:tc>
      </w:tr>
      <w:tr w:rsidR="00AF5A60" w14:paraId="29226EBB" w14:textId="77777777" w:rsidTr="19C3F3AC">
        <w:trPr>
          <w:tblCellSpacing w:w="15" w:type="dxa"/>
        </w:trPr>
        <w:tc>
          <w:tcPr>
            <w:tcW w:w="2260" w:type="dxa"/>
            <w:vAlign w:val="center"/>
            <w:hideMark/>
          </w:tcPr>
          <w:p w14:paraId="396ACFE3" w14:textId="77777777" w:rsidR="00AF5A60" w:rsidRPr="00D87905" w:rsidRDefault="00AF5A60" w:rsidP="0001014F">
            <w:r w:rsidRPr="00D87905">
              <w:t>V &gt; 1.20</w:t>
            </w:r>
          </w:p>
        </w:tc>
        <w:tc>
          <w:tcPr>
            <w:tcW w:w="3030" w:type="dxa"/>
            <w:vAlign w:val="center"/>
            <w:hideMark/>
          </w:tcPr>
          <w:p w14:paraId="51B5F787" w14:textId="77777777" w:rsidR="00AF5A60" w:rsidRPr="00D87905" w:rsidRDefault="00AF5A60" w:rsidP="0001014F">
            <w:r w:rsidRPr="00D87905">
              <w:t>May ride-through or trip</w:t>
            </w:r>
          </w:p>
        </w:tc>
        <w:tc>
          <w:tcPr>
            <w:tcW w:w="3536" w:type="dxa"/>
            <w:vAlign w:val="center"/>
            <w:hideMark/>
          </w:tcPr>
          <w:p w14:paraId="4CE5DB7F" w14:textId="26CA488F" w:rsidR="00AF5A60" w:rsidRPr="00D87905" w:rsidRDefault="00AF5A60" w:rsidP="0001014F">
            <w:r w:rsidRPr="00D87905">
              <w:t>May ride-through or trip</w:t>
            </w:r>
          </w:p>
        </w:tc>
      </w:tr>
      <w:tr w:rsidR="00AF5A60" w14:paraId="564DE3BA" w14:textId="77777777" w:rsidTr="19C3F3AC">
        <w:trPr>
          <w:tblCellSpacing w:w="15" w:type="dxa"/>
        </w:trPr>
        <w:tc>
          <w:tcPr>
            <w:tcW w:w="2260" w:type="dxa"/>
            <w:vAlign w:val="center"/>
            <w:hideMark/>
          </w:tcPr>
          <w:p w14:paraId="28FEBC60" w14:textId="77777777" w:rsidR="00AF5A60" w:rsidRPr="00D87905" w:rsidRDefault="00AF5A60" w:rsidP="0001014F">
            <w:r w:rsidRPr="00D87905">
              <w:t>1.10 &lt; V ≤ 1.20</w:t>
            </w:r>
          </w:p>
        </w:tc>
        <w:tc>
          <w:tcPr>
            <w:tcW w:w="3030" w:type="dxa"/>
            <w:vAlign w:val="center"/>
            <w:hideMark/>
          </w:tcPr>
          <w:p w14:paraId="4F8D6A71" w14:textId="77777777" w:rsidR="00AF5A60" w:rsidRPr="00D87905" w:rsidRDefault="00AF5A60" w:rsidP="0001014F">
            <w:r w:rsidRPr="00D87905">
              <w:rPr>
                <w:rStyle w:val="Strong"/>
                <w:b w:val="0"/>
                <w:bCs w:val="0"/>
              </w:rPr>
              <w:t>1.0 s</w:t>
            </w:r>
          </w:p>
        </w:tc>
        <w:tc>
          <w:tcPr>
            <w:tcW w:w="3536" w:type="dxa"/>
            <w:vAlign w:val="center"/>
            <w:hideMark/>
          </w:tcPr>
          <w:p w14:paraId="7F395A65" w14:textId="0F829CCF" w:rsidR="00AF5A60" w:rsidRPr="00D87905" w:rsidRDefault="00AF5A60" w:rsidP="0001014F">
            <w:r w:rsidRPr="00D87905">
              <w:rPr>
                <w:rStyle w:val="Strong"/>
                <w:b w:val="0"/>
                <w:bCs w:val="0"/>
              </w:rPr>
              <w:t>2.0 s</w:t>
            </w:r>
          </w:p>
        </w:tc>
      </w:tr>
      <w:tr w:rsidR="00AF5A60" w14:paraId="115A23EC" w14:textId="77777777" w:rsidTr="19C3F3AC">
        <w:trPr>
          <w:tblCellSpacing w:w="15" w:type="dxa"/>
        </w:trPr>
        <w:tc>
          <w:tcPr>
            <w:tcW w:w="2260" w:type="dxa"/>
            <w:vAlign w:val="center"/>
            <w:hideMark/>
          </w:tcPr>
          <w:p w14:paraId="05264D56" w14:textId="77777777" w:rsidR="00AF5A60" w:rsidRPr="00D87905" w:rsidRDefault="00AF5A60" w:rsidP="0001014F">
            <w:pPr>
              <w:rPr>
                <w:b/>
                <w:bCs/>
              </w:rPr>
            </w:pPr>
            <w:r w:rsidRPr="00D87905">
              <w:rPr>
                <w:rStyle w:val="Strong"/>
                <w:b w:val="0"/>
                <w:bCs w:val="0"/>
              </w:rPr>
              <w:t>0.90 ≤ V ≤ 1.10</w:t>
            </w:r>
          </w:p>
        </w:tc>
        <w:tc>
          <w:tcPr>
            <w:tcW w:w="3030" w:type="dxa"/>
            <w:vAlign w:val="center"/>
            <w:hideMark/>
          </w:tcPr>
          <w:p w14:paraId="29718BE6" w14:textId="77777777" w:rsidR="00AF5A60" w:rsidRPr="00D87905" w:rsidRDefault="00AF5A60" w:rsidP="0001014F">
            <w:pPr>
              <w:rPr>
                <w:b/>
                <w:bCs/>
              </w:rPr>
            </w:pPr>
            <w:r w:rsidRPr="00D87905">
              <w:rPr>
                <w:rStyle w:val="Strong"/>
                <w:b w:val="0"/>
                <w:bCs w:val="0"/>
              </w:rPr>
              <w:t>Continuous</w:t>
            </w:r>
          </w:p>
        </w:tc>
        <w:tc>
          <w:tcPr>
            <w:tcW w:w="3536" w:type="dxa"/>
            <w:vAlign w:val="center"/>
            <w:hideMark/>
          </w:tcPr>
          <w:p w14:paraId="0410BE1D" w14:textId="794FCD24" w:rsidR="00AF5A60" w:rsidRPr="00D87905" w:rsidRDefault="00AF5A60" w:rsidP="0001014F">
            <w:pPr>
              <w:rPr>
                <w:b/>
                <w:bCs/>
              </w:rPr>
            </w:pPr>
            <w:r w:rsidRPr="00D87905">
              <w:rPr>
                <w:rStyle w:val="Strong"/>
                <w:b w:val="0"/>
                <w:bCs w:val="0"/>
              </w:rPr>
              <w:t>Continuous</w:t>
            </w:r>
          </w:p>
        </w:tc>
      </w:tr>
      <w:tr w:rsidR="00AF5A60" w14:paraId="42254956" w14:textId="77777777" w:rsidTr="19C3F3AC">
        <w:trPr>
          <w:tblCellSpacing w:w="15" w:type="dxa"/>
        </w:trPr>
        <w:tc>
          <w:tcPr>
            <w:tcW w:w="2260" w:type="dxa"/>
            <w:vAlign w:val="center"/>
            <w:hideMark/>
          </w:tcPr>
          <w:p w14:paraId="4A20CFDA" w14:textId="77777777" w:rsidR="00AF5A60" w:rsidRPr="00D87905" w:rsidRDefault="00AF5A60" w:rsidP="0001014F">
            <w:r w:rsidRPr="00D87905">
              <w:t>0.80 ≤ V &lt; 0.90</w:t>
            </w:r>
          </w:p>
        </w:tc>
        <w:tc>
          <w:tcPr>
            <w:tcW w:w="3030" w:type="dxa"/>
            <w:vAlign w:val="center"/>
            <w:hideMark/>
          </w:tcPr>
          <w:p w14:paraId="67D2C418" w14:textId="77777777" w:rsidR="00AF5A60" w:rsidRPr="00D87905" w:rsidRDefault="00AF5A60" w:rsidP="0001014F">
            <w:r w:rsidRPr="00D87905">
              <w:rPr>
                <w:rStyle w:val="Strong"/>
                <w:b w:val="0"/>
                <w:bCs w:val="0"/>
              </w:rPr>
              <w:t>3.0 s</w:t>
            </w:r>
          </w:p>
        </w:tc>
        <w:tc>
          <w:tcPr>
            <w:tcW w:w="3536" w:type="dxa"/>
            <w:vAlign w:val="center"/>
            <w:hideMark/>
          </w:tcPr>
          <w:p w14:paraId="1BB9CE1F" w14:textId="4871E5BA" w:rsidR="00AF5A60" w:rsidRPr="00D87905" w:rsidRDefault="00AF5A60" w:rsidP="0001014F">
            <w:r w:rsidRPr="00D87905">
              <w:rPr>
                <w:rStyle w:val="Strong"/>
                <w:b w:val="0"/>
                <w:bCs w:val="0"/>
              </w:rPr>
              <w:t>2.0 s</w:t>
            </w:r>
          </w:p>
        </w:tc>
      </w:tr>
      <w:tr w:rsidR="00AF5A60" w14:paraId="35A829FE" w14:textId="77777777" w:rsidTr="19C3F3AC">
        <w:trPr>
          <w:tblCellSpacing w:w="15" w:type="dxa"/>
        </w:trPr>
        <w:tc>
          <w:tcPr>
            <w:tcW w:w="2260" w:type="dxa"/>
            <w:vAlign w:val="center"/>
            <w:hideMark/>
          </w:tcPr>
          <w:p w14:paraId="2B7B4C6C" w14:textId="77777777" w:rsidR="00AF5A60" w:rsidRPr="00D87905" w:rsidRDefault="00AF5A60" w:rsidP="0001014F">
            <w:r w:rsidRPr="00D87905">
              <w:t>0.70 ≤ V &lt; 0.80</w:t>
            </w:r>
          </w:p>
        </w:tc>
        <w:tc>
          <w:tcPr>
            <w:tcW w:w="3030" w:type="dxa"/>
            <w:vAlign w:val="center"/>
            <w:hideMark/>
          </w:tcPr>
          <w:p w14:paraId="342F9F74" w14:textId="77777777" w:rsidR="00AF5A60" w:rsidRPr="00D87905" w:rsidRDefault="00AF5A60" w:rsidP="0001014F">
            <w:r w:rsidRPr="00D87905">
              <w:rPr>
                <w:rStyle w:val="Strong"/>
                <w:b w:val="0"/>
                <w:bCs w:val="0"/>
              </w:rPr>
              <w:t>3.0 s</w:t>
            </w:r>
          </w:p>
        </w:tc>
        <w:tc>
          <w:tcPr>
            <w:tcW w:w="3536" w:type="dxa"/>
            <w:vAlign w:val="center"/>
            <w:hideMark/>
          </w:tcPr>
          <w:p w14:paraId="22050547" w14:textId="598A90E8" w:rsidR="00AF5A60" w:rsidRPr="00D87905" w:rsidRDefault="00AF5A60" w:rsidP="0001014F">
            <w:r w:rsidRPr="00D87905">
              <w:rPr>
                <w:rStyle w:val="Strong"/>
                <w:b w:val="0"/>
                <w:bCs w:val="0"/>
              </w:rPr>
              <w:t>0.5 s</w:t>
            </w:r>
          </w:p>
        </w:tc>
      </w:tr>
      <w:tr w:rsidR="00AF5A60" w14:paraId="52644B84" w14:textId="77777777" w:rsidTr="19C3F3AC">
        <w:trPr>
          <w:tblCellSpacing w:w="15" w:type="dxa"/>
        </w:trPr>
        <w:tc>
          <w:tcPr>
            <w:tcW w:w="2260" w:type="dxa"/>
            <w:vAlign w:val="center"/>
            <w:hideMark/>
          </w:tcPr>
          <w:p w14:paraId="0F5FCDC4" w14:textId="77777777" w:rsidR="00AF5A60" w:rsidRPr="00D87905" w:rsidRDefault="00AF5A60" w:rsidP="0001014F">
            <w:r w:rsidRPr="00D87905">
              <w:t>0.50 ≤ V &lt; 0.70</w:t>
            </w:r>
          </w:p>
        </w:tc>
        <w:tc>
          <w:tcPr>
            <w:tcW w:w="3030" w:type="dxa"/>
            <w:vAlign w:val="center"/>
            <w:hideMark/>
          </w:tcPr>
          <w:p w14:paraId="69659F88" w14:textId="77777777" w:rsidR="00AF5A60" w:rsidRPr="00D87905" w:rsidRDefault="00AF5A60" w:rsidP="0001014F">
            <w:r w:rsidRPr="00D87905">
              <w:rPr>
                <w:rStyle w:val="Strong"/>
                <w:b w:val="0"/>
                <w:bCs w:val="0"/>
              </w:rPr>
              <w:t>2.5 s</w:t>
            </w:r>
          </w:p>
        </w:tc>
        <w:tc>
          <w:tcPr>
            <w:tcW w:w="3536" w:type="dxa"/>
            <w:vAlign w:val="center"/>
            <w:hideMark/>
          </w:tcPr>
          <w:p w14:paraId="7AA6219C" w14:textId="18BBB81D" w:rsidR="00AF5A60" w:rsidRPr="00D87905" w:rsidRDefault="00AF5A60" w:rsidP="0001014F">
            <w:r w:rsidRPr="00D87905">
              <w:rPr>
                <w:rStyle w:val="Strong"/>
                <w:b w:val="0"/>
                <w:bCs w:val="0"/>
              </w:rPr>
              <w:t>0.5 s</w:t>
            </w:r>
          </w:p>
        </w:tc>
      </w:tr>
      <w:tr w:rsidR="00AF5A60" w14:paraId="20BA5552" w14:textId="77777777" w:rsidTr="19C3F3AC">
        <w:trPr>
          <w:tblCellSpacing w:w="15" w:type="dxa"/>
        </w:trPr>
        <w:tc>
          <w:tcPr>
            <w:tcW w:w="2260" w:type="dxa"/>
            <w:vAlign w:val="center"/>
            <w:hideMark/>
          </w:tcPr>
          <w:p w14:paraId="6CB1EBE1" w14:textId="77777777" w:rsidR="00AF5A60" w:rsidRPr="00D87905" w:rsidRDefault="00AF5A60" w:rsidP="0001014F">
            <w:r w:rsidRPr="00D87905">
              <w:t>0.25 ≤ V &lt; 0.50</w:t>
            </w:r>
          </w:p>
        </w:tc>
        <w:tc>
          <w:tcPr>
            <w:tcW w:w="3030" w:type="dxa"/>
            <w:vAlign w:val="center"/>
            <w:hideMark/>
          </w:tcPr>
          <w:p w14:paraId="00B30A48" w14:textId="77777777" w:rsidR="00AF5A60" w:rsidRPr="00D87905" w:rsidRDefault="00AF5A60" w:rsidP="0001014F">
            <w:r w:rsidRPr="00D87905">
              <w:rPr>
                <w:rStyle w:val="Strong"/>
                <w:b w:val="0"/>
                <w:bCs w:val="0"/>
              </w:rPr>
              <w:t>1.2 s</w:t>
            </w:r>
          </w:p>
        </w:tc>
        <w:tc>
          <w:tcPr>
            <w:tcW w:w="3536" w:type="dxa"/>
            <w:vAlign w:val="center"/>
            <w:hideMark/>
          </w:tcPr>
          <w:p w14:paraId="6F9E233A" w14:textId="463E8ADA" w:rsidR="00AF5A60" w:rsidRPr="00D87905" w:rsidRDefault="00AF5A60" w:rsidP="0001014F">
            <w:r w:rsidRPr="00D87905">
              <w:rPr>
                <w:rStyle w:val="Strong"/>
                <w:b w:val="0"/>
                <w:bCs w:val="0"/>
              </w:rPr>
              <w:t>0.25 s</w:t>
            </w:r>
          </w:p>
        </w:tc>
      </w:tr>
      <w:tr w:rsidR="00AF5A60" w14:paraId="5BD72B09" w14:textId="77777777" w:rsidTr="19C3F3AC">
        <w:trPr>
          <w:tblCellSpacing w:w="15" w:type="dxa"/>
        </w:trPr>
        <w:tc>
          <w:tcPr>
            <w:tcW w:w="2260" w:type="dxa"/>
            <w:vAlign w:val="center"/>
          </w:tcPr>
          <w:p w14:paraId="16ABFE22" w14:textId="3893A26B" w:rsidR="00AF5A60" w:rsidRPr="00D87905" w:rsidRDefault="00AF5A60" w:rsidP="0001014F">
            <w:r>
              <w:t>0.2</w:t>
            </w:r>
            <w:r w:rsidR="00C21754">
              <w:t>0</w:t>
            </w:r>
            <w:r w:rsidRPr="00D87905">
              <w:t>≤ V &lt; 0.</w:t>
            </w:r>
            <w:r w:rsidR="00C21754">
              <w:t>25</w:t>
            </w:r>
          </w:p>
        </w:tc>
        <w:tc>
          <w:tcPr>
            <w:tcW w:w="3030" w:type="dxa"/>
            <w:vAlign w:val="center"/>
          </w:tcPr>
          <w:p w14:paraId="5F4121C9" w14:textId="023DD75D" w:rsidR="00AF5A60" w:rsidRPr="00D87905" w:rsidRDefault="00AF5A60" w:rsidP="0001014F">
            <w:pPr>
              <w:rPr>
                <w:rStyle w:val="Strong"/>
                <w:b w:val="0"/>
                <w:bCs w:val="0"/>
              </w:rPr>
            </w:pPr>
            <w:r w:rsidRPr="00AF5A60">
              <w:rPr>
                <w:rStyle w:val="Strong"/>
                <w:b w:val="0"/>
                <w:bCs w:val="0"/>
              </w:rPr>
              <w:t>N/A</w:t>
            </w:r>
          </w:p>
        </w:tc>
        <w:tc>
          <w:tcPr>
            <w:tcW w:w="3536" w:type="dxa"/>
            <w:vAlign w:val="center"/>
          </w:tcPr>
          <w:p w14:paraId="60BA0824" w14:textId="047D1F84" w:rsidR="00AF5A60" w:rsidRPr="00D87905" w:rsidRDefault="00AF5A60" w:rsidP="0001014F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0.25 s</w:t>
            </w:r>
          </w:p>
        </w:tc>
      </w:tr>
      <w:tr w:rsidR="00AF5A60" w14:paraId="032B00B8" w14:textId="77777777" w:rsidTr="19C3F3AC">
        <w:trPr>
          <w:tblCellSpacing w:w="15" w:type="dxa"/>
        </w:trPr>
        <w:tc>
          <w:tcPr>
            <w:tcW w:w="2260" w:type="dxa"/>
            <w:vAlign w:val="center"/>
            <w:hideMark/>
          </w:tcPr>
          <w:p w14:paraId="2767E35D" w14:textId="03785C33" w:rsidR="00AF5A60" w:rsidRPr="00D87905" w:rsidRDefault="00AF5A60" w:rsidP="0001014F">
            <w:r w:rsidRPr="00D87905">
              <w:t>0.095625 ≤ V &lt; 0.25</w:t>
            </w:r>
          </w:p>
        </w:tc>
        <w:tc>
          <w:tcPr>
            <w:tcW w:w="3030" w:type="dxa"/>
            <w:vAlign w:val="center"/>
            <w:hideMark/>
          </w:tcPr>
          <w:p w14:paraId="578A1F94" w14:textId="68517DA8" w:rsidR="00AF5A60" w:rsidRPr="00D87905" w:rsidRDefault="00AF5A60" w:rsidP="0001014F">
            <w:r w:rsidRPr="00D87905">
              <w:rPr>
                <w:rStyle w:val="Strong"/>
                <w:b w:val="0"/>
                <w:bCs w:val="0"/>
              </w:rPr>
              <w:t>(V + 0.084375) / 0.5625</w:t>
            </w:r>
          </w:p>
        </w:tc>
        <w:tc>
          <w:tcPr>
            <w:tcW w:w="3536" w:type="dxa"/>
            <w:vAlign w:val="center"/>
            <w:hideMark/>
          </w:tcPr>
          <w:p w14:paraId="68EA64D4" w14:textId="6CE7A99E" w:rsidR="00AF5A60" w:rsidRPr="00D87905" w:rsidRDefault="00AF5A60" w:rsidP="0001014F">
            <w:r w:rsidRPr="00AF5A60">
              <w:rPr>
                <w:rStyle w:val="Strong"/>
                <w:b w:val="0"/>
                <w:bCs w:val="0"/>
              </w:rPr>
              <w:t>N/A</w:t>
            </w:r>
          </w:p>
        </w:tc>
      </w:tr>
      <w:tr w:rsidR="00AF5A60" w14:paraId="1CA8CC0E" w14:textId="77777777" w:rsidTr="19C3F3AC">
        <w:trPr>
          <w:tblCellSpacing w:w="15" w:type="dxa"/>
        </w:trPr>
        <w:tc>
          <w:tcPr>
            <w:tcW w:w="2260" w:type="dxa"/>
            <w:vAlign w:val="center"/>
            <w:hideMark/>
          </w:tcPr>
          <w:p w14:paraId="23C7554F" w14:textId="0FBC2F52" w:rsidR="00AF5A60" w:rsidRPr="00D87905" w:rsidRDefault="00AF5A60" w:rsidP="0001014F">
            <w:r w:rsidRPr="00D87905">
              <w:t xml:space="preserve">V &lt; </w:t>
            </w:r>
            <w:r>
              <w:t>0.005625</w:t>
            </w:r>
          </w:p>
        </w:tc>
        <w:tc>
          <w:tcPr>
            <w:tcW w:w="3030" w:type="dxa"/>
            <w:vAlign w:val="center"/>
            <w:hideMark/>
          </w:tcPr>
          <w:p w14:paraId="31206F99" w14:textId="77777777" w:rsidR="00AF5A60" w:rsidRPr="00D87905" w:rsidRDefault="00AF5A60" w:rsidP="0001014F">
            <w:r w:rsidRPr="00D87905">
              <w:rPr>
                <w:rStyle w:val="Strong"/>
                <w:b w:val="0"/>
                <w:bCs w:val="0"/>
              </w:rPr>
              <w:t>0.16 s</w:t>
            </w:r>
          </w:p>
        </w:tc>
        <w:tc>
          <w:tcPr>
            <w:tcW w:w="3536" w:type="dxa"/>
            <w:vAlign w:val="center"/>
            <w:hideMark/>
          </w:tcPr>
          <w:p w14:paraId="44661E64" w14:textId="25B04AEC" w:rsidR="00AF5A60" w:rsidRPr="00AF5A60" w:rsidRDefault="00AF5A60" w:rsidP="0001014F">
            <w:pPr>
              <w:rPr>
                <w:b/>
                <w:bCs/>
              </w:rPr>
            </w:pPr>
            <w:r w:rsidRPr="00AF5A60">
              <w:rPr>
                <w:rStyle w:val="Strong"/>
                <w:b w:val="0"/>
                <w:bCs w:val="0"/>
              </w:rPr>
              <w:t>N/A</w:t>
            </w:r>
          </w:p>
        </w:tc>
      </w:tr>
      <w:tr w:rsidR="00AF5A60" w14:paraId="36370B5B" w14:textId="77777777" w:rsidTr="19C3F3AC">
        <w:trPr>
          <w:tblCellSpacing w:w="15" w:type="dxa"/>
        </w:trPr>
        <w:tc>
          <w:tcPr>
            <w:tcW w:w="2260" w:type="dxa"/>
            <w:vAlign w:val="center"/>
          </w:tcPr>
          <w:p w14:paraId="40387673" w14:textId="701725F2" w:rsidR="00AF5A60" w:rsidRPr="00D87905" w:rsidRDefault="00AF5A60" w:rsidP="0001014F">
            <w:r>
              <w:t>V&lt;0.20</w:t>
            </w:r>
          </w:p>
        </w:tc>
        <w:tc>
          <w:tcPr>
            <w:tcW w:w="3030" w:type="dxa"/>
            <w:vAlign w:val="center"/>
          </w:tcPr>
          <w:p w14:paraId="5124FC3B" w14:textId="4B912ABD" w:rsidR="00AF5A60" w:rsidRPr="00D87905" w:rsidRDefault="5E83EC17" w:rsidP="0001014F">
            <w:pPr>
              <w:rPr>
                <w:rStyle w:val="Strong"/>
                <w:b w:val="0"/>
                <w:bCs w:val="0"/>
              </w:rPr>
            </w:pPr>
            <w:r w:rsidRPr="19C3F3AC">
              <w:rPr>
                <w:rStyle w:val="Strong"/>
                <w:b w:val="0"/>
                <w:bCs w:val="0"/>
              </w:rPr>
              <w:t>N</w:t>
            </w:r>
            <w:r w:rsidRPr="19C3F3AC">
              <w:rPr>
                <w:rStyle w:val="Strong"/>
              </w:rPr>
              <w:t>/</w:t>
            </w:r>
            <w:r w:rsidRPr="19C3F3AC">
              <w:rPr>
                <w:rStyle w:val="Strong"/>
                <w:b w:val="0"/>
                <w:bCs w:val="0"/>
              </w:rPr>
              <w:t>A</w:t>
            </w:r>
          </w:p>
        </w:tc>
        <w:tc>
          <w:tcPr>
            <w:tcW w:w="3536" w:type="dxa"/>
            <w:vAlign w:val="center"/>
          </w:tcPr>
          <w:p w14:paraId="12ED5733" w14:textId="4F76ABD5" w:rsidR="00AF5A60" w:rsidRPr="00D87905" w:rsidRDefault="00AF5A60" w:rsidP="0001014F">
            <w:pPr>
              <w:rPr>
                <w:rStyle w:val="Strong"/>
                <w:b w:val="0"/>
                <w:bCs w:val="0"/>
              </w:rPr>
            </w:pPr>
            <w:r w:rsidRPr="00D87905">
              <w:rPr>
                <w:rStyle w:val="Strong"/>
                <w:b w:val="0"/>
                <w:bCs w:val="0"/>
              </w:rPr>
              <w:t>0.15 s</w:t>
            </w:r>
          </w:p>
        </w:tc>
      </w:tr>
    </w:tbl>
    <w:p w14:paraId="0206D374" w14:textId="376DF809" w:rsidR="0055032D" w:rsidRDefault="0055032D" w:rsidP="0001014F">
      <w:pPr>
        <w:pStyle w:val="NormalArial"/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2"/>
        <w:gridCol w:w="3283"/>
        <w:gridCol w:w="3567"/>
      </w:tblGrid>
      <w:tr w:rsidR="00C21754" w14:paraId="672A862F" w14:textId="77777777" w:rsidTr="005F212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04DD116" w14:textId="77777777" w:rsidR="00C21754" w:rsidRDefault="00C21754" w:rsidP="000101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RMS Voltage (p.u.)</w:t>
            </w:r>
          </w:p>
        </w:tc>
        <w:tc>
          <w:tcPr>
            <w:tcW w:w="3253" w:type="dxa"/>
          </w:tcPr>
          <w:p w14:paraId="36F42CF9" w14:textId="77777777" w:rsidR="00C21754" w:rsidRDefault="00C21754" w:rsidP="0001014F">
            <w:pPr>
              <w:jc w:val="center"/>
              <w:rPr>
                <w:rStyle w:val="Strong"/>
              </w:rPr>
            </w:pPr>
            <w:r>
              <w:rPr>
                <w:rStyle w:val="Strong"/>
              </w:rPr>
              <w:t>NOGRR 245 – Wind IBRs</w:t>
            </w:r>
          </w:p>
          <w:p w14:paraId="506E252C" w14:textId="77777777" w:rsidR="00C21754" w:rsidRDefault="00C21754" w:rsidP="0001014F">
            <w:pPr>
              <w:jc w:val="center"/>
              <w:rPr>
                <w:rStyle w:val="Strong"/>
              </w:rPr>
            </w:pPr>
            <w:r>
              <w:rPr>
                <w:rStyle w:val="Strong"/>
              </w:rPr>
              <w:t xml:space="preserve"> (2.9.1.2(1) Table A)</w:t>
            </w:r>
          </w:p>
        </w:tc>
        <w:tc>
          <w:tcPr>
            <w:tcW w:w="3522" w:type="dxa"/>
            <w:vAlign w:val="center"/>
            <w:hideMark/>
          </w:tcPr>
          <w:p w14:paraId="2C94E539" w14:textId="77777777" w:rsidR="00C21754" w:rsidRDefault="00C21754" w:rsidP="0001014F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NOGRR 282 – Large Electronic Loads</w:t>
            </w:r>
          </w:p>
        </w:tc>
      </w:tr>
      <w:tr w:rsidR="00C21754" w14:paraId="5CDFA3CB" w14:textId="77777777" w:rsidTr="005F21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6AA80B" w14:textId="77777777" w:rsidR="00C21754" w:rsidRPr="00D87905" w:rsidRDefault="00C21754" w:rsidP="0001014F">
            <w:r w:rsidRPr="00D87905">
              <w:t>V &gt; 1.20</w:t>
            </w:r>
          </w:p>
        </w:tc>
        <w:tc>
          <w:tcPr>
            <w:tcW w:w="3253" w:type="dxa"/>
            <w:vAlign w:val="center"/>
          </w:tcPr>
          <w:p w14:paraId="4D1F4DC4" w14:textId="77777777" w:rsidR="00C21754" w:rsidRPr="00D87905" w:rsidRDefault="00C21754" w:rsidP="0001014F">
            <w:r w:rsidRPr="00D87905">
              <w:t>May ride-through or trip</w:t>
            </w:r>
          </w:p>
        </w:tc>
        <w:tc>
          <w:tcPr>
            <w:tcW w:w="3522" w:type="dxa"/>
            <w:vAlign w:val="center"/>
            <w:hideMark/>
          </w:tcPr>
          <w:p w14:paraId="44F7435A" w14:textId="77777777" w:rsidR="00C21754" w:rsidRPr="00D87905" w:rsidRDefault="00C21754" w:rsidP="0001014F">
            <w:r w:rsidRPr="00D87905">
              <w:t>May ride-through or trip</w:t>
            </w:r>
          </w:p>
        </w:tc>
      </w:tr>
      <w:tr w:rsidR="00C21754" w14:paraId="14103F01" w14:textId="77777777" w:rsidTr="005F21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9B8342" w14:textId="77777777" w:rsidR="00C21754" w:rsidRPr="00D87905" w:rsidRDefault="00C21754" w:rsidP="0001014F">
            <w:r w:rsidRPr="00D87905">
              <w:t>1.10 &lt; V ≤ 1.20</w:t>
            </w:r>
          </w:p>
        </w:tc>
        <w:tc>
          <w:tcPr>
            <w:tcW w:w="3253" w:type="dxa"/>
          </w:tcPr>
          <w:p w14:paraId="2D48ECEB" w14:textId="0E7BAD6F" w:rsidR="00C21754" w:rsidRPr="00D87905" w:rsidRDefault="00C21754" w:rsidP="0001014F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N/A</w:t>
            </w:r>
          </w:p>
        </w:tc>
        <w:tc>
          <w:tcPr>
            <w:tcW w:w="3522" w:type="dxa"/>
            <w:vAlign w:val="center"/>
            <w:hideMark/>
          </w:tcPr>
          <w:p w14:paraId="61B5BC93" w14:textId="77777777" w:rsidR="00C21754" w:rsidRPr="00D87905" w:rsidRDefault="00C21754" w:rsidP="0001014F">
            <w:r w:rsidRPr="00D87905">
              <w:rPr>
                <w:rStyle w:val="Strong"/>
                <w:b w:val="0"/>
                <w:bCs w:val="0"/>
              </w:rPr>
              <w:t>2.0 s</w:t>
            </w:r>
          </w:p>
        </w:tc>
      </w:tr>
      <w:tr w:rsidR="00C21754" w14:paraId="6B9119CB" w14:textId="77777777" w:rsidTr="005F212E">
        <w:trPr>
          <w:tblCellSpacing w:w="15" w:type="dxa"/>
        </w:trPr>
        <w:tc>
          <w:tcPr>
            <w:tcW w:w="0" w:type="auto"/>
            <w:vAlign w:val="center"/>
          </w:tcPr>
          <w:p w14:paraId="2195B7E9" w14:textId="77777777" w:rsidR="00C21754" w:rsidRPr="00AF5A60" w:rsidRDefault="00C21754" w:rsidP="0001014F">
            <w:pPr>
              <w:rPr>
                <w:rStyle w:val="Strong"/>
                <w:b w:val="0"/>
                <w:bCs w:val="0"/>
              </w:rPr>
            </w:pPr>
            <w:r w:rsidRPr="00AF5A60">
              <w:rPr>
                <w:rStyle w:val="Strong"/>
                <w:b w:val="0"/>
                <w:bCs w:val="0"/>
              </w:rPr>
              <w:t>1.175&lt;V≤1.2</w:t>
            </w:r>
          </w:p>
        </w:tc>
        <w:tc>
          <w:tcPr>
            <w:tcW w:w="3253" w:type="dxa"/>
          </w:tcPr>
          <w:p w14:paraId="7CF24680" w14:textId="77777777" w:rsidR="00C21754" w:rsidRPr="00AF5A60" w:rsidRDefault="00C21754" w:rsidP="0001014F">
            <w:pPr>
              <w:rPr>
                <w:rStyle w:val="Strong"/>
                <w:b w:val="0"/>
                <w:bCs w:val="0"/>
              </w:rPr>
            </w:pPr>
            <w:r w:rsidRPr="00AF5A60">
              <w:rPr>
                <w:rStyle w:val="Strong"/>
                <w:b w:val="0"/>
                <w:bCs w:val="0"/>
              </w:rPr>
              <w:t>0.2 s</w:t>
            </w:r>
          </w:p>
        </w:tc>
        <w:tc>
          <w:tcPr>
            <w:tcW w:w="3522" w:type="dxa"/>
            <w:vAlign w:val="center"/>
          </w:tcPr>
          <w:p w14:paraId="7587889E" w14:textId="51088D11" w:rsidR="00C21754" w:rsidRPr="00D87905" w:rsidRDefault="00C21754" w:rsidP="0001014F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2.0 s</w:t>
            </w:r>
          </w:p>
        </w:tc>
      </w:tr>
      <w:tr w:rsidR="00C21754" w14:paraId="2781D6FC" w14:textId="77777777" w:rsidTr="005F212E">
        <w:trPr>
          <w:tblCellSpacing w:w="15" w:type="dxa"/>
        </w:trPr>
        <w:tc>
          <w:tcPr>
            <w:tcW w:w="0" w:type="auto"/>
            <w:vAlign w:val="center"/>
          </w:tcPr>
          <w:p w14:paraId="38977F73" w14:textId="77777777" w:rsidR="00C21754" w:rsidRPr="00AF5A60" w:rsidRDefault="00C21754" w:rsidP="0001014F">
            <w:pPr>
              <w:rPr>
                <w:rStyle w:val="Strong"/>
                <w:b w:val="0"/>
                <w:bCs w:val="0"/>
              </w:rPr>
            </w:pPr>
            <w:r w:rsidRPr="00AF5A60">
              <w:rPr>
                <w:rStyle w:val="Strong"/>
                <w:b w:val="0"/>
                <w:bCs w:val="0"/>
              </w:rPr>
              <w:t>1.15&lt;V≤1.175</w:t>
            </w:r>
          </w:p>
        </w:tc>
        <w:tc>
          <w:tcPr>
            <w:tcW w:w="3253" w:type="dxa"/>
          </w:tcPr>
          <w:p w14:paraId="75CBCCB9" w14:textId="77777777" w:rsidR="00C21754" w:rsidRPr="00AF5A60" w:rsidRDefault="00C21754" w:rsidP="0001014F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0.5 s</w:t>
            </w:r>
          </w:p>
        </w:tc>
        <w:tc>
          <w:tcPr>
            <w:tcW w:w="3522" w:type="dxa"/>
            <w:vAlign w:val="center"/>
          </w:tcPr>
          <w:p w14:paraId="2679BE2F" w14:textId="6F8C9813" w:rsidR="00C21754" w:rsidRPr="00D87905" w:rsidRDefault="00C21754" w:rsidP="0001014F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2.0 s</w:t>
            </w:r>
          </w:p>
        </w:tc>
      </w:tr>
      <w:tr w:rsidR="00C21754" w14:paraId="33F0C286" w14:textId="77777777" w:rsidTr="005F212E">
        <w:trPr>
          <w:tblCellSpacing w:w="15" w:type="dxa"/>
        </w:trPr>
        <w:tc>
          <w:tcPr>
            <w:tcW w:w="0" w:type="auto"/>
            <w:vAlign w:val="center"/>
          </w:tcPr>
          <w:p w14:paraId="3B214715" w14:textId="77777777" w:rsidR="00C21754" w:rsidRDefault="00C21754" w:rsidP="0001014F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lastRenderedPageBreak/>
              <w:t>0.9</w:t>
            </w:r>
            <w:r w:rsidRPr="00AF5A60">
              <w:rPr>
                <w:rStyle w:val="Strong"/>
                <w:b w:val="0"/>
                <w:bCs w:val="0"/>
              </w:rPr>
              <w:t>≤</w:t>
            </w:r>
            <w:r>
              <w:rPr>
                <w:rStyle w:val="Strong"/>
                <w:b w:val="0"/>
                <w:bCs w:val="0"/>
              </w:rPr>
              <w:t>V</w:t>
            </w:r>
            <w:r w:rsidRPr="00AF5A60">
              <w:rPr>
                <w:rStyle w:val="Strong"/>
                <w:b w:val="0"/>
                <w:bCs w:val="0"/>
              </w:rPr>
              <w:t>≤</w:t>
            </w:r>
            <w:r>
              <w:rPr>
                <w:rStyle w:val="Strong"/>
                <w:b w:val="0"/>
                <w:bCs w:val="0"/>
              </w:rPr>
              <w:t>1.10</w:t>
            </w:r>
          </w:p>
        </w:tc>
        <w:tc>
          <w:tcPr>
            <w:tcW w:w="3253" w:type="dxa"/>
            <w:vAlign w:val="center"/>
          </w:tcPr>
          <w:p w14:paraId="44D04C3C" w14:textId="77777777" w:rsidR="00C21754" w:rsidRPr="00AF5A60" w:rsidRDefault="00C21754" w:rsidP="0001014F">
            <w:pPr>
              <w:rPr>
                <w:rStyle w:val="Strong"/>
                <w:b w:val="0"/>
                <w:bCs w:val="0"/>
              </w:rPr>
            </w:pPr>
            <w:r w:rsidRPr="00D87905">
              <w:rPr>
                <w:rStyle w:val="Strong"/>
                <w:b w:val="0"/>
                <w:bCs w:val="0"/>
              </w:rPr>
              <w:t>Continuous</w:t>
            </w:r>
          </w:p>
        </w:tc>
        <w:tc>
          <w:tcPr>
            <w:tcW w:w="3522" w:type="dxa"/>
            <w:vAlign w:val="center"/>
          </w:tcPr>
          <w:p w14:paraId="06097597" w14:textId="3EF5A698" w:rsidR="00C21754" w:rsidRPr="00D87905" w:rsidRDefault="00C21754" w:rsidP="0001014F">
            <w:pPr>
              <w:rPr>
                <w:rStyle w:val="Strong"/>
                <w:b w:val="0"/>
                <w:bCs w:val="0"/>
              </w:rPr>
            </w:pPr>
            <w:r w:rsidRPr="00D87905">
              <w:rPr>
                <w:rStyle w:val="Strong"/>
                <w:b w:val="0"/>
                <w:bCs w:val="0"/>
              </w:rPr>
              <w:t>Continuous</w:t>
            </w:r>
          </w:p>
        </w:tc>
      </w:tr>
      <w:tr w:rsidR="00C21754" w14:paraId="687E472D" w14:textId="77777777" w:rsidTr="005F212E">
        <w:trPr>
          <w:tblCellSpacing w:w="15" w:type="dxa"/>
        </w:trPr>
        <w:tc>
          <w:tcPr>
            <w:tcW w:w="0" w:type="auto"/>
            <w:vAlign w:val="center"/>
          </w:tcPr>
          <w:p w14:paraId="36637003" w14:textId="77777777" w:rsidR="00C21754" w:rsidRDefault="00C21754" w:rsidP="0001014F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0.0&lt;V&lt;0.9</w:t>
            </w:r>
          </w:p>
        </w:tc>
        <w:tc>
          <w:tcPr>
            <w:tcW w:w="3253" w:type="dxa"/>
            <w:vAlign w:val="center"/>
          </w:tcPr>
          <w:p w14:paraId="15C82B5E" w14:textId="77777777" w:rsidR="00C21754" w:rsidRPr="00D87905" w:rsidRDefault="00C21754" w:rsidP="0001014F">
            <w:pPr>
              <w:rPr>
                <w:rStyle w:val="Strong"/>
                <w:b w:val="0"/>
                <w:bCs w:val="0"/>
              </w:rPr>
            </w:pPr>
            <w:r w:rsidRPr="00D87905">
              <w:rPr>
                <w:rStyle w:val="Strong"/>
                <w:b w:val="0"/>
                <w:bCs w:val="0"/>
              </w:rPr>
              <w:t>(V + 0.084375) / 0.5625</w:t>
            </w:r>
          </w:p>
        </w:tc>
        <w:tc>
          <w:tcPr>
            <w:tcW w:w="3522" w:type="dxa"/>
            <w:vAlign w:val="center"/>
          </w:tcPr>
          <w:p w14:paraId="3B34827A" w14:textId="7609B90D" w:rsidR="00C21754" w:rsidRPr="00D87905" w:rsidRDefault="00C21754" w:rsidP="0001014F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N/A</w:t>
            </w:r>
          </w:p>
        </w:tc>
      </w:tr>
      <w:tr w:rsidR="00C21754" w14:paraId="03A53C62" w14:textId="77777777" w:rsidTr="005F212E">
        <w:trPr>
          <w:tblCellSpacing w:w="15" w:type="dxa"/>
        </w:trPr>
        <w:tc>
          <w:tcPr>
            <w:tcW w:w="0" w:type="auto"/>
            <w:vAlign w:val="center"/>
          </w:tcPr>
          <w:p w14:paraId="2FD30704" w14:textId="77777777" w:rsidR="00C21754" w:rsidRPr="00D87905" w:rsidRDefault="00C21754" w:rsidP="0001014F">
            <w:r>
              <w:t>V=0.0</w:t>
            </w:r>
          </w:p>
        </w:tc>
        <w:tc>
          <w:tcPr>
            <w:tcW w:w="3253" w:type="dxa"/>
          </w:tcPr>
          <w:p w14:paraId="4DC0EE1B" w14:textId="77777777" w:rsidR="00C21754" w:rsidRPr="00D87905" w:rsidRDefault="00C21754" w:rsidP="0001014F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0.15 s</w:t>
            </w:r>
          </w:p>
        </w:tc>
        <w:tc>
          <w:tcPr>
            <w:tcW w:w="3522" w:type="dxa"/>
            <w:vAlign w:val="center"/>
          </w:tcPr>
          <w:p w14:paraId="7D7B70D9" w14:textId="6211582A" w:rsidR="00C21754" w:rsidRPr="00D87905" w:rsidRDefault="00C21754" w:rsidP="0001014F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0.15 s</w:t>
            </w:r>
          </w:p>
        </w:tc>
      </w:tr>
      <w:tr w:rsidR="00C21754" w14:paraId="430A3529" w14:textId="77777777" w:rsidTr="005F21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7D86C7" w14:textId="77777777" w:rsidR="00C21754" w:rsidRPr="00D87905" w:rsidRDefault="00C21754" w:rsidP="0001014F">
            <w:r w:rsidRPr="00D87905">
              <w:t>0.80 ≤ V &lt; 0.90</w:t>
            </w:r>
          </w:p>
        </w:tc>
        <w:tc>
          <w:tcPr>
            <w:tcW w:w="3253" w:type="dxa"/>
          </w:tcPr>
          <w:p w14:paraId="5EF857A0" w14:textId="6385E7BC" w:rsidR="00C21754" w:rsidRPr="00D87905" w:rsidRDefault="00C21754" w:rsidP="0001014F">
            <w:pPr>
              <w:rPr>
                <w:rStyle w:val="Strong"/>
                <w:b w:val="0"/>
                <w:bCs w:val="0"/>
              </w:rPr>
            </w:pPr>
            <w:r w:rsidRPr="00BA3BC4">
              <w:rPr>
                <w:rStyle w:val="Strong"/>
                <w:b w:val="0"/>
                <w:bCs w:val="0"/>
              </w:rPr>
              <w:t>(V + 0.084375) / 0.5625</w:t>
            </w:r>
          </w:p>
        </w:tc>
        <w:tc>
          <w:tcPr>
            <w:tcW w:w="3522" w:type="dxa"/>
            <w:vAlign w:val="center"/>
            <w:hideMark/>
          </w:tcPr>
          <w:p w14:paraId="78467BD9" w14:textId="77777777" w:rsidR="00C21754" w:rsidRPr="00D87905" w:rsidRDefault="00C21754" w:rsidP="0001014F">
            <w:r w:rsidRPr="00D87905">
              <w:rPr>
                <w:rStyle w:val="Strong"/>
                <w:b w:val="0"/>
                <w:bCs w:val="0"/>
              </w:rPr>
              <w:t>2.0 s</w:t>
            </w:r>
          </w:p>
        </w:tc>
      </w:tr>
      <w:tr w:rsidR="00C21754" w14:paraId="3AF20B66" w14:textId="77777777" w:rsidTr="005F21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A62D26" w14:textId="43715C32" w:rsidR="00C21754" w:rsidRPr="00D87905" w:rsidRDefault="00C21754" w:rsidP="0001014F">
            <w:r w:rsidRPr="00D87905">
              <w:t>0.</w:t>
            </w:r>
            <w:r>
              <w:t>5</w:t>
            </w:r>
            <w:r w:rsidRPr="00D87905">
              <w:t>0 ≤ V &lt; 0.80</w:t>
            </w:r>
          </w:p>
        </w:tc>
        <w:tc>
          <w:tcPr>
            <w:tcW w:w="3253" w:type="dxa"/>
          </w:tcPr>
          <w:p w14:paraId="7B77CEBF" w14:textId="6A12FBB2" w:rsidR="00C21754" w:rsidRPr="00D87905" w:rsidRDefault="00C21754" w:rsidP="0001014F">
            <w:pPr>
              <w:rPr>
                <w:rStyle w:val="Strong"/>
                <w:b w:val="0"/>
                <w:bCs w:val="0"/>
              </w:rPr>
            </w:pPr>
            <w:r w:rsidRPr="00BA3BC4">
              <w:rPr>
                <w:rStyle w:val="Strong"/>
                <w:b w:val="0"/>
                <w:bCs w:val="0"/>
              </w:rPr>
              <w:t>(V + 0.084375) / 0.5625</w:t>
            </w:r>
          </w:p>
        </w:tc>
        <w:tc>
          <w:tcPr>
            <w:tcW w:w="3522" w:type="dxa"/>
            <w:vAlign w:val="center"/>
            <w:hideMark/>
          </w:tcPr>
          <w:p w14:paraId="3E4367CD" w14:textId="77777777" w:rsidR="00C21754" w:rsidRPr="00D87905" w:rsidRDefault="00C21754" w:rsidP="0001014F">
            <w:r w:rsidRPr="00D87905">
              <w:rPr>
                <w:rStyle w:val="Strong"/>
                <w:b w:val="0"/>
                <w:bCs w:val="0"/>
              </w:rPr>
              <w:t>0.5 s</w:t>
            </w:r>
          </w:p>
        </w:tc>
      </w:tr>
      <w:tr w:rsidR="00C21754" w14:paraId="699C2AB9" w14:textId="77777777" w:rsidTr="005F21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5F324C" w14:textId="00C2CEDC" w:rsidR="00C21754" w:rsidRPr="00D87905" w:rsidRDefault="00C21754" w:rsidP="0001014F">
            <w:r w:rsidRPr="00D87905">
              <w:t>0.2</w:t>
            </w:r>
            <w:r>
              <w:t>0</w:t>
            </w:r>
            <w:r w:rsidRPr="00D87905">
              <w:t xml:space="preserve"> ≤ V &lt; 0.50</w:t>
            </w:r>
          </w:p>
        </w:tc>
        <w:tc>
          <w:tcPr>
            <w:tcW w:w="3253" w:type="dxa"/>
          </w:tcPr>
          <w:p w14:paraId="1B6598A3" w14:textId="68EED804" w:rsidR="00C21754" w:rsidRPr="00D87905" w:rsidRDefault="00C21754" w:rsidP="0001014F">
            <w:pPr>
              <w:rPr>
                <w:rStyle w:val="Strong"/>
                <w:b w:val="0"/>
                <w:bCs w:val="0"/>
              </w:rPr>
            </w:pPr>
            <w:r w:rsidRPr="00BA3BC4">
              <w:rPr>
                <w:rStyle w:val="Strong"/>
                <w:b w:val="0"/>
                <w:bCs w:val="0"/>
              </w:rPr>
              <w:t>(V + 0.084375) / 0.5625</w:t>
            </w:r>
          </w:p>
        </w:tc>
        <w:tc>
          <w:tcPr>
            <w:tcW w:w="3522" w:type="dxa"/>
            <w:vAlign w:val="center"/>
            <w:hideMark/>
          </w:tcPr>
          <w:p w14:paraId="239D6E46" w14:textId="77777777" w:rsidR="00C21754" w:rsidRPr="00D87905" w:rsidRDefault="00C21754" w:rsidP="0001014F">
            <w:r w:rsidRPr="00D87905">
              <w:rPr>
                <w:rStyle w:val="Strong"/>
                <w:b w:val="0"/>
                <w:bCs w:val="0"/>
              </w:rPr>
              <w:t>0.25 s</w:t>
            </w:r>
          </w:p>
        </w:tc>
      </w:tr>
      <w:tr w:rsidR="00C21754" w14:paraId="349FA2CE" w14:textId="77777777" w:rsidTr="005F212E">
        <w:trPr>
          <w:tblCellSpacing w:w="15" w:type="dxa"/>
        </w:trPr>
        <w:tc>
          <w:tcPr>
            <w:tcW w:w="0" w:type="auto"/>
            <w:vAlign w:val="center"/>
          </w:tcPr>
          <w:p w14:paraId="71E3BDC3" w14:textId="77777777" w:rsidR="00C21754" w:rsidRPr="00D87905" w:rsidRDefault="00C21754" w:rsidP="0001014F">
            <w:r>
              <w:t>V&lt;0.20</w:t>
            </w:r>
          </w:p>
        </w:tc>
        <w:tc>
          <w:tcPr>
            <w:tcW w:w="3253" w:type="dxa"/>
          </w:tcPr>
          <w:p w14:paraId="4D286948" w14:textId="041EAE33" w:rsidR="00C21754" w:rsidRPr="00D87905" w:rsidRDefault="00C21754" w:rsidP="0001014F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N/A</w:t>
            </w:r>
          </w:p>
        </w:tc>
        <w:tc>
          <w:tcPr>
            <w:tcW w:w="3522" w:type="dxa"/>
            <w:vAlign w:val="center"/>
          </w:tcPr>
          <w:p w14:paraId="225BBE48" w14:textId="77777777" w:rsidR="00C21754" w:rsidRPr="00D87905" w:rsidRDefault="00C21754" w:rsidP="0001014F">
            <w:pPr>
              <w:rPr>
                <w:rStyle w:val="Strong"/>
                <w:b w:val="0"/>
                <w:bCs w:val="0"/>
              </w:rPr>
            </w:pPr>
            <w:r w:rsidRPr="00D87905">
              <w:rPr>
                <w:rStyle w:val="Strong"/>
                <w:b w:val="0"/>
                <w:bCs w:val="0"/>
              </w:rPr>
              <w:t>0.15 s</w:t>
            </w:r>
          </w:p>
        </w:tc>
      </w:tr>
    </w:tbl>
    <w:p w14:paraId="6C99E084" w14:textId="25F23D5B" w:rsidR="003A1425" w:rsidRDefault="003A1425" w:rsidP="0001014F">
      <w:pPr>
        <w:pStyle w:val="NormalArial"/>
        <w:spacing w:before="240" w:after="120"/>
      </w:pPr>
      <w:r>
        <w:t xml:space="preserve">Clarification on </w:t>
      </w:r>
      <w:r w:rsidR="3FD32EB2">
        <w:t xml:space="preserve">the three </w:t>
      </w:r>
      <w:r>
        <w:t>points</w:t>
      </w:r>
      <w:r w:rsidR="35B8783A">
        <w:t xml:space="preserve"> above will</w:t>
      </w:r>
      <w:r>
        <w:t xml:space="preserve"> reduce the risk of conflict following disturbance events, define clear compliance expectations, and provide important context to generators seeking to co</w:t>
      </w:r>
      <w:r w:rsidR="1E354220">
        <w:t>-l</w:t>
      </w:r>
      <w:r>
        <w:t xml:space="preserve">ocate. </w:t>
      </w:r>
    </w:p>
    <w:p w14:paraId="524FD5E0" w14:textId="3D535E8E" w:rsidR="003A1425" w:rsidRDefault="003A1425" w:rsidP="0001014F">
      <w:pPr>
        <w:pStyle w:val="NormalArial"/>
        <w:spacing w:before="120" w:after="120"/>
      </w:pPr>
      <w:r>
        <w:t>Onward Energy recommends that ERCOT consider adding explicit language to</w:t>
      </w:r>
      <w:r w:rsidR="13734001">
        <w:t xml:space="preserve"> NOGRR282 t</w:t>
      </w:r>
      <w:r w:rsidR="5F091C7E">
        <w:t>o</w:t>
      </w:r>
      <w:r w:rsidR="13734001">
        <w:t xml:space="preserve"> specify the applicable voltage and ride-through requirements at the POI</w:t>
      </w:r>
      <w:r>
        <w:t xml:space="preserve"> </w:t>
      </w:r>
      <w:r w:rsidR="4273AF9B">
        <w:t>and</w:t>
      </w:r>
      <w:r w:rsidR="620A8266">
        <w:t xml:space="preserve"> to delineate </w:t>
      </w:r>
      <w:r>
        <w:t>how ride-through performance and responsibility will be evaluated for a co</w:t>
      </w:r>
      <w:r w:rsidR="4ABD7F9D">
        <w:t>-</w:t>
      </w:r>
      <w:r>
        <w:t>located generator and LEL</w:t>
      </w:r>
      <w:r w:rsidR="2E2A2074">
        <w:t>.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55032D" w14:paraId="7997F37A" w14:textId="77777777" w:rsidTr="004D37D7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AEAB7BF" w14:textId="77777777" w:rsidR="0055032D" w:rsidRDefault="0055032D" w:rsidP="0001014F">
            <w:pPr>
              <w:pStyle w:val="Header"/>
              <w:jc w:val="center"/>
            </w:pPr>
            <w:r>
              <w:t>Revised Cover Page Language</w:t>
            </w:r>
          </w:p>
        </w:tc>
      </w:tr>
    </w:tbl>
    <w:p w14:paraId="61FFA01E" w14:textId="5ECE0268" w:rsidR="00152993" w:rsidRDefault="0001014F" w:rsidP="0001014F">
      <w:pPr>
        <w:pStyle w:val="NormalArial"/>
        <w:spacing w:before="120" w:after="120"/>
      </w:pPr>
      <w:r>
        <w:t>None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152993" w14:paraId="12710D43" w14:textId="77777777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6AE9403" w14:textId="77777777" w:rsidR="00152993" w:rsidRDefault="00152993" w:rsidP="0001014F">
            <w:pPr>
              <w:pStyle w:val="Header"/>
              <w:jc w:val="center"/>
            </w:pPr>
            <w:r>
              <w:t xml:space="preserve">Revised Proposed </w:t>
            </w:r>
            <w:r w:rsidR="00C158EE">
              <w:t xml:space="preserve">Guide </w:t>
            </w:r>
            <w:r>
              <w:t>Language</w:t>
            </w:r>
          </w:p>
        </w:tc>
      </w:tr>
    </w:tbl>
    <w:p w14:paraId="76324918" w14:textId="65BB98FD" w:rsidR="00152993" w:rsidRDefault="0001014F" w:rsidP="0001014F">
      <w:pPr>
        <w:pStyle w:val="NormalArial"/>
        <w:spacing w:before="120" w:after="120"/>
      </w:pPr>
      <w:r>
        <w:t>None</w:t>
      </w:r>
    </w:p>
    <w:sectPr w:rsidR="00152993" w:rsidSect="0074209E">
      <w:headerReference w:type="default" r:id="rId9"/>
      <w:footerReference w:type="default" r:id="rId1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C403C" w14:textId="77777777" w:rsidR="00F20E08" w:rsidRDefault="00F20E08">
      <w:r>
        <w:separator/>
      </w:r>
    </w:p>
  </w:endnote>
  <w:endnote w:type="continuationSeparator" w:id="0">
    <w:p w14:paraId="7CE5861D" w14:textId="77777777" w:rsidR="00F20E08" w:rsidRDefault="00F20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6AD93" w14:textId="7AB5E1B3" w:rsidR="003D0994" w:rsidRDefault="007F4D61" w:rsidP="0074209E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FILENAME   \* MERGEFORMAT </w:instrText>
    </w:r>
    <w:r>
      <w:rPr>
        <w:rFonts w:ascii="Arial" w:hAnsi="Arial"/>
        <w:sz w:val="18"/>
      </w:rPr>
      <w:fldChar w:fldCharType="separate"/>
    </w:r>
    <w:r w:rsidR="0001014F">
      <w:rPr>
        <w:rFonts w:ascii="Arial" w:hAnsi="Arial"/>
        <w:noProof/>
        <w:sz w:val="18"/>
      </w:rPr>
      <w:t>282NOGRR-07 Onward Energy Comments 012326</w:t>
    </w:r>
    <w:r>
      <w:rPr>
        <w:rFonts w:ascii="Arial" w:hAnsi="Arial"/>
        <w:sz w:val="18"/>
      </w:rPr>
      <w:fldChar w:fldCharType="end"/>
    </w:r>
    <w:r w:rsidR="003D0994">
      <w:rPr>
        <w:rFonts w:ascii="Arial" w:hAnsi="Arial"/>
        <w:sz w:val="18"/>
      </w:rPr>
      <w:tab/>
      <w:t xml:space="preserve">Page </w:t>
    </w:r>
    <w:r w:rsidR="003D0994">
      <w:rPr>
        <w:rFonts w:ascii="Arial" w:hAnsi="Arial"/>
        <w:sz w:val="18"/>
      </w:rPr>
      <w:fldChar w:fldCharType="begin"/>
    </w:r>
    <w:r w:rsidR="003D0994">
      <w:rPr>
        <w:rFonts w:ascii="Arial" w:hAnsi="Arial"/>
        <w:sz w:val="18"/>
      </w:rPr>
      <w:instrText xml:space="preserve"> PAGE </w:instrText>
    </w:r>
    <w:r w:rsidR="003D0994">
      <w:rPr>
        <w:rFonts w:ascii="Arial" w:hAnsi="Arial"/>
        <w:sz w:val="18"/>
      </w:rPr>
      <w:fldChar w:fldCharType="separate"/>
    </w:r>
    <w:r>
      <w:rPr>
        <w:rFonts w:ascii="Arial" w:hAnsi="Arial"/>
        <w:noProof/>
        <w:sz w:val="18"/>
      </w:rPr>
      <w:t>1</w:t>
    </w:r>
    <w:r w:rsidR="003D0994">
      <w:rPr>
        <w:rFonts w:ascii="Arial" w:hAnsi="Arial"/>
        <w:sz w:val="18"/>
      </w:rPr>
      <w:fldChar w:fldCharType="end"/>
    </w:r>
    <w:r w:rsidR="003D0994">
      <w:rPr>
        <w:rFonts w:ascii="Arial" w:hAnsi="Arial"/>
        <w:sz w:val="18"/>
      </w:rPr>
      <w:t xml:space="preserve"> of </w:t>
    </w:r>
    <w:r w:rsidR="003D0994">
      <w:rPr>
        <w:rFonts w:ascii="Arial" w:hAnsi="Arial"/>
        <w:sz w:val="18"/>
      </w:rPr>
      <w:fldChar w:fldCharType="begin"/>
    </w:r>
    <w:r w:rsidR="003D0994">
      <w:rPr>
        <w:rFonts w:ascii="Arial" w:hAnsi="Arial"/>
        <w:sz w:val="18"/>
      </w:rPr>
      <w:instrText xml:space="preserve"> NUMPAGES </w:instrText>
    </w:r>
    <w:r w:rsidR="003D0994">
      <w:rPr>
        <w:rFonts w:ascii="Arial" w:hAnsi="Arial"/>
        <w:sz w:val="18"/>
      </w:rPr>
      <w:fldChar w:fldCharType="separate"/>
    </w:r>
    <w:r>
      <w:rPr>
        <w:rFonts w:ascii="Arial" w:hAnsi="Arial"/>
        <w:noProof/>
        <w:sz w:val="18"/>
      </w:rPr>
      <w:t>1</w:t>
    </w:r>
    <w:r w:rsidR="003D0994">
      <w:rPr>
        <w:rFonts w:ascii="Arial" w:hAnsi="Arial"/>
        <w:sz w:val="18"/>
      </w:rPr>
      <w:fldChar w:fldCharType="end"/>
    </w:r>
  </w:p>
  <w:p w14:paraId="7B9DABB4" w14:textId="77777777" w:rsidR="00FD08E8" w:rsidRDefault="00FD08E8" w:rsidP="003C405A">
    <w:pPr>
      <w:pStyle w:val="Footer"/>
      <w:tabs>
        <w:tab w:val="clear" w:pos="4320"/>
        <w:tab w:val="clear" w:pos="8640"/>
        <w:tab w:val="right" w:pos="9360"/>
      </w:tabs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8AC4C" w14:textId="77777777" w:rsidR="00F20E08" w:rsidRDefault="00F20E08">
      <w:r>
        <w:separator/>
      </w:r>
    </w:p>
  </w:footnote>
  <w:footnote w:type="continuationSeparator" w:id="0">
    <w:p w14:paraId="35C8B3A8" w14:textId="77777777" w:rsidR="00F20E08" w:rsidRDefault="00F20E08">
      <w:r>
        <w:continuationSeparator/>
      </w:r>
    </w:p>
  </w:footnote>
  <w:footnote w:id="1">
    <w:p w14:paraId="3424A9DF" w14:textId="293F0457" w:rsidR="00BA5F1C" w:rsidRDefault="00BA5F1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BA5F1C">
          <w:rPr>
            <w:rStyle w:val="Hyperlink"/>
          </w:rPr>
          <w:t>245NOGRR112 PUCT Report 092624</w:t>
        </w:r>
      </w:hyperlink>
    </w:p>
  </w:footnote>
  <w:footnote w:id="2">
    <w:p w14:paraId="4357089A" w14:textId="2B292C71" w:rsidR="00B22FE5" w:rsidRDefault="00B22FE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="00BA5F1C" w:rsidRPr="00BA5F1C">
          <w:rPr>
            <w:rStyle w:val="Hyperlink"/>
          </w:rPr>
          <w:t>292NOGRR-04 ROS Report 210425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57BC8" w14:textId="77777777" w:rsidR="003D0994" w:rsidRDefault="00D825C5">
    <w:pPr>
      <w:pStyle w:val="Header"/>
      <w:jc w:val="center"/>
      <w:rPr>
        <w:sz w:val="32"/>
      </w:rPr>
    </w:pPr>
    <w:r>
      <w:rPr>
        <w:sz w:val="32"/>
      </w:rPr>
      <w:t>NOG</w:t>
    </w:r>
    <w:r w:rsidR="00C158EE">
      <w:rPr>
        <w:sz w:val="32"/>
      </w:rPr>
      <w:t xml:space="preserve">RR </w:t>
    </w:r>
    <w:r w:rsidR="003D0994">
      <w:rPr>
        <w:sz w:val="32"/>
      </w:rPr>
      <w:t>Comments</w:t>
    </w:r>
  </w:p>
  <w:p w14:paraId="013A5FEE" w14:textId="77777777" w:rsidR="003D0994" w:rsidRDefault="003D09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5C26B7F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34D49DA"/>
    <w:multiLevelType w:val="hybridMultilevel"/>
    <w:tmpl w:val="8EB07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62D65"/>
    <w:multiLevelType w:val="hybridMultilevel"/>
    <w:tmpl w:val="5EBCDC00"/>
    <w:lvl w:ilvl="0" w:tplc="9B2C7B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4B0ACB"/>
    <w:multiLevelType w:val="hybridMultilevel"/>
    <w:tmpl w:val="8594EE0E"/>
    <w:lvl w:ilvl="0" w:tplc="D93421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060C90"/>
    <w:multiLevelType w:val="hybridMultilevel"/>
    <w:tmpl w:val="246208DE"/>
    <w:lvl w:ilvl="0" w:tplc="9434FC1A">
      <w:start w:val="1"/>
      <w:numFmt w:val="bullet"/>
      <w:pStyle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41684397">
    <w:abstractNumId w:val="0"/>
  </w:num>
  <w:num w:numId="2" w16cid:durableId="1780638007">
    <w:abstractNumId w:val="4"/>
  </w:num>
  <w:num w:numId="3" w16cid:durableId="1520122601">
    <w:abstractNumId w:val="2"/>
  </w:num>
  <w:num w:numId="4" w16cid:durableId="2057701478">
    <w:abstractNumId w:val="3"/>
  </w:num>
  <w:num w:numId="5" w16cid:durableId="1996882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27D"/>
    <w:rsid w:val="00007226"/>
    <w:rsid w:val="0001014F"/>
    <w:rsid w:val="00012122"/>
    <w:rsid w:val="00024ADD"/>
    <w:rsid w:val="00037668"/>
    <w:rsid w:val="00064404"/>
    <w:rsid w:val="000755EF"/>
    <w:rsid w:val="00075A94"/>
    <w:rsid w:val="0008535A"/>
    <w:rsid w:val="000A0EF3"/>
    <w:rsid w:val="000A18AC"/>
    <w:rsid w:val="00132855"/>
    <w:rsid w:val="00152993"/>
    <w:rsid w:val="001607BA"/>
    <w:rsid w:val="00170297"/>
    <w:rsid w:val="001712D5"/>
    <w:rsid w:val="0017289E"/>
    <w:rsid w:val="001A227D"/>
    <w:rsid w:val="001E2032"/>
    <w:rsid w:val="001F538A"/>
    <w:rsid w:val="002113D2"/>
    <w:rsid w:val="00222B65"/>
    <w:rsid w:val="00237F13"/>
    <w:rsid w:val="002771E6"/>
    <w:rsid w:val="002A580B"/>
    <w:rsid w:val="002B5675"/>
    <w:rsid w:val="002C4117"/>
    <w:rsid w:val="002D7F63"/>
    <w:rsid w:val="002E33D1"/>
    <w:rsid w:val="003010C0"/>
    <w:rsid w:val="00303BCA"/>
    <w:rsid w:val="003118D3"/>
    <w:rsid w:val="00332A97"/>
    <w:rsid w:val="00333159"/>
    <w:rsid w:val="0034508D"/>
    <w:rsid w:val="00350C00"/>
    <w:rsid w:val="00366113"/>
    <w:rsid w:val="00394562"/>
    <w:rsid w:val="003A1425"/>
    <w:rsid w:val="003C270C"/>
    <w:rsid w:val="003C3624"/>
    <w:rsid w:val="003C405A"/>
    <w:rsid w:val="003D0994"/>
    <w:rsid w:val="003D5976"/>
    <w:rsid w:val="003E1B0C"/>
    <w:rsid w:val="003E7D74"/>
    <w:rsid w:val="00423824"/>
    <w:rsid w:val="00424B1F"/>
    <w:rsid w:val="0042526C"/>
    <w:rsid w:val="00425AB4"/>
    <w:rsid w:val="00432024"/>
    <w:rsid w:val="0043528C"/>
    <w:rsid w:val="0043567D"/>
    <w:rsid w:val="0045330C"/>
    <w:rsid w:val="004B7B90"/>
    <w:rsid w:val="004D37D7"/>
    <w:rsid w:val="004E2C19"/>
    <w:rsid w:val="004E7A17"/>
    <w:rsid w:val="00506C33"/>
    <w:rsid w:val="0055024D"/>
    <w:rsid w:val="0055032D"/>
    <w:rsid w:val="00555A8F"/>
    <w:rsid w:val="00572805"/>
    <w:rsid w:val="00582695"/>
    <w:rsid w:val="00583CC3"/>
    <w:rsid w:val="00586769"/>
    <w:rsid w:val="005D284C"/>
    <w:rsid w:val="005F212E"/>
    <w:rsid w:val="00606DB6"/>
    <w:rsid w:val="00623BC1"/>
    <w:rsid w:val="00630875"/>
    <w:rsid w:val="00633E23"/>
    <w:rsid w:val="00661689"/>
    <w:rsid w:val="00671AC1"/>
    <w:rsid w:val="00673B94"/>
    <w:rsid w:val="00680AC6"/>
    <w:rsid w:val="006835D8"/>
    <w:rsid w:val="00696931"/>
    <w:rsid w:val="006A33E6"/>
    <w:rsid w:val="006B70A7"/>
    <w:rsid w:val="006C316E"/>
    <w:rsid w:val="006C6928"/>
    <w:rsid w:val="006D0F7C"/>
    <w:rsid w:val="007269C4"/>
    <w:rsid w:val="0073403E"/>
    <w:rsid w:val="00734EAF"/>
    <w:rsid w:val="00734F9C"/>
    <w:rsid w:val="0074209E"/>
    <w:rsid w:val="0074263A"/>
    <w:rsid w:val="00746CE5"/>
    <w:rsid w:val="00761354"/>
    <w:rsid w:val="0077071B"/>
    <w:rsid w:val="007A3559"/>
    <w:rsid w:val="007A4657"/>
    <w:rsid w:val="007A7A85"/>
    <w:rsid w:val="007B045B"/>
    <w:rsid w:val="007E2356"/>
    <w:rsid w:val="007F2CA8"/>
    <w:rsid w:val="007F4D61"/>
    <w:rsid w:val="007F7161"/>
    <w:rsid w:val="00846387"/>
    <w:rsid w:val="0085559E"/>
    <w:rsid w:val="00893271"/>
    <w:rsid w:val="00896B1B"/>
    <w:rsid w:val="008A6E38"/>
    <w:rsid w:val="008C36C1"/>
    <w:rsid w:val="008D303C"/>
    <w:rsid w:val="008E559E"/>
    <w:rsid w:val="008F7112"/>
    <w:rsid w:val="00900B99"/>
    <w:rsid w:val="00901786"/>
    <w:rsid w:val="00916080"/>
    <w:rsid w:val="00921A68"/>
    <w:rsid w:val="00933D35"/>
    <w:rsid w:val="00960706"/>
    <w:rsid w:val="009848D5"/>
    <w:rsid w:val="00991D37"/>
    <w:rsid w:val="009946E3"/>
    <w:rsid w:val="009C5D3A"/>
    <w:rsid w:val="009E2278"/>
    <w:rsid w:val="00A015C4"/>
    <w:rsid w:val="00A07D79"/>
    <w:rsid w:val="00A122D8"/>
    <w:rsid w:val="00A127CB"/>
    <w:rsid w:val="00A15172"/>
    <w:rsid w:val="00A159A3"/>
    <w:rsid w:val="00A33E81"/>
    <w:rsid w:val="00AB061F"/>
    <w:rsid w:val="00AF3A5D"/>
    <w:rsid w:val="00AF538D"/>
    <w:rsid w:val="00AF5A60"/>
    <w:rsid w:val="00B22FE5"/>
    <w:rsid w:val="00B32E8B"/>
    <w:rsid w:val="00B65EEE"/>
    <w:rsid w:val="00B8649F"/>
    <w:rsid w:val="00B914F7"/>
    <w:rsid w:val="00BA5F1C"/>
    <w:rsid w:val="00BD3B30"/>
    <w:rsid w:val="00BF39AD"/>
    <w:rsid w:val="00BF64BC"/>
    <w:rsid w:val="00C0598D"/>
    <w:rsid w:val="00C103B7"/>
    <w:rsid w:val="00C11956"/>
    <w:rsid w:val="00C158EE"/>
    <w:rsid w:val="00C21754"/>
    <w:rsid w:val="00C27D5A"/>
    <w:rsid w:val="00C602E5"/>
    <w:rsid w:val="00C748FD"/>
    <w:rsid w:val="00C85731"/>
    <w:rsid w:val="00CA42E8"/>
    <w:rsid w:val="00CA4EAB"/>
    <w:rsid w:val="00CC30AF"/>
    <w:rsid w:val="00D249D2"/>
    <w:rsid w:val="00D24DCF"/>
    <w:rsid w:val="00D4046E"/>
    <w:rsid w:val="00D46D91"/>
    <w:rsid w:val="00D50F86"/>
    <w:rsid w:val="00D825C5"/>
    <w:rsid w:val="00D87905"/>
    <w:rsid w:val="00DB2429"/>
    <w:rsid w:val="00DC2CAB"/>
    <w:rsid w:val="00DC5C2B"/>
    <w:rsid w:val="00DD1F9D"/>
    <w:rsid w:val="00DD4739"/>
    <w:rsid w:val="00DE5F33"/>
    <w:rsid w:val="00E07B54"/>
    <w:rsid w:val="00E11F78"/>
    <w:rsid w:val="00E21D20"/>
    <w:rsid w:val="00E40740"/>
    <w:rsid w:val="00E60A10"/>
    <w:rsid w:val="00E621E1"/>
    <w:rsid w:val="00E70398"/>
    <w:rsid w:val="00E80E21"/>
    <w:rsid w:val="00E84260"/>
    <w:rsid w:val="00EC55B3"/>
    <w:rsid w:val="00EF7548"/>
    <w:rsid w:val="00F20E08"/>
    <w:rsid w:val="00F227C4"/>
    <w:rsid w:val="00F229D8"/>
    <w:rsid w:val="00F40808"/>
    <w:rsid w:val="00F8578B"/>
    <w:rsid w:val="00F96FB2"/>
    <w:rsid w:val="00FB51D8"/>
    <w:rsid w:val="00FC624A"/>
    <w:rsid w:val="00FD08E8"/>
    <w:rsid w:val="00FE4526"/>
    <w:rsid w:val="00FE5B3D"/>
    <w:rsid w:val="028E08AE"/>
    <w:rsid w:val="05D528C7"/>
    <w:rsid w:val="06F07D4F"/>
    <w:rsid w:val="08247F36"/>
    <w:rsid w:val="08DB2BA0"/>
    <w:rsid w:val="0E6CDE64"/>
    <w:rsid w:val="13734001"/>
    <w:rsid w:val="17231501"/>
    <w:rsid w:val="182EFABA"/>
    <w:rsid w:val="1994B180"/>
    <w:rsid w:val="19BA461B"/>
    <w:rsid w:val="19C3F3AC"/>
    <w:rsid w:val="1D23C0C2"/>
    <w:rsid w:val="1E354220"/>
    <w:rsid w:val="1F550718"/>
    <w:rsid w:val="1F9C97A8"/>
    <w:rsid w:val="22A81AD3"/>
    <w:rsid w:val="26B03A2C"/>
    <w:rsid w:val="27BE6D12"/>
    <w:rsid w:val="295C7D55"/>
    <w:rsid w:val="2AD52350"/>
    <w:rsid w:val="2C04E300"/>
    <w:rsid w:val="2D6A5D56"/>
    <w:rsid w:val="2E2A2074"/>
    <w:rsid w:val="304F0DB5"/>
    <w:rsid w:val="3193B984"/>
    <w:rsid w:val="32175AA0"/>
    <w:rsid w:val="33635EE2"/>
    <w:rsid w:val="33BC01F0"/>
    <w:rsid w:val="35B8783A"/>
    <w:rsid w:val="398D7F11"/>
    <w:rsid w:val="3A0348A1"/>
    <w:rsid w:val="3AD27AAE"/>
    <w:rsid w:val="3FD32EB2"/>
    <w:rsid w:val="41962564"/>
    <w:rsid w:val="4273AF9B"/>
    <w:rsid w:val="44CB41A3"/>
    <w:rsid w:val="478EBAE3"/>
    <w:rsid w:val="47A8B633"/>
    <w:rsid w:val="4ABD7F9D"/>
    <w:rsid w:val="4D714290"/>
    <w:rsid w:val="50599908"/>
    <w:rsid w:val="539E519D"/>
    <w:rsid w:val="55115A61"/>
    <w:rsid w:val="5D176DEA"/>
    <w:rsid w:val="5D9035AF"/>
    <w:rsid w:val="5E477C33"/>
    <w:rsid w:val="5E83EC17"/>
    <w:rsid w:val="5E86E3A9"/>
    <w:rsid w:val="5F091C7E"/>
    <w:rsid w:val="616509ED"/>
    <w:rsid w:val="620A8266"/>
    <w:rsid w:val="634ABC11"/>
    <w:rsid w:val="66DA849A"/>
    <w:rsid w:val="688D6999"/>
    <w:rsid w:val="6C1EC2A3"/>
    <w:rsid w:val="71D72EAC"/>
    <w:rsid w:val="720A25CE"/>
    <w:rsid w:val="74431EF7"/>
    <w:rsid w:val="751C2782"/>
    <w:rsid w:val="7ABEA244"/>
    <w:rsid w:val="7AFE8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E7F7AD"/>
  <w15:chartTrackingRefBased/>
  <w15:docId w15:val="{4B2035C2-F747-441E-AACB-3F918104D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numPr>
        <w:numId w:val="1"/>
      </w:numPr>
      <w:spacing w:after="240"/>
      <w:outlineLvl w:val="0"/>
    </w:pPr>
    <w:rPr>
      <w:b/>
      <w:caps/>
      <w:szCs w:val="20"/>
    </w:rPr>
  </w:style>
  <w:style w:type="paragraph" w:styleId="Heading2">
    <w:name w:val="heading 2"/>
    <w:aliases w:val="h2"/>
    <w:basedOn w:val="Normal"/>
    <w:next w:val="Normal"/>
    <w:qFormat/>
    <w:pPr>
      <w:keepNext/>
      <w:numPr>
        <w:ilvl w:val="1"/>
        <w:numId w:val="1"/>
      </w:numPr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numPr>
        <w:ilvl w:val="2"/>
        <w:numId w:val="1"/>
      </w:numPr>
      <w:spacing w:before="120" w:after="120"/>
      <w:outlineLvl w:val="2"/>
    </w:pPr>
    <w:rPr>
      <w:b/>
      <w:bCs/>
      <w:i/>
      <w:iCs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numPr>
        <w:ilvl w:val="3"/>
        <w:numId w:val="1"/>
      </w:numPr>
      <w:spacing w:before="360" w:after="240"/>
      <w:outlineLvl w:val="3"/>
    </w:pPr>
    <w:rPr>
      <w:b/>
      <w:bCs/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paragraph" w:customStyle="1" w:styleId="Bullet">
    <w:name w:val="Bullet"/>
    <w:basedOn w:val="Normal"/>
    <w:pPr>
      <w:numPr>
        <w:numId w:val="2"/>
      </w:numPr>
      <w:spacing w:before="60" w:after="120"/>
    </w:pPr>
    <w:rPr>
      <w:szCs w:val="20"/>
    </w:rPr>
  </w:style>
  <w:style w:type="paragraph" w:styleId="BalloonText">
    <w:name w:val="Balloon Text"/>
    <w:basedOn w:val="Normal"/>
    <w:semiHidden/>
    <w:rsid w:val="00673B94"/>
    <w:rPr>
      <w:rFonts w:ascii="Tahoma" w:hAnsi="Tahoma" w:cs="Tahoma"/>
      <w:sz w:val="16"/>
      <w:szCs w:val="16"/>
    </w:rPr>
  </w:style>
  <w:style w:type="paragraph" w:customStyle="1" w:styleId="NormalArial">
    <w:name w:val="Normal+Arial"/>
    <w:basedOn w:val="Normal"/>
    <w:rPr>
      <w:rFonts w:ascii="Arial" w:hAnsi="Arial"/>
    </w:rPr>
  </w:style>
  <w:style w:type="table" w:styleId="TableGrid">
    <w:name w:val="Table Grid"/>
    <w:basedOn w:val="TableNormal"/>
    <w:rsid w:val="00075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DD4739"/>
    <w:rPr>
      <w:sz w:val="16"/>
      <w:szCs w:val="16"/>
    </w:rPr>
  </w:style>
  <w:style w:type="paragraph" w:styleId="CommentText">
    <w:name w:val="annotation text"/>
    <w:basedOn w:val="Normal"/>
    <w:semiHidden/>
    <w:rsid w:val="00DD473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D4739"/>
    <w:rPr>
      <w:b/>
      <w:bCs/>
    </w:rPr>
  </w:style>
  <w:style w:type="character" w:styleId="Strong">
    <w:name w:val="Strong"/>
    <w:uiPriority w:val="22"/>
    <w:qFormat/>
    <w:rsid w:val="00583CC3"/>
    <w:rPr>
      <w:b/>
      <w:bCs/>
    </w:rPr>
  </w:style>
  <w:style w:type="paragraph" w:styleId="FootnoteText">
    <w:name w:val="footnote text"/>
    <w:basedOn w:val="Normal"/>
    <w:link w:val="FootnoteTextChar"/>
    <w:rsid w:val="00B22FE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22FE5"/>
  </w:style>
  <w:style w:type="character" w:styleId="FootnoteReference">
    <w:name w:val="footnote reference"/>
    <w:basedOn w:val="DefaultParagraphFont"/>
    <w:rsid w:val="00B22FE5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BA5F1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65EE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4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ego.Pepe@onwardenergy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rcot.com/mktrules/issues/NOGRR28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ercot.com/files/docs/2025/12/05/282NOGRR-03-ROS-Ballot-120425.xls" TargetMode="External"/><Relationship Id="rId1" Type="http://schemas.openxmlformats.org/officeDocument/2006/relationships/hyperlink" Target="https://www.ercot.com/files/docs/2024/09/30/245NOGRR-112%20PUCT%20Report%20092624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61971c6-1bf6-4203-a999-5711f27be5dd}" enabled="0" method="" siteId="{b61971c6-1bf6-4203-a999-5711f27be5d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661</Words>
  <Characters>3484</Characters>
  <Application>Microsoft Office Word</Application>
  <DocSecurity>0</DocSecurity>
  <Lines>183</Lines>
  <Paragraphs>142</Paragraphs>
  <ScaleCrop>false</ScaleCrop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dc:description/>
  <cp:lastModifiedBy>C Phillips</cp:lastModifiedBy>
  <cp:revision>5</cp:revision>
  <cp:lastPrinted>2001-06-20T18:28:00Z</cp:lastPrinted>
  <dcterms:created xsi:type="dcterms:W3CDTF">2026-01-24T00:43:00Z</dcterms:created>
  <dcterms:modified xsi:type="dcterms:W3CDTF">2026-01-24T00:49:00Z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2026-01-24T00:43:50Z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f4bf0b7f-adfb-40c5-95b8-c9c7cdfec9c8</vt:lpwstr>
  </property>
  <property fmtid="{D5CDD505-2E9C-101B-9397-08002B2CF9AE}" pid="8" name="MSIP_Label_7084cbda-52b8-46fb-a7b7-cb5bd465ed85_ContentBits">
    <vt:lpwstr>0</vt:lpwstr>
  </property>
  <property fmtid="{D5CDD505-2E9C-101B-9397-08002B2CF9AE}" pid="9" name="MSIP_Label_7084cbda-52b8-46fb-a7b7-cb5bd465ed85_Tag">
    <vt:lpwstr>10, 3, 0, 1</vt:lpwstr>
  </property>
</Properties>
</file>