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BF8B" w14:textId="55D0C010" w:rsidR="00902594" w:rsidRDefault="00902594" w:rsidP="00902594">
      <w:pPr>
        <w:pStyle w:val="Title"/>
        <w:rPr>
          <w:b/>
        </w:rPr>
      </w:pPr>
      <w:r>
        <w:rPr>
          <w:b/>
        </w:rPr>
        <w:t>PROJECT NO. 54248</w:t>
      </w:r>
    </w:p>
    <w:p w14:paraId="03C4394F" w14:textId="77777777" w:rsidR="00902594" w:rsidRDefault="00902594" w:rsidP="00902594">
      <w:pPr>
        <w:pStyle w:val="Title"/>
        <w:rPr>
          <w:b/>
        </w:rPr>
      </w:pPr>
    </w:p>
    <w:tbl>
      <w:tblPr>
        <w:tblW w:w="0" w:type="auto"/>
        <w:tblLayout w:type="fixed"/>
        <w:tblLook w:val="0000" w:firstRow="0" w:lastRow="0" w:firstColumn="0" w:lastColumn="0" w:noHBand="0" w:noVBand="0"/>
      </w:tblPr>
      <w:tblGrid>
        <w:gridCol w:w="4428"/>
        <w:gridCol w:w="630"/>
        <w:gridCol w:w="4518"/>
      </w:tblGrid>
      <w:tr w:rsidR="00902594" w:rsidRPr="00902594" w14:paraId="16A3A50D" w14:textId="77777777" w:rsidTr="009500B2">
        <w:trPr>
          <w:trHeight w:val="882"/>
        </w:trPr>
        <w:tc>
          <w:tcPr>
            <w:tcW w:w="4428" w:type="dxa"/>
          </w:tcPr>
          <w:p w14:paraId="5D06F7C8" w14:textId="77777777" w:rsidR="00902594" w:rsidRPr="00902594" w:rsidRDefault="00902594" w:rsidP="00902594">
            <w:pPr>
              <w:pStyle w:val="Title"/>
              <w:rPr>
                <w:b/>
              </w:rPr>
            </w:pPr>
            <w:r w:rsidRPr="00902594">
              <w:rPr>
                <w:b/>
                <w:bCs/>
              </w:rPr>
              <w:t>SELECTION OF THE RELIABILITY MONITOR FOR THE ERCOT POWER REGION</w:t>
            </w:r>
          </w:p>
        </w:tc>
        <w:tc>
          <w:tcPr>
            <w:tcW w:w="630" w:type="dxa"/>
          </w:tcPr>
          <w:p w14:paraId="6F5CAE03" w14:textId="77777777" w:rsidR="00902594" w:rsidRPr="00902594" w:rsidRDefault="00902594" w:rsidP="00902594">
            <w:pPr>
              <w:pStyle w:val="Title"/>
              <w:rPr>
                <w:b/>
              </w:rPr>
            </w:pPr>
            <w:r w:rsidRPr="00902594">
              <w:rPr>
                <w:b/>
              </w:rPr>
              <w:t>§</w:t>
            </w:r>
          </w:p>
          <w:p w14:paraId="518C9AAE" w14:textId="77777777" w:rsidR="00902594" w:rsidRPr="00902594" w:rsidRDefault="00902594" w:rsidP="00902594">
            <w:pPr>
              <w:pStyle w:val="Title"/>
              <w:rPr>
                <w:b/>
              </w:rPr>
            </w:pPr>
            <w:r w:rsidRPr="00902594">
              <w:rPr>
                <w:b/>
              </w:rPr>
              <w:t>§</w:t>
            </w:r>
          </w:p>
          <w:p w14:paraId="1A16ED24" w14:textId="77777777" w:rsidR="00902594" w:rsidRPr="00902594" w:rsidRDefault="00902594" w:rsidP="00902594">
            <w:pPr>
              <w:pStyle w:val="Title"/>
              <w:rPr>
                <w:b/>
              </w:rPr>
            </w:pPr>
            <w:r w:rsidRPr="00902594">
              <w:rPr>
                <w:b/>
              </w:rPr>
              <w:t>§</w:t>
            </w:r>
          </w:p>
        </w:tc>
        <w:tc>
          <w:tcPr>
            <w:tcW w:w="4518" w:type="dxa"/>
          </w:tcPr>
          <w:p w14:paraId="7C942F14" w14:textId="77777777" w:rsidR="00902594" w:rsidRPr="00902594" w:rsidRDefault="00902594" w:rsidP="00902594">
            <w:pPr>
              <w:pStyle w:val="Title"/>
              <w:rPr>
                <w:b/>
              </w:rPr>
            </w:pPr>
            <w:r w:rsidRPr="00902594">
              <w:rPr>
                <w:b/>
              </w:rPr>
              <w:t>PUBLIC UTILITY COMMISSION</w:t>
            </w:r>
          </w:p>
          <w:p w14:paraId="5BDF0A86" w14:textId="77777777" w:rsidR="00902594" w:rsidRPr="00902594" w:rsidRDefault="00902594" w:rsidP="00902594">
            <w:pPr>
              <w:pStyle w:val="Title"/>
              <w:rPr>
                <w:b/>
              </w:rPr>
            </w:pPr>
            <w:r w:rsidRPr="00902594">
              <w:rPr>
                <w:b/>
              </w:rPr>
              <w:t>OF TEXAS</w:t>
            </w:r>
          </w:p>
        </w:tc>
      </w:tr>
    </w:tbl>
    <w:p w14:paraId="33245CFC" w14:textId="31FEE0B1" w:rsidR="00902594" w:rsidRDefault="00902594" w:rsidP="00902594">
      <w:pPr>
        <w:pStyle w:val="Title"/>
        <w:rPr>
          <w:b/>
        </w:rPr>
      </w:pPr>
    </w:p>
    <w:p w14:paraId="0813F623" w14:textId="77777777" w:rsidR="008752DC" w:rsidRPr="00902594" w:rsidRDefault="008752DC" w:rsidP="008752DC">
      <w:pPr>
        <w:spacing w:after="0" w:line="240" w:lineRule="auto"/>
        <w:jc w:val="center"/>
        <w:rPr>
          <w:rFonts w:ascii="Times New Roman" w:hAnsi="Times New Roman" w:cs="Times New Roman"/>
          <w:b/>
          <w:bCs/>
          <w:sz w:val="24"/>
          <w:szCs w:val="28"/>
        </w:rPr>
      </w:pPr>
      <w:r w:rsidRPr="00902594">
        <w:rPr>
          <w:rFonts w:ascii="Times New Roman" w:hAnsi="Times New Roman" w:cs="Times New Roman"/>
          <w:b/>
          <w:bCs/>
          <w:sz w:val="24"/>
          <w:szCs w:val="28"/>
        </w:rPr>
        <w:t>ELECTRIC RELIABILITY COUNCIL OF TEXAS, INC.’S</w:t>
      </w:r>
    </w:p>
    <w:p w14:paraId="2E24F225" w14:textId="7F41207D" w:rsidR="00902594" w:rsidRDefault="008752DC" w:rsidP="42BEEC72">
      <w:pPr>
        <w:spacing w:after="0" w:line="240" w:lineRule="auto"/>
        <w:jc w:val="center"/>
        <w:rPr>
          <w:rFonts w:ascii="Times New Roman" w:hAnsi="Times New Roman" w:cs="Times New Roman"/>
          <w:b/>
          <w:sz w:val="24"/>
          <w:szCs w:val="24"/>
          <w:u w:val="single"/>
        </w:rPr>
      </w:pPr>
      <w:r w:rsidRPr="42BEEC72">
        <w:rPr>
          <w:rFonts w:ascii="Times New Roman" w:hAnsi="Times New Roman" w:cs="Times New Roman"/>
          <w:b/>
          <w:sz w:val="24"/>
          <w:szCs w:val="24"/>
          <w:u w:val="single"/>
        </w:rPr>
        <w:t>QUARTER</w:t>
      </w:r>
      <w:r w:rsidR="002D2F4E">
        <w:rPr>
          <w:rFonts w:ascii="Times New Roman" w:hAnsi="Times New Roman" w:cs="Times New Roman"/>
          <w:b/>
          <w:sz w:val="24"/>
          <w:szCs w:val="24"/>
          <w:u w:val="single"/>
        </w:rPr>
        <w:t>LY</w:t>
      </w:r>
      <w:r w:rsidRPr="42BEEC72">
        <w:rPr>
          <w:rFonts w:ascii="Times New Roman" w:hAnsi="Times New Roman" w:cs="Times New Roman"/>
          <w:b/>
          <w:sz w:val="24"/>
          <w:szCs w:val="24"/>
          <w:u w:val="single"/>
        </w:rPr>
        <w:t xml:space="preserve"> </w:t>
      </w:r>
      <w:r w:rsidR="00112257" w:rsidRPr="42BEEC72">
        <w:rPr>
          <w:rFonts w:ascii="Times New Roman" w:hAnsi="Times New Roman" w:cs="Times New Roman"/>
          <w:b/>
          <w:sz w:val="24"/>
          <w:szCs w:val="24"/>
          <w:u w:val="single"/>
        </w:rPr>
        <w:t xml:space="preserve">ACTIVITY </w:t>
      </w:r>
      <w:r w:rsidRPr="42BEEC72">
        <w:rPr>
          <w:rFonts w:ascii="Times New Roman" w:hAnsi="Times New Roman" w:cs="Times New Roman"/>
          <w:b/>
          <w:sz w:val="24"/>
          <w:szCs w:val="24"/>
          <w:u w:val="single"/>
        </w:rPr>
        <w:t>REPORT</w:t>
      </w:r>
    </w:p>
    <w:p w14:paraId="62D46D4A" w14:textId="2CE9689A" w:rsidR="42BEEC72" w:rsidRDefault="42BEEC72" w:rsidP="42BEEC72">
      <w:pPr>
        <w:pStyle w:val="BodyText"/>
        <w:spacing w:line="360" w:lineRule="auto"/>
        <w:ind w:firstLine="720"/>
      </w:pPr>
    </w:p>
    <w:p w14:paraId="064A1A63" w14:textId="2F758943" w:rsidR="00902594" w:rsidRPr="00340472" w:rsidRDefault="00902594" w:rsidP="00902594">
      <w:pPr>
        <w:pStyle w:val="BodyText"/>
        <w:spacing w:line="360" w:lineRule="auto"/>
        <w:ind w:firstLine="720"/>
      </w:pPr>
      <w:r>
        <w:t xml:space="preserve">Pursuant to the </w:t>
      </w:r>
      <w:r w:rsidR="006419F1">
        <w:t xml:space="preserve">order of the Public Utility Commission of Texas (PUC/Commission) </w:t>
      </w:r>
      <w:r>
        <w:t xml:space="preserve">Directing ERCOT to Serve as Reliability Monitor, </w:t>
      </w:r>
      <w:r w:rsidR="006419F1">
        <w:t>Electric Reliability Council of Texas, Inc. (ERCOT)</w:t>
      </w:r>
      <w:r w:rsidR="00DA3B93">
        <w:t xml:space="preserve"> </w:t>
      </w:r>
      <w:r w:rsidR="00556552">
        <w:t xml:space="preserve">in its function as the ERCOT </w:t>
      </w:r>
      <w:r w:rsidR="00DA3B93">
        <w:t>Reliability Monitor (</w:t>
      </w:r>
      <w:r>
        <w:t>ERM</w:t>
      </w:r>
      <w:r w:rsidR="00DA3B93">
        <w:t>)</w:t>
      </w:r>
      <w:r>
        <w:t xml:space="preserve"> hereby submits its </w:t>
      </w:r>
      <w:r w:rsidR="00DA3B93">
        <w:t>Quarter</w:t>
      </w:r>
      <w:r w:rsidR="002D2F4E">
        <w:t>ly</w:t>
      </w:r>
      <w:r w:rsidR="00DA3B93">
        <w:t xml:space="preserve"> </w:t>
      </w:r>
      <w:r w:rsidR="7DB4DF31">
        <w:t xml:space="preserve">Activity </w:t>
      </w:r>
      <w:r w:rsidR="00DA3B93">
        <w:t>Report</w:t>
      </w:r>
      <w:r w:rsidR="002D2F4E">
        <w:t xml:space="preserve"> for the fourth quarter of 2025</w:t>
      </w:r>
      <w:r>
        <w:t xml:space="preserve">. </w:t>
      </w:r>
    </w:p>
    <w:p w14:paraId="63E2F0B9" w14:textId="66B2524C" w:rsidR="00902594" w:rsidRPr="00061A74" w:rsidRDefault="41B375FD" w:rsidP="00061A74">
      <w:pPr>
        <w:pStyle w:val="Heading1"/>
        <w:numPr>
          <w:ilvl w:val="0"/>
          <w:numId w:val="3"/>
        </w:numPr>
        <w:spacing w:after="240"/>
        <w:rPr>
          <w:rFonts w:ascii="Times New Roman" w:eastAsia="Times New Roman" w:hAnsi="Times New Roman" w:cs="Times New Roman"/>
          <w:b/>
          <w:bCs/>
          <w:smallCaps/>
          <w:color w:val="auto"/>
          <w:sz w:val="24"/>
          <w:szCs w:val="20"/>
          <w:u w:val="single"/>
        </w:rPr>
      </w:pPr>
      <w:r w:rsidRPr="00061A74">
        <w:rPr>
          <w:rFonts w:ascii="Times New Roman" w:eastAsia="Times New Roman" w:hAnsi="Times New Roman" w:cs="Times New Roman"/>
          <w:b/>
          <w:bCs/>
          <w:smallCaps/>
          <w:color w:val="auto"/>
          <w:sz w:val="24"/>
          <w:szCs w:val="20"/>
          <w:u w:val="single"/>
        </w:rPr>
        <w:t>BACKGROUND</w:t>
      </w:r>
    </w:p>
    <w:p w14:paraId="1439E238" w14:textId="1D63EA33" w:rsidR="00902594" w:rsidRDefault="00902594" w:rsidP="00902594">
      <w:pPr>
        <w:pStyle w:val="BodyText"/>
        <w:tabs>
          <w:tab w:val="left" w:pos="720"/>
          <w:tab w:val="center" w:pos="4680"/>
        </w:tabs>
        <w:spacing w:line="360" w:lineRule="auto"/>
        <w:ind w:firstLine="720"/>
      </w:pPr>
      <w:r w:rsidRPr="6F87F270">
        <w:t xml:space="preserve">On November 3, 2022, the </w:t>
      </w:r>
      <w:r w:rsidR="006419F1">
        <w:t xml:space="preserve">Commission </w:t>
      </w:r>
      <w:r w:rsidRPr="6F87F270">
        <w:t>issued an order directing ERCOT</w:t>
      </w:r>
      <w:r w:rsidR="006419F1">
        <w:t xml:space="preserve"> </w:t>
      </w:r>
      <w:r w:rsidRPr="6F87F270">
        <w:t>to assume the duties and responsibilities of the reliability monitor for the ERCOT power region</w:t>
      </w:r>
      <w:r w:rsidR="006419F1">
        <w:t xml:space="preserve"> </w:t>
      </w:r>
      <w:r w:rsidRPr="6F87F270">
        <w:t>in accordance with 16 Tex. Admin. Code §</w:t>
      </w:r>
      <w:r>
        <w:t xml:space="preserve"> </w:t>
      </w:r>
      <w:r w:rsidRPr="6F87F270">
        <w:t>25.503(j)</w:t>
      </w:r>
      <w:r w:rsidRPr="00340472">
        <w:rPr>
          <w:szCs w:val="24"/>
        </w:rPr>
        <w:t>.</w:t>
      </w:r>
      <w:r>
        <w:rPr>
          <w:szCs w:val="24"/>
        </w:rPr>
        <w:t xml:space="preserve"> </w:t>
      </w:r>
    </w:p>
    <w:p w14:paraId="0BA83F3C" w14:textId="476CD23F" w:rsidR="00902594" w:rsidRDefault="00902594" w:rsidP="00902594">
      <w:pPr>
        <w:pStyle w:val="BodyText"/>
        <w:tabs>
          <w:tab w:val="left" w:pos="720"/>
          <w:tab w:val="center" w:pos="4680"/>
        </w:tabs>
        <w:spacing w:line="360" w:lineRule="auto"/>
        <w:rPr>
          <w:szCs w:val="24"/>
        </w:rPr>
      </w:pPr>
      <w:r>
        <w:rPr>
          <w:szCs w:val="24"/>
        </w:rPr>
        <w:tab/>
      </w:r>
      <w:r w:rsidRPr="6F87F270">
        <w:t xml:space="preserve">As more particularly detailed in the Scope of Work filed </w:t>
      </w:r>
      <w:r w:rsidR="00FC2DDF">
        <w:t>in</w:t>
      </w:r>
      <w:r w:rsidRPr="6F87F270">
        <w:t xml:space="preserve"> this </w:t>
      </w:r>
      <w:r w:rsidR="7420F630">
        <w:t>Project</w:t>
      </w:r>
      <w:r w:rsidR="00AD7537">
        <w:t xml:space="preserve"> on January 2, 2023</w:t>
      </w:r>
      <w:r w:rsidRPr="6F87F270">
        <w:t>, in its ERM function, ER</w:t>
      </w:r>
      <w:r w:rsidR="00556552">
        <w:t>COT</w:t>
      </w:r>
      <w:r w:rsidRPr="6F87F270">
        <w:t xml:space="preserve"> </w:t>
      </w:r>
      <w:r w:rsidRPr="30B12EA1">
        <w:t>monitor</w:t>
      </w:r>
      <w:r w:rsidR="00591CD3">
        <w:t>s</w:t>
      </w:r>
      <w:r w:rsidRPr="6F87F270">
        <w:t>, investigat</w:t>
      </w:r>
      <w:r w:rsidR="00591CD3">
        <w:t>es</w:t>
      </w:r>
      <w:r w:rsidRPr="6F87F270">
        <w:t>, audi</w:t>
      </w:r>
      <w:r w:rsidR="00591CD3">
        <w:t>ts</w:t>
      </w:r>
      <w:r w:rsidRPr="6F87F270">
        <w:t xml:space="preserve">, </w:t>
      </w:r>
      <w:r w:rsidRPr="30B12EA1">
        <w:t>and</w:t>
      </w:r>
      <w:r>
        <w:rPr>
          <w:szCs w:val="24"/>
        </w:rPr>
        <w:t xml:space="preserve"> </w:t>
      </w:r>
      <w:r w:rsidRPr="30B12EA1">
        <w:t>repor</w:t>
      </w:r>
      <w:r w:rsidR="00591CD3">
        <w:t>ts</w:t>
      </w:r>
      <w:r w:rsidRPr="6F87F270">
        <w:t xml:space="preserve"> to the PUC on </w:t>
      </w:r>
      <w:r w:rsidRPr="30B12EA1">
        <w:t>matters</w:t>
      </w:r>
      <w:r>
        <w:rPr>
          <w:szCs w:val="24"/>
        </w:rPr>
        <w:t xml:space="preserve"> </w:t>
      </w:r>
      <w:r w:rsidRPr="6F87F270">
        <w:t>related to the compliance of ERCOT, Inc. and ERCOT M</w:t>
      </w:r>
      <w:r>
        <w:t xml:space="preserve">arket </w:t>
      </w:r>
      <w:r w:rsidRPr="6F87F270">
        <w:t>P</w:t>
      </w:r>
      <w:r>
        <w:t>articipants</w:t>
      </w:r>
      <w:r w:rsidRPr="6F87F270">
        <w:t xml:space="preserve"> with reliability-related provisions of the P</w:t>
      </w:r>
      <w:r>
        <w:t xml:space="preserve">ublic </w:t>
      </w:r>
      <w:r w:rsidRPr="6F87F270">
        <w:t>U</w:t>
      </w:r>
      <w:r>
        <w:t xml:space="preserve">tility </w:t>
      </w:r>
      <w:r w:rsidRPr="6F87F270">
        <w:t>R</w:t>
      </w:r>
      <w:r>
        <w:t xml:space="preserve">egulatory </w:t>
      </w:r>
      <w:r w:rsidRPr="6F87F270">
        <w:t>A</w:t>
      </w:r>
      <w:r>
        <w:t>ct</w:t>
      </w:r>
      <w:r w:rsidR="14D828E7">
        <w:t xml:space="preserve"> (PURA)</w:t>
      </w:r>
      <w:r w:rsidRPr="6F87F270">
        <w:t xml:space="preserve">, the PUC’s </w:t>
      </w:r>
      <w:r w:rsidR="1E7E8EA5" w:rsidRPr="30B12EA1">
        <w:t>S</w:t>
      </w:r>
      <w:r w:rsidRPr="30B12EA1">
        <w:t>ubstantive</w:t>
      </w:r>
      <w:r w:rsidRPr="6F87F270">
        <w:t xml:space="preserve"> </w:t>
      </w:r>
      <w:r w:rsidR="546F4F8E" w:rsidRPr="6F87F270">
        <w:t>R</w:t>
      </w:r>
      <w:r w:rsidRPr="6F87F270">
        <w:t xml:space="preserve">ules, and ERCOT </w:t>
      </w:r>
      <w:r w:rsidR="53B74409" w:rsidRPr="30B12EA1">
        <w:t>P</w:t>
      </w:r>
      <w:r w:rsidRPr="30B12EA1">
        <w:t>rotocols</w:t>
      </w:r>
      <w:r w:rsidRPr="6F87F270">
        <w:t xml:space="preserve"> and </w:t>
      </w:r>
      <w:r>
        <w:t>Other Binding Documents</w:t>
      </w:r>
      <w:r w:rsidR="00287F86">
        <w:t xml:space="preserve">. The ERM also </w:t>
      </w:r>
      <w:r w:rsidR="008A0EF2">
        <w:t>p</w:t>
      </w:r>
      <w:r w:rsidRPr="30B12EA1">
        <w:t>rovid</w:t>
      </w:r>
      <w:r w:rsidR="00287F86">
        <w:t>es</w:t>
      </w:r>
      <w:r w:rsidRPr="30B12EA1">
        <w:t xml:space="preserve"> subject matter advice, expertise, and assistance with the PUC’s reliability-related compliance and enforcement activities. </w:t>
      </w:r>
      <w:r>
        <w:rPr>
          <w:szCs w:val="24"/>
        </w:rPr>
        <w:tab/>
      </w:r>
      <w:r w:rsidR="0058253F">
        <w:rPr>
          <w:szCs w:val="24"/>
        </w:rPr>
        <w:tab/>
      </w:r>
      <w:r w:rsidR="00BD26E1" w:rsidRPr="00A11324">
        <w:rPr>
          <w:szCs w:val="24"/>
        </w:rPr>
        <w:t xml:space="preserve">The </w:t>
      </w:r>
      <w:r w:rsidR="00BD26E1" w:rsidRPr="00CA4381">
        <w:rPr>
          <w:szCs w:val="24"/>
        </w:rPr>
        <w:t>PUC</w:t>
      </w:r>
      <w:r w:rsidR="00BD26E1" w:rsidRPr="00A11324">
        <w:rPr>
          <w:szCs w:val="24"/>
        </w:rPr>
        <w:t xml:space="preserve"> order directing ERCOT to assume the duties and responsibilities of the </w:t>
      </w:r>
      <w:r w:rsidR="00BD26E1">
        <w:rPr>
          <w:szCs w:val="24"/>
        </w:rPr>
        <w:t xml:space="preserve">ERM </w:t>
      </w:r>
      <w:r w:rsidR="00BD26E1" w:rsidRPr="00A11324">
        <w:rPr>
          <w:szCs w:val="24"/>
        </w:rPr>
        <w:t>directs ERCOT to file a quarterly report summarizing its previous quarter activities</w:t>
      </w:r>
      <w:r w:rsidR="00556552">
        <w:rPr>
          <w:szCs w:val="24"/>
        </w:rPr>
        <w:t xml:space="preserve"> as the ERM</w:t>
      </w:r>
      <w:r w:rsidR="00BD26E1" w:rsidRPr="00A11324">
        <w:rPr>
          <w:szCs w:val="24"/>
        </w:rPr>
        <w:t>.</w:t>
      </w:r>
    </w:p>
    <w:p w14:paraId="625BF0F9" w14:textId="46A9C372" w:rsidR="00902594" w:rsidRPr="00061A74" w:rsidRDefault="07044250" w:rsidP="00061A74">
      <w:pPr>
        <w:pStyle w:val="Heading1"/>
        <w:numPr>
          <w:ilvl w:val="0"/>
          <w:numId w:val="3"/>
        </w:numPr>
        <w:spacing w:after="240"/>
        <w:rPr>
          <w:rFonts w:ascii="Times New Roman" w:eastAsia="Times New Roman" w:hAnsi="Times New Roman" w:cs="Times New Roman"/>
          <w:b/>
          <w:bCs/>
          <w:smallCaps/>
          <w:color w:val="auto"/>
          <w:sz w:val="24"/>
          <w:szCs w:val="20"/>
          <w:u w:val="single"/>
        </w:rPr>
      </w:pPr>
      <w:r w:rsidRPr="00061A74">
        <w:rPr>
          <w:rFonts w:ascii="Times New Roman" w:eastAsia="Times New Roman" w:hAnsi="Times New Roman" w:cs="Times New Roman"/>
          <w:b/>
          <w:bCs/>
          <w:smallCaps/>
          <w:color w:val="auto"/>
          <w:sz w:val="24"/>
          <w:szCs w:val="20"/>
          <w:u w:val="single"/>
        </w:rPr>
        <w:t>QUARTER</w:t>
      </w:r>
      <w:r w:rsidR="00EE1CCC">
        <w:rPr>
          <w:rFonts w:ascii="Times New Roman" w:eastAsia="Times New Roman" w:hAnsi="Times New Roman" w:cs="Times New Roman"/>
          <w:b/>
          <w:bCs/>
          <w:smallCaps/>
          <w:color w:val="auto"/>
          <w:sz w:val="24"/>
          <w:szCs w:val="20"/>
          <w:u w:val="single"/>
        </w:rPr>
        <w:t>LY</w:t>
      </w:r>
      <w:r w:rsidR="00902594" w:rsidRPr="00061A74">
        <w:rPr>
          <w:rFonts w:ascii="Times New Roman" w:eastAsia="Times New Roman" w:hAnsi="Times New Roman" w:cs="Times New Roman"/>
          <w:b/>
          <w:bCs/>
          <w:smallCaps/>
          <w:color w:val="auto"/>
          <w:sz w:val="24"/>
          <w:szCs w:val="20"/>
          <w:u w:val="single"/>
        </w:rPr>
        <w:t xml:space="preserve"> </w:t>
      </w:r>
      <w:r w:rsidR="2C532DF7" w:rsidRPr="00061A74">
        <w:rPr>
          <w:rFonts w:ascii="Times New Roman" w:eastAsia="Times New Roman" w:hAnsi="Times New Roman" w:cs="Times New Roman"/>
          <w:b/>
          <w:bCs/>
          <w:smallCaps/>
          <w:color w:val="auto"/>
          <w:sz w:val="24"/>
          <w:szCs w:val="20"/>
          <w:u w:val="single"/>
        </w:rPr>
        <w:t xml:space="preserve">ACTIVITY </w:t>
      </w:r>
      <w:r w:rsidR="00902594" w:rsidRPr="00061A74">
        <w:rPr>
          <w:rFonts w:ascii="Times New Roman" w:eastAsia="Times New Roman" w:hAnsi="Times New Roman" w:cs="Times New Roman"/>
          <w:b/>
          <w:bCs/>
          <w:smallCaps/>
          <w:color w:val="auto"/>
          <w:sz w:val="24"/>
          <w:szCs w:val="20"/>
          <w:u w:val="single"/>
        </w:rPr>
        <w:t>R</w:t>
      </w:r>
      <w:r w:rsidR="05DA23C8" w:rsidRPr="00061A74">
        <w:rPr>
          <w:rFonts w:ascii="Times New Roman" w:eastAsia="Times New Roman" w:hAnsi="Times New Roman" w:cs="Times New Roman"/>
          <w:b/>
          <w:bCs/>
          <w:smallCaps/>
          <w:color w:val="auto"/>
          <w:sz w:val="24"/>
          <w:szCs w:val="20"/>
          <w:u w:val="single"/>
        </w:rPr>
        <w:t>EPORT</w:t>
      </w:r>
    </w:p>
    <w:p w14:paraId="7B7FCAA8" w14:textId="73C0EFB6" w:rsidR="00A11324" w:rsidRPr="00061A74" w:rsidRDefault="7800DB65" w:rsidP="00061A74">
      <w:pPr>
        <w:pStyle w:val="Heading2"/>
        <w:spacing w:after="240"/>
        <w:rPr>
          <w:rFonts w:ascii="Times New Roman" w:eastAsia="Times New Roman" w:hAnsi="Times New Roman" w:cs="Times New Roman"/>
          <w:b/>
          <w:bCs/>
          <w:smallCaps/>
          <w:color w:val="auto"/>
          <w:sz w:val="24"/>
          <w:szCs w:val="20"/>
          <w:u w:val="single"/>
        </w:rPr>
      </w:pPr>
      <w:r w:rsidRPr="00F4026A">
        <w:rPr>
          <w:rFonts w:ascii="Times New Roman" w:eastAsia="Times New Roman" w:hAnsi="Times New Roman" w:cs="Times New Roman"/>
          <w:b/>
          <w:bCs/>
          <w:smallCaps/>
          <w:color w:val="auto"/>
          <w:sz w:val="24"/>
          <w:szCs w:val="20"/>
        </w:rPr>
        <w:t>A.</w:t>
      </w:r>
      <w:r w:rsidR="00A11324" w:rsidRPr="00061A74">
        <w:rPr>
          <w:rFonts w:ascii="Times New Roman" w:eastAsia="Times New Roman" w:hAnsi="Times New Roman" w:cs="Times New Roman"/>
          <w:b/>
          <w:bCs/>
          <w:smallCaps/>
          <w:color w:val="auto"/>
          <w:sz w:val="24"/>
          <w:szCs w:val="20"/>
        </w:rPr>
        <w:tab/>
      </w:r>
      <w:r w:rsidR="00A11324" w:rsidRPr="00061A74">
        <w:rPr>
          <w:rFonts w:ascii="Times New Roman" w:eastAsia="Times New Roman" w:hAnsi="Times New Roman" w:cs="Times New Roman"/>
          <w:b/>
          <w:bCs/>
          <w:smallCaps/>
          <w:color w:val="auto"/>
          <w:sz w:val="24"/>
          <w:szCs w:val="20"/>
          <w:u w:val="single"/>
        </w:rPr>
        <w:t>Executive Summary</w:t>
      </w:r>
    </w:p>
    <w:p w14:paraId="708E7B4D" w14:textId="18B61116" w:rsidR="00A11324" w:rsidRDefault="0031002D" w:rsidP="00A11324">
      <w:pPr>
        <w:rPr>
          <w:rFonts w:ascii="Times New Roman" w:hAnsi="Times New Roman" w:cs="Times New Roman"/>
          <w:sz w:val="24"/>
          <w:szCs w:val="24"/>
        </w:rPr>
      </w:pPr>
      <w:r>
        <w:rPr>
          <w:rFonts w:ascii="Times New Roman" w:hAnsi="Times New Roman" w:cs="Times New Roman"/>
          <w:sz w:val="24"/>
          <w:szCs w:val="24"/>
        </w:rPr>
        <w:tab/>
      </w:r>
      <w:r w:rsidR="009139C3">
        <w:rPr>
          <w:rFonts w:ascii="Times New Roman" w:hAnsi="Times New Roman" w:cs="Times New Roman"/>
          <w:sz w:val="24"/>
          <w:szCs w:val="24"/>
        </w:rPr>
        <w:t>During</w:t>
      </w:r>
      <w:r w:rsidR="00A11324" w:rsidRPr="00A11324">
        <w:rPr>
          <w:rFonts w:ascii="Times New Roman" w:hAnsi="Times New Roman" w:cs="Times New Roman"/>
          <w:sz w:val="24"/>
          <w:szCs w:val="24"/>
        </w:rPr>
        <w:t xml:space="preserve"> </w:t>
      </w:r>
      <w:r w:rsidR="002D2F4E">
        <w:rPr>
          <w:rFonts w:ascii="Times New Roman" w:hAnsi="Times New Roman" w:cs="Times New Roman"/>
          <w:sz w:val="24"/>
          <w:szCs w:val="24"/>
        </w:rPr>
        <w:t>the quarter</w:t>
      </w:r>
      <w:r w:rsidR="00A11324" w:rsidRPr="00A11324">
        <w:rPr>
          <w:rFonts w:ascii="Times New Roman" w:hAnsi="Times New Roman" w:cs="Times New Roman"/>
          <w:sz w:val="24"/>
          <w:szCs w:val="24"/>
        </w:rPr>
        <w:t xml:space="preserve">, the ERM </w:t>
      </w:r>
      <w:r w:rsidR="005E5498">
        <w:rPr>
          <w:rFonts w:ascii="Times New Roman" w:hAnsi="Times New Roman" w:cs="Times New Roman"/>
          <w:sz w:val="24"/>
          <w:szCs w:val="24"/>
        </w:rPr>
        <w:t xml:space="preserve">opened </w:t>
      </w:r>
      <w:r w:rsidR="002D2F4E">
        <w:rPr>
          <w:rFonts w:ascii="Times New Roman" w:hAnsi="Times New Roman" w:cs="Times New Roman"/>
          <w:sz w:val="24"/>
          <w:szCs w:val="24"/>
        </w:rPr>
        <w:t>2</w:t>
      </w:r>
      <w:r w:rsidR="007E39E1">
        <w:rPr>
          <w:rFonts w:ascii="Times New Roman" w:hAnsi="Times New Roman" w:cs="Times New Roman"/>
          <w:sz w:val="24"/>
          <w:szCs w:val="24"/>
        </w:rPr>
        <w:t>4</w:t>
      </w:r>
      <w:r w:rsidR="005E5498">
        <w:rPr>
          <w:rFonts w:ascii="Times New Roman" w:hAnsi="Times New Roman" w:cs="Times New Roman"/>
          <w:sz w:val="24"/>
          <w:szCs w:val="24"/>
        </w:rPr>
        <w:t xml:space="preserve"> new Incident Reviews</w:t>
      </w:r>
      <w:r w:rsidR="00A11324" w:rsidRPr="00A11324">
        <w:rPr>
          <w:rFonts w:ascii="Times New Roman" w:hAnsi="Times New Roman" w:cs="Times New Roman"/>
          <w:sz w:val="24"/>
          <w:szCs w:val="24"/>
        </w:rPr>
        <w:t>:</w:t>
      </w:r>
    </w:p>
    <w:p w14:paraId="74C3ABAC" w14:textId="77777777" w:rsidR="00962282" w:rsidRPr="00A11324" w:rsidRDefault="00962282" w:rsidP="00A11324">
      <w:pPr>
        <w:rPr>
          <w:rFonts w:ascii="Times New Roman" w:hAnsi="Times New Roman" w:cs="Times New Roman"/>
          <w:sz w:val="24"/>
          <w:szCs w:val="24"/>
        </w:rPr>
      </w:pPr>
    </w:p>
    <w:tbl>
      <w:tblPr>
        <w:tblW w:w="3330" w:type="dxa"/>
        <w:jc w:val="center"/>
        <w:tblLayout w:type="fixed"/>
        <w:tblLook w:val="04A0" w:firstRow="1" w:lastRow="0" w:firstColumn="1" w:lastColumn="0" w:noHBand="0" w:noVBand="1"/>
      </w:tblPr>
      <w:tblGrid>
        <w:gridCol w:w="1665"/>
        <w:gridCol w:w="750"/>
        <w:gridCol w:w="915"/>
      </w:tblGrid>
      <w:tr w:rsidR="005E5498" w:rsidRPr="00A11324" w14:paraId="28FA4203" w14:textId="77777777" w:rsidTr="005E5498">
        <w:trPr>
          <w:gridAfter w:val="1"/>
          <w:wAfter w:w="915" w:type="dxa"/>
          <w:trHeight w:hRule="exact" w:val="20"/>
          <w:jc w:val="center"/>
        </w:trPr>
        <w:tc>
          <w:tcPr>
            <w:tcW w:w="2415" w:type="dxa"/>
            <w:gridSpan w:val="2"/>
            <w:tcBorders>
              <w:top w:val="nil"/>
              <w:left w:val="nil"/>
              <w:bottom w:val="nil"/>
              <w:right w:val="nil"/>
            </w:tcBorders>
            <w:shd w:val="clear" w:color="auto" w:fill="D9E2F3" w:themeFill="accent1" w:themeFillTint="33"/>
            <w:noWrap/>
            <w:vAlign w:val="center"/>
            <w:hideMark/>
          </w:tcPr>
          <w:p w14:paraId="251D24F2" w14:textId="77777777" w:rsidR="005E5498" w:rsidRPr="00A11324" w:rsidRDefault="005E5498" w:rsidP="00A11324">
            <w:pPr>
              <w:rPr>
                <w:rFonts w:ascii="Times New Roman" w:hAnsi="Times New Roman" w:cs="Times New Roman"/>
                <w:sz w:val="24"/>
                <w:szCs w:val="24"/>
              </w:rPr>
            </w:pPr>
            <w:bookmarkStart w:id="0" w:name="_bb3aa430_248e_440e_8cbe_a2a89750487d"/>
            <w:bookmarkStart w:id="1" w:name="_2cbec520_71ac_474f_ac3a_afa5c387a82e"/>
            <w:bookmarkEnd w:id="0"/>
          </w:p>
        </w:tc>
      </w:tr>
      <w:tr w:rsidR="005E5498" w:rsidRPr="00A11324" w14:paraId="49903516" w14:textId="77777777" w:rsidTr="005E5498">
        <w:trPr>
          <w:trHeight w:val="315"/>
          <w:jc w:val="center"/>
        </w:trPr>
        <w:tc>
          <w:tcPr>
            <w:tcW w:w="1665" w:type="dxa"/>
            <w:tcBorders>
              <w:top w:val="single" w:sz="12" w:space="0" w:color="auto"/>
              <w:left w:val="single" w:sz="12" w:space="0" w:color="auto"/>
              <w:bottom w:val="single" w:sz="8" w:space="0" w:color="auto"/>
              <w:right w:val="single" w:sz="12" w:space="0" w:color="auto"/>
            </w:tcBorders>
            <w:shd w:val="clear" w:color="auto" w:fill="D9E2F3" w:themeFill="accent1" w:themeFillTint="33"/>
            <w:noWrap/>
            <w:vAlign w:val="center"/>
            <w:hideMark/>
          </w:tcPr>
          <w:p w14:paraId="23C3364C"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lastRenderedPageBreak/>
              <w:t>Priority</w:t>
            </w:r>
            <w:r w:rsidRPr="00A11324">
              <w:rPr>
                <w:rFonts w:ascii="Times New Roman" w:hAnsi="Times New Roman" w:cs="Times New Roman"/>
                <w:sz w:val="24"/>
                <w:szCs w:val="24"/>
                <w:vertAlign w:val="superscript"/>
              </w:rPr>
              <w:footnoteReference w:id="2"/>
            </w:r>
          </w:p>
        </w:tc>
        <w:tc>
          <w:tcPr>
            <w:tcW w:w="1665" w:type="dxa"/>
            <w:gridSpan w:val="2"/>
            <w:tcBorders>
              <w:top w:val="single" w:sz="12" w:space="0" w:color="auto"/>
              <w:left w:val="single" w:sz="12" w:space="0" w:color="auto"/>
              <w:bottom w:val="single" w:sz="8" w:space="0" w:color="auto"/>
              <w:right w:val="single" w:sz="12" w:space="0" w:color="auto"/>
            </w:tcBorders>
            <w:shd w:val="clear" w:color="auto" w:fill="D9E2F3" w:themeFill="accent1" w:themeFillTint="33"/>
            <w:noWrap/>
            <w:vAlign w:val="center"/>
            <w:hideMark/>
          </w:tcPr>
          <w:p w14:paraId="1306C6D9"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t>No. of Cases</w:t>
            </w:r>
          </w:p>
        </w:tc>
      </w:tr>
      <w:tr w:rsidR="005E5498" w:rsidRPr="00A11324" w14:paraId="3AB3F559" w14:textId="77777777" w:rsidTr="005E5498">
        <w:trPr>
          <w:trHeight w:val="300"/>
          <w:jc w:val="center"/>
        </w:trPr>
        <w:tc>
          <w:tcPr>
            <w:tcW w:w="1665" w:type="dxa"/>
            <w:tcBorders>
              <w:top w:val="nil"/>
              <w:left w:val="single" w:sz="12" w:space="0" w:color="auto"/>
              <w:bottom w:val="single" w:sz="4" w:space="0" w:color="auto"/>
              <w:right w:val="single" w:sz="12" w:space="0" w:color="auto"/>
            </w:tcBorders>
            <w:noWrap/>
            <w:vAlign w:val="center"/>
            <w:hideMark/>
          </w:tcPr>
          <w:p w14:paraId="3C51621C"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t>Critical</w:t>
            </w:r>
          </w:p>
        </w:tc>
        <w:tc>
          <w:tcPr>
            <w:tcW w:w="1665" w:type="dxa"/>
            <w:gridSpan w:val="2"/>
            <w:tcBorders>
              <w:top w:val="nil"/>
              <w:left w:val="single" w:sz="12" w:space="0" w:color="auto"/>
              <w:bottom w:val="single" w:sz="4" w:space="0" w:color="auto"/>
              <w:right w:val="single" w:sz="12" w:space="0" w:color="auto"/>
            </w:tcBorders>
            <w:noWrap/>
            <w:vAlign w:val="center"/>
          </w:tcPr>
          <w:p w14:paraId="192DB333" w14:textId="1DFE11B2" w:rsidR="005E5498" w:rsidRPr="00A11324" w:rsidRDefault="007E39E1"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E5498" w:rsidRPr="00A11324" w14:paraId="1BBBB0BB" w14:textId="77777777" w:rsidTr="005E5498">
        <w:trPr>
          <w:trHeight w:val="300"/>
          <w:jc w:val="center"/>
        </w:trPr>
        <w:tc>
          <w:tcPr>
            <w:tcW w:w="1665" w:type="dxa"/>
            <w:tcBorders>
              <w:top w:val="nil"/>
              <w:left w:val="single" w:sz="12" w:space="0" w:color="auto"/>
              <w:bottom w:val="single" w:sz="4" w:space="0" w:color="auto"/>
              <w:right w:val="single" w:sz="12" w:space="0" w:color="auto"/>
            </w:tcBorders>
            <w:noWrap/>
            <w:vAlign w:val="center"/>
            <w:hideMark/>
          </w:tcPr>
          <w:p w14:paraId="24D81D18"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t>High</w:t>
            </w:r>
          </w:p>
        </w:tc>
        <w:tc>
          <w:tcPr>
            <w:tcW w:w="1665" w:type="dxa"/>
            <w:gridSpan w:val="2"/>
            <w:tcBorders>
              <w:top w:val="nil"/>
              <w:left w:val="single" w:sz="12" w:space="0" w:color="auto"/>
              <w:bottom w:val="single" w:sz="4" w:space="0" w:color="auto"/>
              <w:right w:val="single" w:sz="12" w:space="0" w:color="auto"/>
            </w:tcBorders>
            <w:noWrap/>
            <w:vAlign w:val="center"/>
          </w:tcPr>
          <w:p w14:paraId="11E0D952" w14:textId="5CBBE7CC" w:rsidR="005E5498" w:rsidRPr="00A11324" w:rsidRDefault="002D2F4E"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E5498" w:rsidRPr="00A11324" w14:paraId="48AA67C0" w14:textId="77777777" w:rsidTr="007E39E1">
        <w:trPr>
          <w:trHeight w:val="300"/>
          <w:jc w:val="center"/>
        </w:trPr>
        <w:tc>
          <w:tcPr>
            <w:tcW w:w="1665" w:type="dxa"/>
            <w:tcBorders>
              <w:top w:val="nil"/>
              <w:left w:val="single" w:sz="12" w:space="0" w:color="auto"/>
              <w:bottom w:val="single" w:sz="4" w:space="0" w:color="auto"/>
              <w:right w:val="single" w:sz="12" w:space="0" w:color="auto"/>
            </w:tcBorders>
            <w:noWrap/>
            <w:vAlign w:val="center"/>
            <w:hideMark/>
          </w:tcPr>
          <w:p w14:paraId="0A77BFD1"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t>Medium</w:t>
            </w:r>
          </w:p>
        </w:tc>
        <w:tc>
          <w:tcPr>
            <w:tcW w:w="1665" w:type="dxa"/>
            <w:gridSpan w:val="2"/>
            <w:tcBorders>
              <w:top w:val="nil"/>
              <w:left w:val="single" w:sz="12" w:space="0" w:color="auto"/>
              <w:bottom w:val="single" w:sz="4" w:space="0" w:color="auto"/>
              <w:right w:val="single" w:sz="12" w:space="0" w:color="auto"/>
            </w:tcBorders>
            <w:noWrap/>
            <w:vAlign w:val="center"/>
          </w:tcPr>
          <w:p w14:paraId="2F066C26" w14:textId="2FB85A2C" w:rsidR="005E5498" w:rsidRPr="00A11324" w:rsidRDefault="005E5498"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E5498" w:rsidRPr="00A11324" w14:paraId="7D5EE5D4" w14:textId="77777777" w:rsidTr="007E39E1">
        <w:trPr>
          <w:trHeight w:val="300"/>
          <w:jc w:val="center"/>
        </w:trPr>
        <w:tc>
          <w:tcPr>
            <w:tcW w:w="1665" w:type="dxa"/>
            <w:tcBorders>
              <w:top w:val="single" w:sz="4" w:space="0" w:color="auto"/>
              <w:left w:val="single" w:sz="12" w:space="0" w:color="auto"/>
              <w:bottom w:val="single" w:sz="4" w:space="0" w:color="auto"/>
              <w:right w:val="single" w:sz="12" w:space="0" w:color="auto"/>
            </w:tcBorders>
            <w:noWrap/>
            <w:vAlign w:val="center"/>
            <w:hideMark/>
          </w:tcPr>
          <w:p w14:paraId="4C5B0C63"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t>Low</w:t>
            </w:r>
          </w:p>
        </w:tc>
        <w:tc>
          <w:tcPr>
            <w:tcW w:w="1665" w:type="dxa"/>
            <w:gridSpan w:val="2"/>
            <w:tcBorders>
              <w:top w:val="single" w:sz="4" w:space="0" w:color="auto"/>
              <w:left w:val="single" w:sz="12" w:space="0" w:color="auto"/>
              <w:bottom w:val="single" w:sz="4" w:space="0" w:color="auto"/>
              <w:right w:val="single" w:sz="12" w:space="0" w:color="auto"/>
            </w:tcBorders>
            <w:noWrap/>
            <w:vAlign w:val="center"/>
          </w:tcPr>
          <w:p w14:paraId="5BF7116C" w14:textId="09E301F8" w:rsidR="005E5498" w:rsidRPr="00A11324" w:rsidRDefault="002D2F4E"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E39E1" w:rsidRPr="00A11324" w14:paraId="27C00A68" w14:textId="77777777" w:rsidTr="007E39E1">
        <w:trPr>
          <w:trHeight w:val="300"/>
          <w:jc w:val="center"/>
        </w:trPr>
        <w:tc>
          <w:tcPr>
            <w:tcW w:w="1665" w:type="dxa"/>
            <w:tcBorders>
              <w:top w:val="single" w:sz="4" w:space="0" w:color="auto"/>
              <w:left w:val="single" w:sz="12" w:space="0" w:color="auto"/>
              <w:bottom w:val="single" w:sz="12" w:space="0" w:color="auto"/>
              <w:right w:val="single" w:sz="12" w:space="0" w:color="auto"/>
            </w:tcBorders>
            <w:noWrap/>
            <w:vAlign w:val="center"/>
          </w:tcPr>
          <w:p w14:paraId="46D81516" w14:textId="4DEC8EF2" w:rsidR="007E39E1" w:rsidRPr="00A11324" w:rsidRDefault="007E39E1"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Streamlined</w:t>
            </w:r>
          </w:p>
        </w:tc>
        <w:tc>
          <w:tcPr>
            <w:tcW w:w="1665" w:type="dxa"/>
            <w:gridSpan w:val="2"/>
            <w:tcBorders>
              <w:top w:val="single" w:sz="4" w:space="0" w:color="auto"/>
              <w:left w:val="single" w:sz="12" w:space="0" w:color="auto"/>
              <w:bottom w:val="single" w:sz="12" w:space="0" w:color="auto"/>
              <w:right w:val="single" w:sz="12" w:space="0" w:color="auto"/>
            </w:tcBorders>
            <w:noWrap/>
            <w:vAlign w:val="center"/>
          </w:tcPr>
          <w:p w14:paraId="6AADC734" w14:textId="7DB33CF3" w:rsidR="007E39E1" w:rsidRDefault="007E39E1"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D2F4E">
              <w:rPr>
                <w:rFonts w:ascii="Times New Roman" w:hAnsi="Times New Roman" w:cs="Times New Roman"/>
                <w:sz w:val="24"/>
                <w:szCs w:val="24"/>
              </w:rPr>
              <w:t>6</w:t>
            </w:r>
          </w:p>
        </w:tc>
      </w:tr>
      <w:tr w:rsidR="005E5498" w:rsidRPr="00A11324" w14:paraId="6CD2B3F6" w14:textId="77777777" w:rsidTr="005E5498">
        <w:trPr>
          <w:trHeight w:val="300"/>
          <w:jc w:val="center"/>
        </w:trPr>
        <w:tc>
          <w:tcPr>
            <w:tcW w:w="1665" w:type="dxa"/>
            <w:tcBorders>
              <w:top w:val="single" w:sz="12" w:space="0" w:color="auto"/>
              <w:left w:val="single" w:sz="12" w:space="0" w:color="auto"/>
              <w:bottom w:val="single" w:sz="12" w:space="0" w:color="auto"/>
              <w:right w:val="single" w:sz="12" w:space="0" w:color="auto"/>
            </w:tcBorders>
            <w:noWrap/>
            <w:vAlign w:val="center"/>
            <w:hideMark/>
          </w:tcPr>
          <w:p w14:paraId="3CA3EC8D" w14:textId="77777777" w:rsidR="005E5498" w:rsidRPr="00A11324" w:rsidRDefault="005E5498" w:rsidP="00057DF2">
            <w:pPr>
              <w:spacing w:after="0" w:line="240" w:lineRule="auto"/>
              <w:jc w:val="center"/>
              <w:rPr>
                <w:rFonts w:ascii="Times New Roman" w:hAnsi="Times New Roman" w:cs="Times New Roman"/>
                <w:sz w:val="24"/>
                <w:szCs w:val="24"/>
              </w:rPr>
            </w:pPr>
            <w:r w:rsidRPr="00A11324">
              <w:rPr>
                <w:rFonts w:ascii="Times New Roman" w:hAnsi="Times New Roman" w:cs="Times New Roman"/>
                <w:sz w:val="24"/>
                <w:szCs w:val="24"/>
              </w:rPr>
              <w:t>Total</w:t>
            </w:r>
          </w:p>
        </w:tc>
        <w:tc>
          <w:tcPr>
            <w:tcW w:w="1665" w:type="dxa"/>
            <w:gridSpan w:val="2"/>
            <w:tcBorders>
              <w:top w:val="single" w:sz="12" w:space="0" w:color="auto"/>
              <w:left w:val="single" w:sz="12" w:space="0" w:color="auto"/>
              <w:bottom w:val="single" w:sz="12" w:space="0" w:color="auto"/>
              <w:right w:val="single" w:sz="12" w:space="0" w:color="auto"/>
            </w:tcBorders>
            <w:noWrap/>
            <w:vAlign w:val="center"/>
          </w:tcPr>
          <w:p w14:paraId="77B6C4D8" w14:textId="27B27E73" w:rsidR="005E5498" w:rsidRPr="00A11324" w:rsidRDefault="002D2F4E" w:rsidP="00057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bl>
    <w:bookmarkEnd w:id="1"/>
    <w:p w14:paraId="08BF029E" w14:textId="7FE452FD" w:rsidR="009C3B21" w:rsidRDefault="009139C3" w:rsidP="00CB5C23">
      <w:pPr>
        <w:pStyle w:val="BodyText"/>
        <w:spacing w:before="240" w:line="360" w:lineRule="auto"/>
        <w:ind w:firstLine="720"/>
      </w:pPr>
      <w:r>
        <w:t>T</w:t>
      </w:r>
      <w:r w:rsidR="00A11324">
        <w:t xml:space="preserve">he ERM </w:t>
      </w:r>
      <w:r w:rsidR="00DA2F91">
        <w:t xml:space="preserve">referred </w:t>
      </w:r>
      <w:r w:rsidR="002D2F4E">
        <w:t>forty-three</w:t>
      </w:r>
      <w:r w:rsidR="009C3B21">
        <w:t xml:space="preserve"> </w:t>
      </w:r>
      <w:r w:rsidR="003513DF">
        <w:t>Incident Review</w:t>
      </w:r>
      <w:r w:rsidR="009C3B21">
        <w:t>s</w:t>
      </w:r>
      <w:r w:rsidR="003513DF">
        <w:t xml:space="preserve"> to the Commission’s Division of Compliance and Enforcement (DICE) </w:t>
      </w:r>
      <w:r w:rsidR="00D847A6">
        <w:t>involv</w:t>
      </w:r>
      <w:r w:rsidR="003513DF">
        <w:t xml:space="preserve">ing potential violations of </w:t>
      </w:r>
      <w:r w:rsidR="007E39E1">
        <w:t xml:space="preserve">the </w:t>
      </w:r>
      <w:r w:rsidR="009C3B21">
        <w:t xml:space="preserve">following </w:t>
      </w:r>
      <w:r w:rsidR="007E39E1">
        <w:t>requirement</w:t>
      </w:r>
      <w:r w:rsidR="009C3B21">
        <w:t>s:</w:t>
      </w:r>
    </w:p>
    <w:p w14:paraId="28DDB741" w14:textId="36040D72" w:rsidR="002D2F4E" w:rsidRDefault="002D2F4E" w:rsidP="009C3B21">
      <w:pPr>
        <w:pStyle w:val="BodyText"/>
        <w:numPr>
          <w:ilvl w:val="0"/>
          <w:numId w:val="18"/>
        </w:numPr>
        <w:spacing w:before="120" w:line="276" w:lineRule="auto"/>
        <w:ind w:left="1080"/>
      </w:pPr>
      <w:r>
        <w:t xml:space="preserve">Primary Frequency Response (PFR) </w:t>
      </w:r>
    </w:p>
    <w:p w14:paraId="63B1F05D" w14:textId="77777777" w:rsidR="00FB6A70" w:rsidRPr="00FB6A70" w:rsidRDefault="00FB6A70" w:rsidP="00FB6A70">
      <w:pPr>
        <w:pStyle w:val="BodyText"/>
        <w:numPr>
          <w:ilvl w:val="0"/>
          <w:numId w:val="18"/>
        </w:numPr>
        <w:spacing w:before="120" w:line="276" w:lineRule="auto"/>
        <w:ind w:left="1080"/>
      </w:pPr>
      <w:r w:rsidRPr="00FB6A70">
        <w:t>Controllable Load Resource Energy Deployment Performance</w:t>
      </w:r>
    </w:p>
    <w:p w14:paraId="4C2FE005" w14:textId="74F83F36" w:rsidR="00FB6A70" w:rsidRDefault="00FB6A70" w:rsidP="009C3B21">
      <w:pPr>
        <w:pStyle w:val="BodyText"/>
        <w:numPr>
          <w:ilvl w:val="0"/>
          <w:numId w:val="18"/>
        </w:numPr>
        <w:spacing w:before="120" w:line="276" w:lineRule="auto"/>
        <w:ind w:left="1080"/>
      </w:pPr>
      <w:r>
        <w:t xml:space="preserve">Emergency Response Service testing </w:t>
      </w:r>
    </w:p>
    <w:p w14:paraId="151DA927" w14:textId="105EC8CE" w:rsidR="00FB6A70" w:rsidRDefault="00FB6A70" w:rsidP="001E7D2D">
      <w:pPr>
        <w:pStyle w:val="BodyText"/>
        <w:numPr>
          <w:ilvl w:val="0"/>
          <w:numId w:val="18"/>
        </w:numPr>
        <w:spacing w:before="120" w:after="240" w:line="276" w:lineRule="auto"/>
        <w:ind w:left="1080"/>
      </w:pPr>
      <w:r w:rsidRPr="009C3B21">
        <w:t xml:space="preserve">Generation Resource Energy Deployment </w:t>
      </w:r>
      <w:r>
        <w:t xml:space="preserve">Performance </w:t>
      </w:r>
      <w:r w:rsidR="00001242">
        <w:t xml:space="preserve"> </w:t>
      </w:r>
    </w:p>
    <w:p w14:paraId="13185EF3" w14:textId="20E30D74" w:rsidR="00A11324" w:rsidRPr="00061A74" w:rsidRDefault="276520C2" w:rsidP="00061A74">
      <w:pPr>
        <w:pStyle w:val="Heading2"/>
        <w:spacing w:after="240"/>
        <w:rPr>
          <w:rFonts w:ascii="Times New Roman" w:eastAsia="Times New Roman" w:hAnsi="Times New Roman" w:cs="Times New Roman"/>
          <w:b/>
          <w:bCs/>
          <w:smallCaps/>
          <w:color w:val="auto"/>
          <w:sz w:val="24"/>
          <w:szCs w:val="20"/>
          <w:u w:val="single"/>
        </w:rPr>
      </w:pPr>
      <w:r w:rsidRPr="00F4026A">
        <w:rPr>
          <w:rFonts w:ascii="Times New Roman" w:eastAsia="Times New Roman" w:hAnsi="Times New Roman" w:cs="Times New Roman"/>
          <w:b/>
          <w:bCs/>
          <w:smallCaps/>
          <w:color w:val="auto"/>
          <w:sz w:val="24"/>
          <w:szCs w:val="20"/>
        </w:rPr>
        <w:t>B.</w:t>
      </w:r>
      <w:r w:rsidR="00A11324" w:rsidRPr="00061A74">
        <w:rPr>
          <w:rFonts w:ascii="Times New Roman" w:eastAsia="Times New Roman" w:hAnsi="Times New Roman" w:cs="Times New Roman"/>
          <w:b/>
          <w:bCs/>
          <w:smallCaps/>
          <w:color w:val="auto"/>
          <w:sz w:val="24"/>
          <w:szCs w:val="20"/>
        </w:rPr>
        <w:tab/>
      </w:r>
      <w:r w:rsidR="00A11324" w:rsidRPr="00061A74">
        <w:rPr>
          <w:rFonts w:ascii="Times New Roman" w:eastAsia="Times New Roman" w:hAnsi="Times New Roman" w:cs="Times New Roman"/>
          <w:b/>
          <w:bCs/>
          <w:smallCaps/>
          <w:color w:val="auto"/>
          <w:sz w:val="24"/>
          <w:szCs w:val="20"/>
          <w:u w:val="single"/>
        </w:rPr>
        <w:t>Changes to Reliability Requirements to Promote Improved Reliability</w:t>
      </w:r>
    </w:p>
    <w:p w14:paraId="28FF3B96" w14:textId="731E60E5" w:rsidR="00A11324" w:rsidRDefault="00A43796" w:rsidP="009329C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11324" w:rsidRPr="00A11324">
        <w:rPr>
          <w:rFonts w:ascii="Times New Roman" w:hAnsi="Times New Roman" w:cs="Times New Roman"/>
          <w:sz w:val="24"/>
          <w:szCs w:val="24"/>
        </w:rPr>
        <w:t xml:space="preserve">The ERM is tracking the following revision requests that could impact </w:t>
      </w:r>
      <w:r w:rsidR="0D30996F" w:rsidRPr="00A11324">
        <w:rPr>
          <w:rFonts w:ascii="Times New Roman" w:hAnsi="Times New Roman" w:cs="Times New Roman"/>
          <w:sz w:val="24"/>
          <w:szCs w:val="24"/>
        </w:rPr>
        <w:t xml:space="preserve">ERCOT </w:t>
      </w:r>
      <w:r w:rsidR="1FCDEF48" w:rsidRPr="00A11324">
        <w:rPr>
          <w:rFonts w:ascii="Times New Roman" w:hAnsi="Times New Roman" w:cs="Times New Roman"/>
          <w:sz w:val="24"/>
          <w:szCs w:val="24"/>
        </w:rPr>
        <w:t>S</w:t>
      </w:r>
      <w:r w:rsidR="00A11324" w:rsidRPr="00A11324">
        <w:rPr>
          <w:rFonts w:ascii="Times New Roman" w:hAnsi="Times New Roman" w:cs="Times New Roman"/>
          <w:sz w:val="24"/>
          <w:szCs w:val="24"/>
        </w:rPr>
        <w:t>ystem reliability:</w:t>
      </w:r>
    </w:p>
    <w:tbl>
      <w:tblPr>
        <w:tblStyle w:val="TableGrid"/>
        <w:tblW w:w="9355" w:type="dxa"/>
        <w:tblLook w:val="04A0" w:firstRow="1" w:lastRow="0" w:firstColumn="1" w:lastColumn="0" w:noHBand="0" w:noVBand="1"/>
      </w:tblPr>
      <w:tblGrid>
        <w:gridCol w:w="1525"/>
        <w:gridCol w:w="7830"/>
      </w:tblGrid>
      <w:tr w:rsidR="00CB5C23" w14:paraId="5AFFB43E" w14:textId="77777777" w:rsidTr="007C4EA4">
        <w:tc>
          <w:tcPr>
            <w:tcW w:w="1525" w:type="dxa"/>
            <w:vAlign w:val="bottom"/>
          </w:tcPr>
          <w:p w14:paraId="1E490E96" w14:textId="0CA7D7BF" w:rsidR="00CB5C23" w:rsidRDefault="00CB5C23" w:rsidP="009329C3">
            <w:pPr>
              <w:spacing w:line="360" w:lineRule="auto"/>
              <w:jc w:val="both"/>
              <w:rPr>
                <w:sz w:val="24"/>
                <w:szCs w:val="24"/>
              </w:rPr>
            </w:pPr>
            <w:hyperlink r:id="rId8" w:history="1">
              <w:r w:rsidRPr="004014E8">
                <w:rPr>
                  <w:rStyle w:val="Hyperlink"/>
                  <w:sz w:val="24"/>
                  <w:szCs w:val="24"/>
                </w:rPr>
                <w:t>NPRR1307</w:t>
              </w:r>
            </w:hyperlink>
          </w:p>
        </w:tc>
        <w:tc>
          <w:tcPr>
            <w:tcW w:w="7830" w:type="dxa"/>
            <w:vAlign w:val="center"/>
          </w:tcPr>
          <w:p w14:paraId="73C155A6" w14:textId="5D688D50" w:rsidR="00CB5C23" w:rsidRDefault="00CB5C23" w:rsidP="009329C3">
            <w:pPr>
              <w:spacing w:line="360" w:lineRule="auto"/>
              <w:jc w:val="both"/>
              <w:rPr>
                <w:sz w:val="24"/>
                <w:szCs w:val="24"/>
              </w:rPr>
            </w:pPr>
            <w:r w:rsidRPr="004014E8">
              <w:rPr>
                <w:sz w:val="24"/>
                <w:szCs w:val="24"/>
              </w:rPr>
              <w:t>Revised Definition of Mitigation Plan</w:t>
            </w:r>
          </w:p>
        </w:tc>
      </w:tr>
      <w:tr w:rsidR="00CB5C23" w14:paraId="1748F309" w14:textId="77777777" w:rsidTr="007C4EA4">
        <w:tc>
          <w:tcPr>
            <w:tcW w:w="1525" w:type="dxa"/>
            <w:vAlign w:val="bottom"/>
          </w:tcPr>
          <w:p w14:paraId="1EB2A0F1" w14:textId="73B8E34B" w:rsidR="00CB5C23" w:rsidRDefault="00CB5C23" w:rsidP="009329C3">
            <w:pPr>
              <w:spacing w:line="360" w:lineRule="auto"/>
              <w:jc w:val="both"/>
              <w:rPr>
                <w:sz w:val="24"/>
                <w:szCs w:val="24"/>
              </w:rPr>
            </w:pPr>
            <w:hyperlink r:id="rId9" w:history="1">
              <w:r w:rsidRPr="00FF55B4">
                <w:rPr>
                  <w:rStyle w:val="Hyperlink"/>
                  <w:sz w:val="24"/>
                  <w:szCs w:val="24"/>
                </w:rPr>
                <w:t>NPRR1308</w:t>
              </w:r>
            </w:hyperlink>
          </w:p>
        </w:tc>
        <w:tc>
          <w:tcPr>
            <w:tcW w:w="7830" w:type="dxa"/>
            <w:vAlign w:val="center"/>
          </w:tcPr>
          <w:p w14:paraId="45D4FF0A" w14:textId="4ADD0E93" w:rsidR="00CB5C23" w:rsidRDefault="00CB5C23" w:rsidP="009329C3">
            <w:pPr>
              <w:spacing w:line="360" w:lineRule="auto"/>
              <w:jc w:val="both"/>
              <w:rPr>
                <w:sz w:val="24"/>
                <w:szCs w:val="24"/>
              </w:rPr>
            </w:pPr>
            <w:r w:rsidRPr="00FF55B4">
              <w:rPr>
                <w:sz w:val="24"/>
                <w:szCs w:val="24"/>
              </w:rPr>
              <w:t>Large Electronic Load Ride-Through Requirements</w:t>
            </w:r>
          </w:p>
        </w:tc>
      </w:tr>
      <w:tr w:rsidR="00CB5C23" w14:paraId="74043869" w14:textId="77777777" w:rsidTr="007C4EA4">
        <w:tc>
          <w:tcPr>
            <w:tcW w:w="1525" w:type="dxa"/>
            <w:vAlign w:val="bottom"/>
          </w:tcPr>
          <w:p w14:paraId="64A04FEC" w14:textId="05760EA1" w:rsidR="00CB5C23" w:rsidRDefault="00CB5C23" w:rsidP="009329C3">
            <w:pPr>
              <w:spacing w:line="360" w:lineRule="auto"/>
              <w:jc w:val="both"/>
              <w:rPr>
                <w:sz w:val="24"/>
                <w:szCs w:val="24"/>
              </w:rPr>
            </w:pPr>
            <w:hyperlink r:id="rId10" w:history="1">
              <w:r w:rsidRPr="00FF55B4">
                <w:rPr>
                  <w:rStyle w:val="Hyperlink"/>
                  <w:sz w:val="24"/>
                  <w:szCs w:val="24"/>
                </w:rPr>
                <w:t>NP</w:t>
              </w:r>
              <w:r>
                <w:rPr>
                  <w:rStyle w:val="Hyperlink"/>
                  <w:sz w:val="24"/>
                  <w:szCs w:val="24"/>
                </w:rPr>
                <w:t>R</w:t>
              </w:r>
              <w:r w:rsidRPr="00FF55B4">
                <w:rPr>
                  <w:rStyle w:val="Hyperlink"/>
                  <w:sz w:val="24"/>
                  <w:szCs w:val="24"/>
                </w:rPr>
                <w:t>R1309</w:t>
              </w:r>
            </w:hyperlink>
          </w:p>
        </w:tc>
        <w:tc>
          <w:tcPr>
            <w:tcW w:w="7830" w:type="dxa"/>
            <w:vAlign w:val="center"/>
          </w:tcPr>
          <w:p w14:paraId="7526FEA7" w14:textId="5CCC41C9" w:rsidR="00CB5C23" w:rsidRDefault="00CB5C23" w:rsidP="009329C3">
            <w:pPr>
              <w:spacing w:line="360" w:lineRule="auto"/>
              <w:jc w:val="both"/>
              <w:rPr>
                <w:sz w:val="24"/>
                <w:szCs w:val="24"/>
              </w:rPr>
            </w:pPr>
            <w:r>
              <w:rPr>
                <w:sz w:val="24"/>
                <w:szCs w:val="24"/>
              </w:rPr>
              <w:t>D</w:t>
            </w:r>
            <w:r w:rsidRPr="00FF55B4">
              <w:rPr>
                <w:sz w:val="24"/>
                <w:szCs w:val="24"/>
              </w:rPr>
              <w:t>ispatchable Reliability Reserve Service Ancillary Service</w:t>
            </w:r>
          </w:p>
        </w:tc>
      </w:tr>
      <w:tr w:rsidR="00CB5C23" w14:paraId="1E4C2041" w14:textId="77777777" w:rsidTr="007C4EA4">
        <w:tc>
          <w:tcPr>
            <w:tcW w:w="1525" w:type="dxa"/>
            <w:vAlign w:val="bottom"/>
          </w:tcPr>
          <w:p w14:paraId="60F51C23" w14:textId="70E8907B" w:rsidR="00CB5C23" w:rsidRDefault="00CB5C23" w:rsidP="009329C3">
            <w:pPr>
              <w:spacing w:line="360" w:lineRule="auto"/>
              <w:jc w:val="both"/>
              <w:rPr>
                <w:sz w:val="24"/>
                <w:szCs w:val="24"/>
              </w:rPr>
            </w:pPr>
            <w:hyperlink r:id="rId11" w:anchor="keydocs" w:history="1">
              <w:r w:rsidRPr="000869B2">
                <w:rPr>
                  <w:rStyle w:val="Hyperlink"/>
                  <w:sz w:val="24"/>
                  <w:szCs w:val="24"/>
                </w:rPr>
                <w:t>NPRR1310</w:t>
              </w:r>
            </w:hyperlink>
          </w:p>
        </w:tc>
        <w:tc>
          <w:tcPr>
            <w:tcW w:w="7830" w:type="dxa"/>
            <w:vAlign w:val="center"/>
          </w:tcPr>
          <w:p w14:paraId="36455EA1" w14:textId="5C04F50E" w:rsidR="00CB5C23" w:rsidRDefault="00CB5C23" w:rsidP="00CB5C23">
            <w:pPr>
              <w:rPr>
                <w:sz w:val="24"/>
                <w:szCs w:val="24"/>
              </w:rPr>
            </w:pPr>
            <w:r>
              <w:rPr>
                <w:sz w:val="24"/>
                <w:szCs w:val="24"/>
              </w:rPr>
              <w:t>Dispatchable Reliability Reserve Service Plus Energy Storage Resource Participation and Release Factor</w:t>
            </w:r>
          </w:p>
        </w:tc>
      </w:tr>
      <w:tr w:rsidR="00CB5C23" w14:paraId="78DB2D09" w14:textId="77777777" w:rsidTr="007C4EA4">
        <w:tc>
          <w:tcPr>
            <w:tcW w:w="1525" w:type="dxa"/>
            <w:vAlign w:val="bottom"/>
          </w:tcPr>
          <w:p w14:paraId="697E2851" w14:textId="592679FE" w:rsidR="00CB5C23" w:rsidRDefault="00CB5C23" w:rsidP="009329C3">
            <w:pPr>
              <w:spacing w:line="360" w:lineRule="auto"/>
              <w:jc w:val="both"/>
              <w:rPr>
                <w:sz w:val="24"/>
                <w:szCs w:val="24"/>
              </w:rPr>
            </w:pPr>
            <w:hyperlink r:id="rId12" w:history="1">
              <w:r w:rsidRPr="000869B2">
                <w:rPr>
                  <w:rStyle w:val="Hyperlink"/>
                  <w:sz w:val="24"/>
                  <w:szCs w:val="24"/>
                </w:rPr>
                <w:t>NPRR1315</w:t>
              </w:r>
            </w:hyperlink>
          </w:p>
        </w:tc>
        <w:tc>
          <w:tcPr>
            <w:tcW w:w="7830" w:type="dxa"/>
            <w:vAlign w:val="center"/>
          </w:tcPr>
          <w:p w14:paraId="27DD88F0" w14:textId="7A8A4D9C" w:rsidR="00CB5C23" w:rsidRDefault="00CB5C23" w:rsidP="009329C3">
            <w:pPr>
              <w:spacing w:line="360" w:lineRule="auto"/>
              <w:jc w:val="both"/>
              <w:rPr>
                <w:sz w:val="24"/>
                <w:szCs w:val="24"/>
              </w:rPr>
            </w:pPr>
            <w:r>
              <w:rPr>
                <w:sz w:val="24"/>
                <w:szCs w:val="24"/>
              </w:rPr>
              <w:t>Changes to Process of Evaluating the Potential Needs for Additional Capacity</w:t>
            </w:r>
          </w:p>
        </w:tc>
      </w:tr>
      <w:tr w:rsidR="00CB5C23" w14:paraId="3C1B7009" w14:textId="77777777" w:rsidTr="007C4EA4">
        <w:tc>
          <w:tcPr>
            <w:tcW w:w="1525" w:type="dxa"/>
            <w:vAlign w:val="bottom"/>
          </w:tcPr>
          <w:p w14:paraId="0B5BA7E9" w14:textId="3C446076" w:rsidR="00CB5C23" w:rsidRDefault="00CB5C23" w:rsidP="009329C3">
            <w:pPr>
              <w:spacing w:line="360" w:lineRule="auto"/>
              <w:jc w:val="both"/>
              <w:rPr>
                <w:sz w:val="24"/>
                <w:szCs w:val="24"/>
              </w:rPr>
            </w:pPr>
            <w:hyperlink r:id="rId13" w:history="1">
              <w:r>
                <w:rPr>
                  <w:rStyle w:val="Hyperlink"/>
                  <w:sz w:val="24"/>
                  <w:szCs w:val="24"/>
                </w:rPr>
                <w:t>NPRR1317</w:t>
              </w:r>
            </w:hyperlink>
          </w:p>
        </w:tc>
        <w:tc>
          <w:tcPr>
            <w:tcW w:w="7830" w:type="dxa"/>
            <w:vAlign w:val="center"/>
          </w:tcPr>
          <w:p w14:paraId="56455003" w14:textId="35A8573C" w:rsidR="00CB5C23" w:rsidRDefault="00CB5C23" w:rsidP="00CB5C23">
            <w:pPr>
              <w:rPr>
                <w:sz w:val="24"/>
                <w:szCs w:val="24"/>
              </w:rPr>
            </w:pPr>
            <w:r>
              <w:rPr>
                <w:sz w:val="24"/>
                <w:szCs w:val="24"/>
              </w:rPr>
              <w:t>Creation of Non-Settled Generator (NSG) and Clarification of the Types, Usage, and Registration of Distributed Generation</w:t>
            </w:r>
          </w:p>
        </w:tc>
      </w:tr>
      <w:tr w:rsidR="00CB5C23" w14:paraId="6C7DDFF4" w14:textId="77777777" w:rsidTr="007C4EA4">
        <w:tc>
          <w:tcPr>
            <w:tcW w:w="1525" w:type="dxa"/>
            <w:vAlign w:val="bottom"/>
          </w:tcPr>
          <w:p w14:paraId="03A5E729" w14:textId="37199717" w:rsidR="00CB5C23" w:rsidRDefault="00CB5C23" w:rsidP="009329C3">
            <w:pPr>
              <w:spacing w:line="360" w:lineRule="auto"/>
              <w:jc w:val="both"/>
              <w:rPr>
                <w:sz w:val="24"/>
                <w:szCs w:val="24"/>
              </w:rPr>
            </w:pPr>
            <w:hyperlink r:id="rId14" w:anchor="keydocs" w:history="1">
              <w:r>
                <w:rPr>
                  <w:rStyle w:val="Hyperlink"/>
                  <w:sz w:val="24"/>
                  <w:szCs w:val="24"/>
                </w:rPr>
                <w:t>NPRR1319</w:t>
              </w:r>
            </w:hyperlink>
          </w:p>
        </w:tc>
        <w:tc>
          <w:tcPr>
            <w:tcW w:w="7830" w:type="dxa"/>
            <w:vAlign w:val="center"/>
          </w:tcPr>
          <w:p w14:paraId="0EA1B3DD" w14:textId="73385F32" w:rsidR="00CB5C23" w:rsidRDefault="00CB5C23" w:rsidP="00CB5C23">
            <w:pPr>
              <w:rPr>
                <w:sz w:val="24"/>
                <w:szCs w:val="24"/>
              </w:rPr>
            </w:pPr>
            <w:r>
              <w:rPr>
                <w:sz w:val="24"/>
                <w:szCs w:val="24"/>
              </w:rPr>
              <w:t>Modifications to Seasonal Mothball Periods and Clarifications to Evaluation Process</w:t>
            </w:r>
          </w:p>
        </w:tc>
      </w:tr>
      <w:tr w:rsidR="00CB5C23" w14:paraId="4F57A29D" w14:textId="77777777" w:rsidTr="007C4EA4">
        <w:tc>
          <w:tcPr>
            <w:tcW w:w="1525" w:type="dxa"/>
            <w:vAlign w:val="bottom"/>
          </w:tcPr>
          <w:p w14:paraId="34057619" w14:textId="5DE22049" w:rsidR="00CB5C23" w:rsidRDefault="00CB5C23" w:rsidP="009329C3">
            <w:pPr>
              <w:spacing w:line="360" w:lineRule="auto"/>
              <w:jc w:val="both"/>
              <w:rPr>
                <w:sz w:val="24"/>
                <w:szCs w:val="24"/>
              </w:rPr>
            </w:pPr>
            <w:hyperlink r:id="rId15" w:history="1">
              <w:r w:rsidRPr="004014E8">
                <w:rPr>
                  <w:rStyle w:val="Hyperlink"/>
                  <w:sz w:val="24"/>
                  <w:szCs w:val="24"/>
                </w:rPr>
                <w:t>NOGRR281</w:t>
              </w:r>
            </w:hyperlink>
          </w:p>
        </w:tc>
        <w:tc>
          <w:tcPr>
            <w:tcW w:w="7830" w:type="dxa"/>
            <w:vAlign w:val="center"/>
          </w:tcPr>
          <w:p w14:paraId="50906AA2" w14:textId="0294EE60" w:rsidR="00CB5C23" w:rsidRDefault="00CB5C23" w:rsidP="009329C3">
            <w:pPr>
              <w:spacing w:line="360" w:lineRule="auto"/>
              <w:jc w:val="both"/>
              <w:rPr>
                <w:sz w:val="24"/>
                <w:szCs w:val="24"/>
              </w:rPr>
            </w:pPr>
            <w:r w:rsidRPr="004014E8">
              <w:rPr>
                <w:sz w:val="24"/>
                <w:szCs w:val="24"/>
              </w:rPr>
              <w:t>Revised Definition of Mitigation Plan</w:t>
            </w:r>
          </w:p>
        </w:tc>
      </w:tr>
      <w:tr w:rsidR="00CB5C23" w14:paraId="3A9460DB" w14:textId="77777777" w:rsidTr="007C4EA4">
        <w:tc>
          <w:tcPr>
            <w:tcW w:w="1525" w:type="dxa"/>
            <w:vAlign w:val="bottom"/>
          </w:tcPr>
          <w:p w14:paraId="70065219" w14:textId="4FA4ADD2" w:rsidR="00CB5C23" w:rsidRDefault="00CB5C23" w:rsidP="009329C3">
            <w:pPr>
              <w:spacing w:line="360" w:lineRule="auto"/>
              <w:jc w:val="both"/>
              <w:rPr>
                <w:sz w:val="24"/>
                <w:szCs w:val="24"/>
              </w:rPr>
            </w:pPr>
            <w:hyperlink r:id="rId16" w:history="1">
              <w:r w:rsidRPr="00FF55B4">
                <w:rPr>
                  <w:rStyle w:val="Hyperlink"/>
                  <w:sz w:val="24"/>
                  <w:szCs w:val="24"/>
                </w:rPr>
                <w:t>NOGRR282</w:t>
              </w:r>
            </w:hyperlink>
          </w:p>
        </w:tc>
        <w:tc>
          <w:tcPr>
            <w:tcW w:w="7830" w:type="dxa"/>
            <w:vAlign w:val="center"/>
          </w:tcPr>
          <w:p w14:paraId="3D888CF5" w14:textId="2F711885" w:rsidR="00CB5C23" w:rsidRDefault="00CB5C23" w:rsidP="009329C3">
            <w:pPr>
              <w:spacing w:line="360" w:lineRule="auto"/>
              <w:jc w:val="both"/>
              <w:rPr>
                <w:sz w:val="24"/>
                <w:szCs w:val="24"/>
              </w:rPr>
            </w:pPr>
            <w:r w:rsidRPr="00FF55B4">
              <w:rPr>
                <w:sz w:val="24"/>
                <w:szCs w:val="24"/>
              </w:rPr>
              <w:t>Large Electronic Load Ride-Through Requirements</w:t>
            </w:r>
          </w:p>
        </w:tc>
      </w:tr>
      <w:tr w:rsidR="00CB5C23" w14:paraId="3671FB61" w14:textId="77777777" w:rsidTr="007C4EA4">
        <w:tc>
          <w:tcPr>
            <w:tcW w:w="1525" w:type="dxa"/>
            <w:vAlign w:val="bottom"/>
          </w:tcPr>
          <w:p w14:paraId="695480D5" w14:textId="11AD964C" w:rsidR="00CB5C23" w:rsidRDefault="00CB5C23" w:rsidP="009329C3">
            <w:pPr>
              <w:spacing w:line="360" w:lineRule="auto"/>
              <w:jc w:val="both"/>
              <w:rPr>
                <w:sz w:val="24"/>
                <w:szCs w:val="24"/>
              </w:rPr>
            </w:pPr>
            <w:hyperlink r:id="rId17" w:history="1">
              <w:r w:rsidRPr="00FF55B4">
                <w:rPr>
                  <w:rStyle w:val="Hyperlink"/>
                  <w:sz w:val="24"/>
                  <w:szCs w:val="24"/>
                </w:rPr>
                <w:t>NOGRR283</w:t>
              </w:r>
            </w:hyperlink>
          </w:p>
        </w:tc>
        <w:tc>
          <w:tcPr>
            <w:tcW w:w="7830" w:type="dxa"/>
            <w:vAlign w:val="center"/>
          </w:tcPr>
          <w:p w14:paraId="69DF4BF6" w14:textId="5EE75E74" w:rsidR="00CB5C23" w:rsidRDefault="00CB5C23" w:rsidP="009329C3">
            <w:pPr>
              <w:spacing w:line="360" w:lineRule="auto"/>
              <w:jc w:val="both"/>
              <w:rPr>
                <w:sz w:val="24"/>
                <w:szCs w:val="24"/>
              </w:rPr>
            </w:pPr>
            <w:r w:rsidRPr="00FF55B4">
              <w:rPr>
                <w:sz w:val="24"/>
                <w:szCs w:val="24"/>
              </w:rPr>
              <w:t>Dispatchable Reliability Reserve Service Ancillary Service</w:t>
            </w:r>
          </w:p>
        </w:tc>
      </w:tr>
      <w:tr w:rsidR="00CB5C23" w14:paraId="3C0110A0" w14:textId="77777777" w:rsidTr="007C4EA4">
        <w:tc>
          <w:tcPr>
            <w:tcW w:w="1525" w:type="dxa"/>
            <w:vAlign w:val="bottom"/>
          </w:tcPr>
          <w:p w14:paraId="4DC57800" w14:textId="243C83C8" w:rsidR="00CB5C23" w:rsidRDefault="00CB5C23" w:rsidP="009329C3">
            <w:pPr>
              <w:spacing w:line="360" w:lineRule="auto"/>
              <w:jc w:val="both"/>
              <w:rPr>
                <w:sz w:val="24"/>
                <w:szCs w:val="24"/>
              </w:rPr>
            </w:pPr>
            <w:hyperlink r:id="rId18" w:history="1">
              <w:r w:rsidRPr="00FF55B4">
                <w:rPr>
                  <w:rStyle w:val="Hyperlink"/>
                  <w:sz w:val="24"/>
                  <w:szCs w:val="24"/>
                </w:rPr>
                <w:t>NOGRR284</w:t>
              </w:r>
            </w:hyperlink>
          </w:p>
        </w:tc>
        <w:tc>
          <w:tcPr>
            <w:tcW w:w="7830" w:type="dxa"/>
            <w:vAlign w:val="center"/>
          </w:tcPr>
          <w:p w14:paraId="2B9987F2" w14:textId="2E52A309" w:rsidR="00CB5C23" w:rsidRDefault="00CB5C23" w:rsidP="00CB5C23">
            <w:pPr>
              <w:rPr>
                <w:sz w:val="24"/>
                <w:szCs w:val="24"/>
              </w:rPr>
            </w:pPr>
            <w:r w:rsidRPr="00FF55B4">
              <w:rPr>
                <w:sz w:val="24"/>
                <w:szCs w:val="24"/>
              </w:rPr>
              <w:t>Dispatchable Reliability Reserve Service Plus Energy Storage Resource</w:t>
            </w:r>
            <w:r>
              <w:rPr>
                <w:sz w:val="24"/>
                <w:szCs w:val="24"/>
              </w:rPr>
              <w:t xml:space="preserve"> </w:t>
            </w:r>
            <w:r w:rsidRPr="00FF55B4">
              <w:rPr>
                <w:sz w:val="24"/>
                <w:szCs w:val="24"/>
              </w:rPr>
              <w:t>Participation and Release Factor</w:t>
            </w:r>
          </w:p>
        </w:tc>
      </w:tr>
      <w:tr w:rsidR="00CB5C23" w14:paraId="671FEE14" w14:textId="77777777" w:rsidTr="007C4EA4">
        <w:tc>
          <w:tcPr>
            <w:tcW w:w="1525" w:type="dxa"/>
            <w:vAlign w:val="bottom"/>
          </w:tcPr>
          <w:p w14:paraId="0FE7AF6E" w14:textId="7DAC31B0" w:rsidR="00CB5C23" w:rsidRDefault="00CB5C23" w:rsidP="009329C3">
            <w:pPr>
              <w:spacing w:line="360" w:lineRule="auto"/>
              <w:jc w:val="both"/>
              <w:rPr>
                <w:sz w:val="24"/>
                <w:szCs w:val="24"/>
              </w:rPr>
            </w:pPr>
            <w:hyperlink r:id="rId19" w:history="1">
              <w:r w:rsidRPr="00556552">
                <w:rPr>
                  <w:rStyle w:val="Hyperlink"/>
                  <w:sz w:val="24"/>
                  <w:szCs w:val="24"/>
                </w:rPr>
                <w:t>PGRR136</w:t>
              </w:r>
            </w:hyperlink>
          </w:p>
        </w:tc>
        <w:tc>
          <w:tcPr>
            <w:tcW w:w="7830" w:type="dxa"/>
            <w:vAlign w:val="center"/>
          </w:tcPr>
          <w:p w14:paraId="4641D89E" w14:textId="3180BF1B" w:rsidR="00CB5C23" w:rsidRDefault="00CB5C23" w:rsidP="009329C3">
            <w:pPr>
              <w:spacing w:line="360" w:lineRule="auto"/>
              <w:jc w:val="both"/>
              <w:rPr>
                <w:sz w:val="24"/>
                <w:szCs w:val="24"/>
              </w:rPr>
            </w:pPr>
            <w:r w:rsidRPr="00556552">
              <w:rPr>
                <w:sz w:val="24"/>
                <w:szCs w:val="24"/>
              </w:rPr>
              <w:t>Large Load Interconnection Study Scope Documentation</w:t>
            </w:r>
          </w:p>
        </w:tc>
      </w:tr>
      <w:tr w:rsidR="00CB5C23" w14:paraId="2138215C" w14:textId="77777777" w:rsidTr="007C4EA4">
        <w:tc>
          <w:tcPr>
            <w:tcW w:w="1525" w:type="dxa"/>
            <w:vAlign w:val="bottom"/>
          </w:tcPr>
          <w:p w14:paraId="4EFD5672" w14:textId="2AD2041A" w:rsidR="00CB5C23" w:rsidRDefault="00CB5C23" w:rsidP="009329C3">
            <w:pPr>
              <w:spacing w:line="360" w:lineRule="auto"/>
              <w:jc w:val="both"/>
              <w:rPr>
                <w:sz w:val="24"/>
                <w:szCs w:val="24"/>
              </w:rPr>
            </w:pPr>
            <w:hyperlink r:id="rId20" w:history="1">
              <w:r w:rsidRPr="00556552">
                <w:rPr>
                  <w:rStyle w:val="Hyperlink"/>
                  <w:sz w:val="24"/>
                  <w:szCs w:val="24"/>
                </w:rPr>
                <w:t>PGRR138</w:t>
              </w:r>
            </w:hyperlink>
          </w:p>
        </w:tc>
        <w:tc>
          <w:tcPr>
            <w:tcW w:w="7830" w:type="dxa"/>
            <w:vAlign w:val="center"/>
          </w:tcPr>
          <w:p w14:paraId="67EA43CE" w14:textId="4642342B" w:rsidR="00CB5C23" w:rsidRDefault="00CB5C23" w:rsidP="009329C3">
            <w:pPr>
              <w:spacing w:line="360" w:lineRule="auto"/>
              <w:jc w:val="both"/>
              <w:rPr>
                <w:sz w:val="24"/>
                <w:szCs w:val="24"/>
              </w:rPr>
            </w:pPr>
            <w:r w:rsidRPr="00556552">
              <w:rPr>
                <w:sz w:val="24"/>
                <w:szCs w:val="24"/>
              </w:rPr>
              <w:t>Large Load Interconnection Study Review and Approval Process</w:t>
            </w:r>
          </w:p>
        </w:tc>
      </w:tr>
      <w:tr w:rsidR="00CB5C23" w14:paraId="5A75A1D5" w14:textId="77777777" w:rsidTr="007C4EA4">
        <w:tc>
          <w:tcPr>
            <w:tcW w:w="1525" w:type="dxa"/>
            <w:vAlign w:val="bottom"/>
          </w:tcPr>
          <w:p w14:paraId="01649301" w14:textId="05931FB9" w:rsidR="00CB5C23" w:rsidRDefault="00CB5C23" w:rsidP="009329C3">
            <w:pPr>
              <w:spacing w:line="360" w:lineRule="auto"/>
              <w:jc w:val="both"/>
              <w:rPr>
                <w:sz w:val="24"/>
                <w:szCs w:val="24"/>
              </w:rPr>
            </w:pPr>
            <w:hyperlink r:id="rId21" w:history="1">
              <w:r>
                <w:rPr>
                  <w:rStyle w:val="Hyperlink"/>
                  <w:sz w:val="24"/>
                  <w:szCs w:val="24"/>
                </w:rPr>
                <w:t>PGRR140</w:t>
              </w:r>
            </w:hyperlink>
          </w:p>
        </w:tc>
        <w:tc>
          <w:tcPr>
            <w:tcW w:w="7830" w:type="dxa"/>
            <w:vAlign w:val="center"/>
          </w:tcPr>
          <w:p w14:paraId="0A6832E8" w14:textId="0C6C5610" w:rsidR="00CB5C23" w:rsidRDefault="00CB5C23" w:rsidP="00CB5C23">
            <w:pPr>
              <w:rPr>
                <w:sz w:val="24"/>
                <w:szCs w:val="24"/>
              </w:rPr>
            </w:pPr>
            <w:r>
              <w:rPr>
                <w:sz w:val="24"/>
                <w:szCs w:val="24"/>
              </w:rPr>
              <w:t>Related to NPRR1317, Creation of Non-Settled Generator (NSG) and Clarification of the Types, Usage, and Registration of Distributed Generation</w:t>
            </w:r>
          </w:p>
        </w:tc>
      </w:tr>
      <w:tr w:rsidR="00CB5C23" w14:paraId="0E4532E6" w14:textId="77777777" w:rsidTr="007C4EA4">
        <w:tc>
          <w:tcPr>
            <w:tcW w:w="1525" w:type="dxa"/>
            <w:vAlign w:val="bottom"/>
          </w:tcPr>
          <w:p w14:paraId="6DCE4C85" w14:textId="112F347C" w:rsidR="00CB5C23" w:rsidRDefault="00CB5C23" w:rsidP="009329C3">
            <w:pPr>
              <w:spacing w:line="360" w:lineRule="auto"/>
              <w:jc w:val="both"/>
              <w:rPr>
                <w:sz w:val="24"/>
                <w:szCs w:val="24"/>
              </w:rPr>
            </w:pPr>
            <w:hyperlink r:id="rId22" w:history="1">
              <w:r>
                <w:rPr>
                  <w:rStyle w:val="Hyperlink"/>
                  <w:sz w:val="24"/>
                  <w:szCs w:val="24"/>
                </w:rPr>
                <w:t>PGRR141</w:t>
              </w:r>
            </w:hyperlink>
          </w:p>
        </w:tc>
        <w:tc>
          <w:tcPr>
            <w:tcW w:w="7830" w:type="dxa"/>
            <w:vAlign w:val="center"/>
          </w:tcPr>
          <w:p w14:paraId="1E5A6E46" w14:textId="0180B8F9" w:rsidR="00CB5C23" w:rsidRDefault="00CB5C23" w:rsidP="009329C3">
            <w:pPr>
              <w:spacing w:line="360" w:lineRule="auto"/>
              <w:jc w:val="both"/>
              <w:rPr>
                <w:sz w:val="24"/>
                <w:szCs w:val="24"/>
              </w:rPr>
            </w:pPr>
            <w:r>
              <w:rPr>
                <w:sz w:val="24"/>
                <w:szCs w:val="24"/>
              </w:rPr>
              <w:t>Large Load Interconnection Study Reform for Substantiated Load</w:t>
            </w:r>
          </w:p>
        </w:tc>
      </w:tr>
    </w:tbl>
    <w:p w14:paraId="04D48D9C" w14:textId="77777777" w:rsidR="00CB5C23" w:rsidRDefault="00CB5C23" w:rsidP="00CB5C23">
      <w:pPr>
        <w:ind w:left="2160" w:hanging="1440"/>
        <w:jc w:val="both"/>
        <w:rPr>
          <w:rFonts w:ascii="Times New Roman" w:hAnsi="Times New Roman" w:cs="Times New Roman"/>
          <w:sz w:val="24"/>
          <w:szCs w:val="24"/>
        </w:rPr>
      </w:pPr>
    </w:p>
    <w:p w14:paraId="509F8A7E" w14:textId="3077F3E6" w:rsidR="00A11324" w:rsidRPr="00A11324" w:rsidRDefault="00A11324" w:rsidP="007C4EA4">
      <w:pPr>
        <w:spacing w:line="360" w:lineRule="auto"/>
        <w:ind w:firstLine="720"/>
        <w:jc w:val="both"/>
        <w:rPr>
          <w:rFonts w:ascii="Times New Roman" w:hAnsi="Times New Roman" w:cs="Times New Roman"/>
          <w:sz w:val="24"/>
          <w:szCs w:val="24"/>
        </w:rPr>
      </w:pPr>
      <w:r w:rsidRPr="00A11324">
        <w:rPr>
          <w:rFonts w:ascii="Times New Roman" w:hAnsi="Times New Roman" w:cs="Times New Roman"/>
          <w:sz w:val="24"/>
          <w:szCs w:val="24"/>
        </w:rPr>
        <w:t>In addition to the foregoing, the ERM continues working with Subject Matter Experts on the following issues to improve ERCOT System reliability:</w:t>
      </w:r>
    </w:p>
    <w:p w14:paraId="1DADE922" w14:textId="40362C84" w:rsidR="004014E8" w:rsidRDefault="004014E8" w:rsidP="00A113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Self-Limiting Facilities </w:t>
      </w:r>
    </w:p>
    <w:p w14:paraId="3FEDF36A" w14:textId="71F9F80C" w:rsidR="00F81AE6" w:rsidRDefault="00F81AE6" w:rsidP="00A11324">
      <w:pPr>
        <w:numPr>
          <w:ilvl w:val="0"/>
          <w:numId w:val="6"/>
        </w:numPr>
        <w:rPr>
          <w:rFonts w:ascii="Times New Roman" w:hAnsi="Times New Roman" w:cs="Times New Roman"/>
          <w:sz w:val="24"/>
          <w:szCs w:val="24"/>
        </w:rPr>
      </w:pPr>
      <w:r>
        <w:rPr>
          <w:rFonts w:ascii="Times New Roman" w:hAnsi="Times New Roman" w:cs="Times New Roman"/>
          <w:sz w:val="24"/>
          <w:szCs w:val="24"/>
        </w:rPr>
        <w:t>Generic Transmission Constraints</w:t>
      </w:r>
    </w:p>
    <w:p w14:paraId="0D919821" w14:textId="4892B9C7" w:rsidR="00871981" w:rsidRDefault="00871981" w:rsidP="00A11324">
      <w:pPr>
        <w:numPr>
          <w:ilvl w:val="0"/>
          <w:numId w:val="6"/>
        </w:numPr>
        <w:rPr>
          <w:rFonts w:ascii="Times New Roman" w:hAnsi="Times New Roman" w:cs="Times New Roman"/>
          <w:sz w:val="24"/>
          <w:szCs w:val="24"/>
        </w:rPr>
      </w:pPr>
      <w:r>
        <w:rPr>
          <w:rFonts w:ascii="Times New Roman" w:hAnsi="Times New Roman" w:cs="Times New Roman"/>
          <w:sz w:val="24"/>
          <w:szCs w:val="24"/>
        </w:rPr>
        <w:t>Voltage ride-through</w:t>
      </w:r>
      <w:r w:rsidR="00050372">
        <w:rPr>
          <w:rFonts w:ascii="Times New Roman" w:hAnsi="Times New Roman" w:cs="Times New Roman"/>
          <w:sz w:val="24"/>
          <w:szCs w:val="24"/>
        </w:rPr>
        <w:t xml:space="preserve"> </w:t>
      </w:r>
      <w:r w:rsidR="008775E7">
        <w:rPr>
          <w:rFonts w:ascii="Times New Roman" w:hAnsi="Times New Roman" w:cs="Times New Roman"/>
          <w:sz w:val="24"/>
          <w:szCs w:val="24"/>
        </w:rPr>
        <w:t>and</w:t>
      </w:r>
      <w:r w:rsidR="00050372">
        <w:rPr>
          <w:rFonts w:ascii="Times New Roman" w:hAnsi="Times New Roman" w:cs="Times New Roman"/>
          <w:sz w:val="24"/>
          <w:szCs w:val="24"/>
        </w:rPr>
        <w:t xml:space="preserve"> support</w:t>
      </w:r>
    </w:p>
    <w:p w14:paraId="1DEE090C" w14:textId="41F1A23D" w:rsidR="00883289" w:rsidRDefault="00883289" w:rsidP="00A11324">
      <w:pPr>
        <w:numPr>
          <w:ilvl w:val="0"/>
          <w:numId w:val="6"/>
        </w:numPr>
        <w:rPr>
          <w:rFonts w:ascii="Times New Roman" w:hAnsi="Times New Roman" w:cs="Times New Roman"/>
          <w:sz w:val="24"/>
          <w:szCs w:val="24"/>
        </w:rPr>
      </w:pPr>
      <w:r>
        <w:rPr>
          <w:rFonts w:ascii="Times New Roman" w:hAnsi="Times New Roman" w:cs="Times New Roman"/>
          <w:sz w:val="24"/>
          <w:szCs w:val="24"/>
        </w:rPr>
        <w:t>Operational issues with IRR</w:t>
      </w:r>
      <w:r w:rsidR="0026542D">
        <w:rPr>
          <w:rFonts w:ascii="Times New Roman" w:hAnsi="Times New Roman" w:cs="Times New Roman"/>
          <w:sz w:val="24"/>
          <w:szCs w:val="24"/>
        </w:rPr>
        <w:t>s</w:t>
      </w:r>
      <w:r>
        <w:rPr>
          <w:rFonts w:ascii="Times New Roman" w:hAnsi="Times New Roman" w:cs="Times New Roman"/>
          <w:sz w:val="24"/>
          <w:szCs w:val="24"/>
        </w:rPr>
        <w:t xml:space="preserve"> when curtailed</w:t>
      </w:r>
    </w:p>
    <w:p w14:paraId="1390E1BD" w14:textId="729D67B7" w:rsidR="00A11324" w:rsidRPr="00A11324" w:rsidRDefault="00A11324" w:rsidP="00A11324">
      <w:pPr>
        <w:numPr>
          <w:ilvl w:val="0"/>
          <w:numId w:val="6"/>
        </w:numPr>
        <w:rPr>
          <w:rFonts w:ascii="Times New Roman" w:hAnsi="Times New Roman" w:cs="Times New Roman"/>
          <w:sz w:val="24"/>
          <w:szCs w:val="24"/>
        </w:rPr>
      </w:pPr>
      <w:r w:rsidRPr="00A11324">
        <w:rPr>
          <w:rFonts w:ascii="Times New Roman" w:hAnsi="Times New Roman" w:cs="Times New Roman"/>
          <w:sz w:val="24"/>
          <w:szCs w:val="24"/>
        </w:rPr>
        <w:t>Telemetry accuracy</w:t>
      </w:r>
    </w:p>
    <w:p w14:paraId="1481F7A5" w14:textId="23DDEFE4" w:rsidR="007977E7" w:rsidRPr="00061A74" w:rsidRDefault="5425C38B" w:rsidP="00061A74">
      <w:pPr>
        <w:pStyle w:val="Heading2"/>
        <w:spacing w:after="240"/>
        <w:rPr>
          <w:rFonts w:ascii="Times New Roman" w:eastAsia="Times New Roman" w:hAnsi="Times New Roman" w:cs="Times New Roman"/>
          <w:b/>
          <w:bCs/>
          <w:smallCaps/>
          <w:color w:val="auto"/>
          <w:sz w:val="24"/>
          <w:szCs w:val="20"/>
          <w:u w:val="single"/>
        </w:rPr>
      </w:pPr>
      <w:r w:rsidRPr="00F4026A">
        <w:rPr>
          <w:rFonts w:ascii="Times New Roman" w:eastAsia="Times New Roman" w:hAnsi="Times New Roman" w:cs="Times New Roman"/>
          <w:b/>
          <w:bCs/>
          <w:smallCaps/>
          <w:color w:val="auto"/>
          <w:sz w:val="24"/>
          <w:szCs w:val="20"/>
        </w:rPr>
        <w:t>C.</w:t>
      </w:r>
      <w:r w:rsidR="00AF350E" w:rsidRPr="00061A74">
        <w:rPr>
          <w:rFonts w:ascii="Times New Roman" w:eastAsia="Times New Roman" w:hAnsi="Times New Roman" w:cs="Times New Roman"/>
          <w:b/>
          <w:bCs/>
          <w:smallCaps/>
          <w:color w:val="auto"/>
          <w:sz w:val="24"/>
          <w:szCs w:val="20"/>
        </w:rPr>
        <w:tab/>
      </w:r>
      <w:r w:rsidR="00AF350E" w:rsidRPr="00061A74">
        <w:rPr>
          <w:rFonts w:ascii="Times New Roman" w:eastAsia="Times New Roman" w:hAnsi="Times New Roman" w:cs="Times New Roman"/>
          <w:b/>
          <w:bCs/>
          <w:smallCaps/>
          <w:color w:val="auto"/>
          <w:sz w:val="24"/>
          <w:szCs w:val="20"/>
          <w:u w:val="single"/>
        </w:rPr>
        <w:t>Routine Compliance</w:t>
      </w:r>
      <w:r w:rsidR="00E075FD" w:rsidRPr="00061A74">
        <w:rPr>
          <w:rFonts w:ascii="Times New Roman" w:eastAsia="Times New Roman" w:hAnsi="Times New Roman" w:cs="Times New Roman"/>
          <w:b/>
          <w:bCs/>
          <w:smallCaps/>
          <w:color w:val="auto"/>
          <w:sz w:val="24"/>
          <w:szCs w:val="20"/>
          <w:u w:val="single"/>
        </w:rPr>
        <w:t xml:space="preserve"> Monitoring</w:t>
      </w:r>
    </w:p>
    <w:p w14:paraId="078D68C1" w14:textId="1AB916CE" w:rsidR="00E72988" w:rsidRPr="00E72988" w:rsidRDefault="00E72988" w:rsidP="00E72988">
      <w:pPr>
        <w:spacing w:after="0" w:line="360" w:lineRule="auto"/>
        <w:ind w:firstLine="720"/>
        <w:jc w:val="both"/>
        <w:rPr>
          <w:rFonts w:ascii="Times New Roman" w:eastAsia="Times New Roman" w:hAnsi="Times New Roman" w:cs="Times New Roman"/>
          <w:sz w:val="24"/>
          <w:szCs w:val="24"/>
        </w:rPr>
      </w:pPr>
      <w:r w:rsidRPr="00E72988">
        <w:rPr>
          <w:rFonts w:ascii="Times New Roman" w:eastAsia="Times New Roman" w:hAnsi="Times New Roman" w:cs="Times New Roman"/>
          <w:sz w:val="24"/>
          <w:szCs w:val="20"/>
        </w:rPr>
        <w:t xml:space="preserve">In addition to investigating individual potential violations, </w:t>
      </w:r>
      <w:r w:rsidRPr="00E72988">
        <w:rPr>
          <w:rFonts w:ascii="Times New Roman" w:eastAsia="Times New Roman" w:hAnsi="Times New Roman" w:cs="Times New Roman"/>
          <w:sz w:val="24"/>
          <w:szCs w:val="24"/>
        </w:rPr>
        <w:t xml:space="preserve">the ERM performed routine monitoring activities of Market Participant and ERCOT compliance with Reliability Requirements. Specifically, </w:t>
      </w:r>
      <w:r w:rsidRPr="00E72988">
        <w:rPr>
          <w:rFonts w:ascii="Times New Roman" w:eastAsia="Times New Roman" w:hAnsi="Times New Roman" w:cs="Times New Roman"/>
          <w:sz w:val="24"/>
          <w:szCs w:val="20"/>
        </w:rPr>
        <w:t>ER</w:t>
      </w:r>
      <w:r w:rsidR="00D7405F">
        <w:rPr>
          <w:rFonts w:ascii="Times New Roman" w:eastAsia="Times New Roman" w:hAnsi="Times New Roman" w:cs="Times New Roman"/>
          <w:sz w:val="24"/>
          <w:szCs w:val="20"/>
        </w:rPr>
        <w:t xml:space="preserve">M </w:t>
      </w:r>
      <w:r w:rsidRPr="00E72988">
        <w:rPr>
          <w:rFonts w:ascii="Times New Roman" w:eastAsia="Times New Roman" w:hAnsi="Times New Roman" w:cs="Times New Roman"/>
          <w:sz w:val="24"/>
          <w:szCs w:val="24"/>
        </w:rPr>
        <w:t xml:space="preserve">analysts monitor compliance with the following </w:t>
      </w:r>
      <w:r w:rsidR="00B6061E">
        <w:rPr>
          <w:rFonts w:ascii="Times New Roman" w:eastAsia="Times New Roman" w:hAnsi="Times New Roman" w:cs="Times New Roman"/>
          <w:sz w:val="24"/>
          <w:szCs w:val="24"/>
        </w:rPr>
        <w:t>Reliability Requirements</w:t>
      </w:r>
      <w:r w:rsidR="00870B9B" w:rsidRPr="00E72988">
        <w:rPr>
          <w:rFonts w:ascii="Times New Roman" w:eastAsia="Times New Roman" w:hAnsi="Times New Roman" w:cs="Times New Roman"/>
          <w:sz w:val="24"/>
          <w:szCs w:val="24"/>
          <w:vertAlign w:val="superscript"/>
        </w:rPr>
        <w:footnoteReference w:id="3"/>
      </w:r>
      <w:r w:rsidRPr="00E72988">
        <w:rPr>
          <w:rFonts w:ascii="Times New Roman" w:eastAsia="Times New Roman" w:hAnsi="Times New Roman" w:cs="Times New Roman"/>
          <w:sz w:val="24"/>
          <w:szCs w:val="24"/>
        </w:rPr>
        <w:t xml:space="preserve"> each month: </w:t>
      </w:r>
    </w:p>
    <w:p w14:paraId="56F871EE" w14:textId="194B9BD4" w:rsidR="00E72988" w:rsidRPr="00E72988" w:rsidRDefault="00E72988" w:rsidP="005063E8">
      <w:pPr>
        <w:numPr>
          <w:ilvl w:val="0"/>
          <w:numId w:val="12"/>
        </w:numPr>
        <w:spacing w:after="0" w:line="360" w:lineRule="auto"/>
        <w:ind w:left="1080"/>
        <w:jc w:val="both"/>
        <w:rPr>
          <w:rFonts w:ascii="Times New Roman" w:eastAsia="Times New Roman" w:hAnsi="Times New Roman" w:cs="Times New Roman"/>
          <w:b/>
          <w:bCs/>
          <w:smallCaps/>
          <w:sz w:val="24"/>
          <w:szCs w:val="24"/>
          <w:u w:val="single"/>
        </w:rPr>
      </w:pPr>
      <w:r w:rsidRPr="00E72988">
        <w:rPr>
          <w:rFonts w:ascii="Times New Roman" w:eastAsia="Times New Roman" w:hAnsi="Times New Roman" w:cs="Times New Roman"/>
          <w:color w:val="000000"/>
          <w:sz w:val="24"/>
          <w:szCs w:val="24"/>
        </w:rPr>
        <w:t>Resource Ancillary Service Qualification Compliance – § 8.1.1.1(1)</w:t>
      </w:r>
    </w:p>
    <w:p w14:paraId="14378BAF" w14:textId="77777777" w:rsidR="00E72988" w:rsidRPr="00E72988" w:rsidRDefault="00E72988" w:rsidP="005063E8">
      <w:pPr>
        <w:numPr>
          <w:ilvl w:val="0"/>
          <w:numId w:val="12"/>
        </w:numPr>
        <w:spacing w:after="0" w:line="360" w:lineRule="auto"/>
        <w:ind w:left="1080"/>
        <w:jc w:val="both"/>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Quick Start Resource Performance – § 8.1.1.2(17)(a)</w:t>
      </w:r>
    </w:p>
    <w:p w14:paraId="31F67258" w14:textId="77777777" w:rsidR="00E72988" w:rsidRPr="00E72988" w:rsidRDefault="00E72988" w:rsidP="005063E8">
      <w:pPr>
        <w:numPr>
          <w:ilvl w:val="0"/>
          <w:numId w:val="12"/>
        </w:numPr>
        <w:spacing w:after="0" w:line="360" w:lineRule="auto"/>
        <w:ind w:left="1080"/>
        <w:jc w:val="both"/>
        <w:rPr>
          <w:rFonts w:ascii="Times New Roman" w:eastAsia="Times New Roman" w:hAnsi="Times New Roman" w:cs="Times New Roman"/>
          <w:b/>
          <w:bCs/>
          <w:smallCaps/>
          <w:sz w:val="24"/>
          <w:szCs w:val="24"/>
          <w:u w:val="single"/>
        </w:rPr>
      </w:pPr>
      <w:r w:rsidRPr="00E72988">
        <w:rPr>
          <w:rFonts w:ascii="Times New Roman" w:eastAsia="Times New Roman" w:hAnsi="Times New Roman" w:cs="Times New Roman"/>
          <w:color w:val="000000"/>
          <w:sz w:val="24"/>
          <w:szCs w:val="24"/>
        </w:rPr>
        <w:t>QSE Ancillary Service Capacity Compliance – § 8.1.1.3(3)</w:t>
      </w:r>
    </w:p>
    <w:p w14:paraId="568D7588" w14:textId="77777777" w:rsidR="00E72988" w:rsidRPr="00E72988" w:rsidRDefault="00E72988" w:rsidP="005063E8">
      <w:pPr>
        <w:numPr>
          <w:ilvl w:val="0"/>
          <w:numId w:val="12"/>
        </w:numPr>
        <w:spacing w:after="0" w:line="360" w:lineRule="auto"/>
        <w:ind w:left="1080"/>
        <w:jc w:val="both"/>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Generation Resource Energy Deployment Performance (GREDP) for Non-Intermittent Renewable Resources – § 8.1.1.4.1(7)</w:t>
      </w:r>
    </w:p>
    <w:p w14:paraId="0BE2BAE6" w14:textId="5B0FBAA5" w:rsidR="00E72988" w:rsidRPr="00E72988" w:rsidRDefault="00E72988" w:rsidP="005063E8">
      <w:pPr>
        <w:numPr>
          <w:ilvl w:val="0"/>
          <w:numId w:val="12"/>
        </w:numPr>
        <w:spacing w:after="0" w:line="360" w:lineRule="auto"/>
        <w:ind w:left="1080"/>
        <w:jc w:val="both"/>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GREDP for IRRs – § 8.1.1.4.1(8)</w:t>
      </w:r>
    </w:p>
    <w:p w14:paraId="1428D0E4" w14:textId="2A004344" w:rsidR="00E72988" w:rsidRPr="00E72988" w:rsidRDefault="00E72988" w:rsidP="005063E8">
      <w:pPr>
        <w:numPr>
          <w:ilvl w:val="0"/>
          <w:numId w:val="12"/>
        </w:numPr>
        <w:spacing w:before="100" w:beforeAutospacing="1" w:after="100" w:afterAutospacing="1" w:line="360" w:lineRule="auto"/>
        <w:ind w:left="108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Controllable Load Resource (CLR) Energy Deployment Performance – § 8.1.1.4.1(9)</w:t>
      </w:r>
    </w:p>
    <w:p w14:paraId="7CE26B4E" w14:textId="744C441C" w:rsidR="00E72988" w:rsidRPr="00E72988" w:rsidRDefault="00E72988" w:rsidP="005063E8">
      <w:pPr>
        <w:numPr>
          <w:ilvl w:val="0"/>
          <w:numId w:val="12"/>
        </w:numPr>
        <w:spacing w:before="100" w:beforeAutospacing="1" w:after="100" w:afterAutospacing="1" w:line="360" w:lineRule="auto"/>
        <w:ind w:left="108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lastRenderedPageBreak/>
        <w:t>Energy Storage Resource Energy Deployment Performance – § 8.1.1.4.1(9)</w:t>
      </w:r>
    </w:p>
    <w:p w14:paraId="153B7D2F" w14:textId="77777777" w:rsidR="00E72988" w:rsidRPr="00E72988" w:rsidRDefault="00E72988" w:rsidP="005063E8">
      <w:pPr>
        <w:numPr>
          <w:ilvl w:val="0"/>
          <w:numId w:val="12"/>
        </w:numPr>
        <w:spacing w:before="100" w:beforeAutospacing="1" w:after="100" w:afterAutospacing="1" w:line="360" w:lineRule="auto"/>
        <w:ind w:left="108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Responsive Reserve Service (RRS) Deployment Performance – § 8.1.1.4.2</w:t>
      </w:r>
    </w:p>
    <w:p w14:paraId="263E32A4" w14:textId="3E863126"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 xml:space="preserve">RRS from Generation Resources and </w:t>
      </w:r>
      <w:r w:rsidR="00FB02B1">
        <w:rPr>
          <w:rFonts w:ascii="Times New Roman" w:eastAsia="Times New Roman" w:hAnsi="Times New Roman" w:cs="Times New Roman"/>
          <w:color w:val="000000"/>
          <w:sz w:val="24"/>
          <w:szCs w:val="24"/>
        </w:rPr>
        <w:t>Controllable Load Resources (</w:t>
      </w:r>
      <w:r w:rsidRPr="00E72988">
        <w:rPr>
          <w:rFonts w:ascii="Times New Roman" w:eastAsia="Times New Roman" w:hAnsi="Times New Roman" w:cs="Times New Roman"/>
          <w:color w:val="000000"/>
          <w:sz w:val="24"/>
          <w:szCs w:val="24"/>
        </w:rPr>
        <w:t>CLRs</w:t>
      </w:r>
      <w:r w:rsidR="00FB02B1">
        <w:rPr>
          <w:rFonts w:ascii="Times New Roman" w:eastAsia="Times New Roman" w:hAnsi="Times New Roman" w:cs="Times New Roman"/>
          <w:color w:val="000000"/>
          <w:sz w:val="24"/>
          <w:szCs w:val="24"/>
        </w:rPr>
        <w:t>)</w:t>
      </w:r>
      <w:r w:rsidRPr="00E72988">
        <w:rPr>
          <w:rFonts w:ascii="Times New Roman" w:eastAsia="Times New Roman" w:hAnsi="Times New Roman" w:cs="Times New Roman"/>
          <w:color w:val="000000"/>
          <w:sz w:val="24"/>
          <w:szCs w:val="24"/>
        </w:rPr>
        <w:t xml:space="preserve"> – §</w:t>
      </w:r>
      <w:r w:rsidR="008D2BA2">
        <w:rPr>
          <w:rFonts w:ascii="Times New Roman" w:eastAsia="Times New Roman" w:hAnsi="Times New Roman" w:cs="Times New Roman"/>
          <w:color w:val="000000"/>
          <w:sz w:val="24"/>
          <w:szCs w:val="24"/>
        </w:rPr>
        <w:t> </w:t>
      </w:r>
      <w:r w:rsidRPr="00E72988">
        <w:rPr>
          <w:rFonts w:ascii="Times New Roman" w:eastAsia="Times New Roman" w:hAnsi="Times New Roman" w:cs="Times New Roman"/>
          <w:color w:val="000000"/>
          <w:sz w:val="24"/>
          <w:szCs w:val="24"/>
        </w:rPr>
        <w:t>8.1.1.4.2(1)(a)</w:t>
      </w:r>
    </w:p>
    <w:p w14:paraId="3B298AC1" w14:textId="6B8052EE"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Resources with Insufficient Frequency Responsive Capacity – §</w:t>
      </w:r>
      <w:r w:rsidR="008D2BA2">
        <w:rPr>
          <w:rFonts w:ascii="Times New Roman" w:eastAsia="Times New Roman" w:hAnsi="Times New Roman" w:cs="Times New Roman"/>
          <w:color w:val="000000"/>
          <w:sz w:val="24"/>
          <w:szCs w:val="24"/>
        </w:rPr>
        <w:t> </w:t>
      </w:r>
      <w:r w:rsidRPr="00E72988">
        <w:rPr>
          <w:rFonts w:ascii="Times New Roman" w:eastAsia="Times New Roman" w:hAnsi="Times New Roman" w:cs="Times New Roman"/>
          <w:color w:val="000000"/>
          <w:sz w:val="24"/>
          <w:szCs w:val="24"/>
        </w:rPr>
        <w:t>8.1.1.4.2(1)(b)</w:t>
      </w:r>
    </w:p>
    <w:p w14:paraId="43BCEB66" w14:textId="2AEA5DDE" w:rsidR="00E72988" w:rsidRPr="00E72988" w:rsidRDefault="00E72988" w:rsidP="005063E8">
      <w:pPr>
        <w:numPr>
          <w:ilvl w:val="0"/>
          <w:numId w:val="12"/>
        </w:numPr>
        <w:spacing w:before="100" w:beforeAutospacing="1" w:after="100" w:afterAutospacing="1" w:line="360" w:lineRule="auto"/>
        <w:ind w:left="108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RRS from Non-C</w:t>
      </w:r>
      <w:r w:rsidR="001E7D2D">
        <w:rPr>
          <w:rFonts w:ascii="Times New Roman" w:eastAsia="Times New Roman" w:hAnsi="Times New Roman" w:cs="Times New Roman"/>
          <w:color w:val="000000"/>
          <w:sz w:val="24"/>
          <w:szCs w:val="24"/>
        </w:rPr>
        <w:t>LRs</w:t>
      </w:r>
      <w:r w:rsidRPr="00E72988">
        <w:rPr>
          <w:rFonts w:ascii="Times New Roman" w:eastAsia="Times New Roman" w:hAnsi="Times New Roman" w:cs="Times New Roman"/>
          <w:color w:val="000000"/>
          <w:sz w:val="24"/>
          <w:szCs w:val="24"/>
        </w:rPr>
        <w:t xml:space="preserve"> (NCLRs) – § 8.1.1.4.2(1)(a), (4), (6)</w:t>
      </w:r>
    </w:p>
    <w:p w14:paraId="419F875D"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Non-Spin Reserve Service (NSRS) Deployment Performance – § 8.1.1.4.3</w:t>
      </w:r>
    </w:p>
    <w:p w14:paraId="2018D66D"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NSRS from Generation Resources – § 8.1.1.4.3(3)(a) &amp; (b)</w:t>
      </w:r>
    </w:p>
    <w:p w14:paraId="73E6CCB1"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NSRS from CLRs – § 8.1.1.4.3(3)(a), (d)</w:t>
      </w:r>
    </w:p>
    <w:p w14:paraId="78478BDF"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NSRS from NCLRs – § 8.1.1.4.3(3)(e), (4)</w:t>
      </w:r>
    </w:p>
    <w:p w14:paraId="6BCDE7AA" w14:textId="025B4922" w:rsidR="00E72988" w:rsidRPr="00E72988" w:rsidRDefault="00E72988" w:rsidP="005063E8">
      <w:pPr>
        <w:numPr>
          <w:ilvl w:val="0"/>
          <w:numId w:val="12"/>
        </w:numPr>
        <w:spacing w:before="100" w:beforeAutospacing="1" w:after="100" w:afterAutospacing="1" w:line="360" w:lineRule="auto"/>
        <w:ind w:left="108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ERCOT Contingency Reserve Service (ECRS) Deployment Performance – §</w:t>
      </w:r>
      <w:r w:rsidR="008D2BA2">
        <w:rPr>
          <w:rFonts w:ascii="Times New Roman" w:eastAsia="Times New Roman" w:hAnsi="Times New Roman" w:cs="Times New Roman"/>
          <w:color w:val="000000"/>
          <w:sz w:val="24"/>
          <w:szCs w:val="24"/>
        </w:rPr>
        <w:t> </w:t>
      </w:r>
      <w:r w:rsidRPr="00E72988">
        <w:rPr>
          <w:rFonts w:ascii="Times New Roman" w:eastAsia="Times New Roman" w:hAnsi="Times New Roman" w:cs="Times New Roman"/>
          <w:color w:val="000000"/>
          <w:sz w:val="24"/>
          <w:szCs w:val="24"/>
        </w:rPr>
        <w:t>8.1.1.4.4</w:t>
      </w:r>
    </w:p>
    <w:p w14:paraId="553D5620"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ECRS from Generation Resources and CLRs – § 8.1.1.4.4(1)(a)</w:t>
      </w:r>
    </w:p>
    <w:p w14:paraId="2D1DDCB9"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ECRS from NCLRs – § 8.1.1.4.4(1)(a), (4), (6)</w:t>
      </w:r>
    </w:p>
    <w:p w14:paraId="6DA9698A" w14:textId="0A5A941F" w:rsidR="00E72988" w:rsidRPr="00E72988" w:rsidRDefault="001E7D2D" w:rsidP="005063E8">
      <w:pPr>
        <w:numPr>
          <w:ilvl w:val="0"/>
          <w:numId w:val="12"/>
        </w:numPr>
        <w:spacing w:before="100" w:beforeAutospacing="1" w:after="100" w:afterAutospacing="1" w:line="36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Emergency Response Service (</w:t>
      </w:r>
      <w:r w:rsidR="00E72988" w:rsidRPr="00E72988">
        <w:rPr>
          <w:rFonts w:ascii="Times New Roman" w:eastAsia="Times New Roman" w:hAnsi="Times New Roman" w:cs="Times New Roman"/>
          <w:color w:val="000000"/>
          <w:sz w:val="24"/>
          <w:szCs w:val="24"/>
        </w:rPr>
        <w:t>ERS</w:t>
      </w:r>
      <w:r>
        <w:rPr>
          <w:rFonts w:ascii="Times New Roman" w:eastAsia="Times New Roman" w:hAnsi="Times New Roman" w:cs="Times New Roman"/>
          <w:color w:val="000000"/>
          <w:sz w:val="24"/>
          <w:szCs w:val="24"/>
        </w:rPr>
        <w:t>)</w:t>
      </w:r>
      <w:r w:rsidR="00E72988" w:rsidRPr="00E72988">
        <w:rPr>
          <w:rFonts w:ascii="Times New Roman" w:eastAsia="Times New Roman" w:hAnsi="Times New Roman" w:cs="Times New Roman"/>
          <w:color w:val="000000"/>
          <w:sz w:val="24"/>
          <w:szCs w:val="24"/>
        </w:rPr>
        <w:t xml:space="preserve"> Performance – § 8.1.3</w:t>
      </w:r>
    </w:p>
    <w:p w14:paraId="1742C627" w14:textId="77777777" w:rsidR="00E72988" w:rsidRPr="00E72988" w:rsidRDefault="00E72988" w:rsidP="005063E8">
      <w:pPr>
        <w:numPr>
          <w:ilvl w:val="1"/>
          <w:numId w:val="12"/>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Testing – § 8.1.3.2(1)(a)(ii)</w:t>
      </w:r>
    </w:p>
    <w:p w14:paraId="77B872BF" w14:textId="77777777" w:rsidR="00E72988" w:rsidRPr="00E72988" w:rsidRDefault="00E72988" w:rsidP="005063E8">
      <w:pPr>
        <w:numPr>
          <w:ilvl w:val="1"/>
          <w:numId w:val="12"/>
        </w:numPr>
        <w:spacing w:before="100" w:beforeAutospacing="1" w:after="100" w:afterAutospacing="1" w:line="360" w:lineRule="auto"/>
        <w:ind w:left="1800"/>
        <w:contextualSpacing/>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Availability – § 8.1.3.3.3(1)(a)</w:t>
      </w:r>
    </w:p>
    <w:p w14:paraId="7A170C82" w14:textId="77777777" w:rsidR="00E72988" w:rsidRPr="00E72988" w:rsidRDefault="00E72988" w:rsidP="005063E8">
      <w:pPr>
        <w:numPr>
          <w:ilvl w:val="0"/>
          <w:numId w:val="11"/>
        </w:numPr>
        <w:spacing w:before="100" w:beforeAutospacing="1" w:after="100" w:afterAutospacing="1" w:line="360" w:lineRule="auto"/>
        <w:ind w:left="1800"/>
        <w:contextualSpacing/>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Event Performance – § 8.1.3.3.4</w:t>
      </w:r>
    </w:p>
    <w:p w14:paraId="6147D2A2" w14:textId="77777777" w:rsidR="00E72988" w:rsidRPr="00E72988" w:rsidRDefault="00E72988" w:rsidP="005063E8">
      <w:pPr>
        <w:numPr>
          <w:ilvl w:val="0"/>
          <w:numId w:val="13"/>
        </w:numPr>
        <w:spacing w:after="0" w:line="360" w:lineRule="auto"/>
        <w:ind w:left="1440"/>
        <w:contextualSpacing/>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PFR Performance – § 8.5.1.1(1), 8.5.2.1(1)</w:t>
      </w:r>
    </w:p>
    <w:p w14:paraId="1B6870FD" w14:textId="0E902F54" w:rsidR="00E72988" w:rsidRPr="00E72988" w:rsidRDefault="00E72988" w:rsidP="001E7D2D">
      <w:pPr>
        <w:numPr>
          <w:ilvl w:val="3"/>
          <w:numId w:val="13"/>
        </w:numPr>
        <w:spacing w:before="100" w:beforeAutospacing="1" w:after="100" w:afterAutospacing="1" w:line="360" w:lineRule="auto"/>
        <w:ind w:left="1800"/>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 xml:space="preserve">12-Month Rolling Average – </w:t>
      </w:r>
      <w:r w:rsidR="001E7D2D">
        <w:rPr>
          <w:rFonts w:ascii="Times New Roman" w:eastAsia="Times New Roman" w:hAnsi="Times New Roman" w:cs="Times New Roman"/>
          <w:color w:val="000000"/>
          <w:sz w:val="24"/>
          <w:szCs w:val="24"/>
        </w:rPr>
        <w:t>N</w:t>
      </w:r>
      <w:r w:rsidRPr="00E72988">
        <w:rPr>
          <w:rFonts w:ascii="Times New Roman" w:eastAsia="Times New Roman" w:hAnsi="Times New Roman" w:cs="Times New Roman"/>
          <w:color w:val="000000"/>
          <w:sz w:val="24"/>
          <w:szCs w:val="24"/>
        </w:rPr>
        <w:t>OG § 2.2.8</w:t>
      </w:r>
      <w:r w:rsidR="00224FC2">
        <w:rPr>
          <w:rFonts w:ascii="Times New Roman" w:eastAsia="Times New Roman" w:hAnsi="Times New Roman" w:cs="Times New Roman"/>
          <w:color w:val="000000"/>
          <w:sz w:val="24"/>
          <w:szCs w:val="24"/>
        </w:rPr>
        <w:t>(</w:t>
      </w:r>
      <w:r w:rsidRPr="00E72988">
        <w:rPr>
          <w:rFonts w:ascii="Times New Roman" w:eastAsia="Times New Roman" w:hAnsi="Times New Roman" w:cs="Times New Roman"/>
          <w:color w:val="000000"/>
          <w:sz w:val="24"/>
          <w:szCs w:val="24"/>
        </w:rPr>
        <w:t>1</w:t>
      </w:r>
      <w:r w:rsidR="00224FC2">
        <w:rPr>
          <w:rFonts w:ascii="Times New Roman" w:eastAsia="Times New Roman" w:hAnsi="Times New Roman" w:cs="Times New Roman"/>
          <w:color w:val="000000"/>
          <w:sz w:val="24"/>
          <w:szCs w:val="24"/>
        </w:rPr>
        <w:t>)</w:t>
      </w:r>
    </w:p>
    <w:p w14:paraId="10C34F1D" w14:textId="624D07F1" w:rsidR="00E72988" w:rsidRPr="00E72988" w:rsidRDefault="001E7D2D" w:rsidP="005063E8">
      <w:pPr>
        <w:numPr>
          <w:ilvl w:val="0"/>
          <w:numId w:val="13"/>
        </w:numPr>
        <w:spacing w:after="0"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Operating Plan</w:t>
      </w:r>
      <w:r w:rsidR="00E72988" w:rsidRPr="00E72988">
        <w:rPr>
          <w:rFonts w:ascii="Times New Roman" w:eastAsia="Times New Roman" w:hAnsi="Times New Roman" w:cs="Times New Roman"/>
          <w:color w:val="000000"/>
          <w:sz w:val="24"/>
          <w:szCs w:val="24"/>
        </w:rPr>
        <w:t>s – § 3.9.1</w:t>
      </w:r>
      <w:r w:rsidR="00947968">
        <w:rPr>
          <w:rFonts w:ascii="Times New Roman" w:eastAsia="Times New Roman" w:hAnsi="Times New Roman" w:cs="Times New Roman"/>
          <w:color w:val="000000"/>
          <w:sz w:val="24"/>
          <w:szCs w:val="24"/>
        </w:rPr>
        <w:t xml:space="preserve">, </w:t>
      </w:r>
      <w:r w:rsidR="006C1B29" w:rsidRPr="006C1B29">
        <w:rPr>
          <w:rFonts w:ascii="Times New Roman" w:eastAsia="Times New Roman" w:hAnsi="Times New Roman" w:cs="Times New Roman"/>
          <w:color w:val="000000"/>
          <w:sz w:val="24"/>
          <w:szCs w:val="24"/>
        </w:rPr>
        <w:t>8.1.2</w:t>
      </w:r>
    </w:p>
    <w:p w14:paraId="2FBEBDAA" w14:textId="74A5ABF7" w:rsidR="00E72988" w:rsidRPr="00E72988" w:rsidRDefault="00E72988" w:rsidP="008D2BA2">
      <w:pPr>
        <w:keepLines/>
        <w:numPr>
          <w:ilvl w:val="0"/>
          <w:numId w:val="13"/>
        </w:numPr>
        <w:spacing w:line="360" w:lineRule="auto"/>
        <w:ind w:left="1440"/>
        <w:jc w:val="both"/>
        <w:rPr>
          <w:rFonts w:ascii="Times New Roman" w:eastAsia="Times New Roman" w:hAnsi="Times New Roman" w:cs="Times New Roman"/>
          <w:color w:val="000000"/>
          <w:sz w:val="24"/>
          <w:szCs w:val="24"/>
        </w:rPr>
      </w:pPr>
      <w:r w:rsidRPr="00E72988">
        <w:rPr>
          <w:rFonts w:ascii="Times New Roman" w:eastAsia="Times New Roman" w:hAnsi="Times New Roman" w:cs="Times New Roman"/>
          <w:color w:val="000000"/>
          <w:sz w:val="24"/>
          <w:szCs w:val="24"/>
        </w:rPr>
        <w:t>Distribution Service Provider Transmission Operator Representation – § 16.19(1)</w:t>
      </w:r>
    </w:p>
    <w:p w14:paraId="437EEA17" w14:textId="0EE11A88" w:rsidR="00E72988" w:rsidRPr="00E72988" w:rsidRDefault="00E72988" w:rsidP="00E72988">
      <w:pPr>
        <w:spacing w:after="0" w:line="360" w:lineRule="auto"/>
        <w:jc w:val="both"/>
        <w:rPr>
          <w:rFonts w:ascii="Times New Roman" w:eastAsia="Times New Roman" w:hAnsi="Times New Roman" w:cs="Times New Roman"/>
          <w:color w:val="000000"/>
          <w:sz w:val="24"/>
          <w:szCs w:val="24"/>
        </w:rPr>
      </w:pPr>
      <w:r w:rsidRPr="00E72988">
        <w:rPr>
          <w:rFonts w:ascii="Times New Roman" w:eastAsia="Times New Roman" w:hAnsi="Times New Roman" w:cs="Times New Roman"/>
          <w:sz w:val="24"/>
          <w:szCs w:val="24"/>
        </w:rPr>
        <w:tab/>
        <w:t xml:space="preserve">For each </w:t>
      </w:r>
      <w:r w:rsidRPr="00E72988">
        <w:rPr>
          <w:rFonts w:ascii="Times New Roman" w:eastAsia="Times New Roman" w:hAnsi="Times New Roman" w:cs="Times New Roman"/>
          <w:color w:val="000000"/>
          <w:sz w:val="24"/>
          <w:szCs w:val="24"/>
        </w:rPr>
        <w:t>category</w:t>
      </w:r>
      <w:r w:rsidRPr="00E72988">
        <w:rPr>
          <w:rFonts w:ascii="Times New Roman" w:eastAsia="Times New Roman" w:hAnsi="Times New Roman" w:cs="Times New Roman"/>
          <w:sz w:val="24"/>
          <w:szCs w:val="24"/>
        </w:rPr>
        <w:t xml:space="preserve">, </w:t>
      </w:r>
      <w:r w:rsidR="00670D01">
        <w:rPr>
          <w:rFonts w:ascii="Times New Roman" w:eastAsia="Times New Roman" w:hAnsi="Times New Roman" w:cs="Times New Roman"/>
          <w:sz w:val="24"/>
          <w:szCs w:val="24"/>
        </w:rPr>
        <w:t>ERM</w:t>
      </w:r>
      <w:r w:rsidR="00670D01" w:rsidRPr="00E72988">
        <w:rPr>
          <w:rFonts w:ascii="Times New Roman" w:eastAsia="Times New Roman" w:hAnsi="Times New Roman" w:cs="Times New Roman"/>
          <w:sz w:val="24"/>
          <w:szCs w:val="24"/>
        </w:rPr>
        <w:t xml:space="preserve"> </w:t>
      </w:r>
      <w:r w:rsidRPr="00E72988">
        <w:rPr>
          <w:rFonts w:ascii="Times New Roman" w:eastAsia="Times New Roman" w:hAnsi="Times New Roman" w:cs="Times New Roman"/>
          <w:sz w:val="24"/>
          <w:szCs w:val="24"/>
        </w:rPr>
        <w:t xml:space="preserve">analysts download data from the </w:t>
      </w:r>
      <w:r w:rsidR="00FA3B21">
        <w:rPr>
          <w:rFonts w:ascii="Times New Roman" w:eastAsia="Times New Roman" w:hAnsi="Times New Roman" w:cs="Times New Roman"/>
          <w:sz w:val="24"/>
          <w:szCs w:val="24"/>
        </w:rPr>
        <w:t xml:space="preserve">ERCOT </w:t>
      </w:r>
      <w:r w:rsidRPr="00E72988">
        <w:rPr>
          <w:rFonts w:ascii="Times New Roman" w:eastAsia="Times New Roman" w:hAnsi="Times New Roman" w:cs="Times New Roman"/>
          <w:sz w:val="24"/>
          <w:szCs w:val="24"/>
        </w:rPr>
        <w:t xml:space="preserve">Market Information System </w:t>
      </w:r>
      <w:r w:rsidR="001E7D2D">
        <w:rPr>
          <w:rFonts w:ascii="Times New Roman" w:eastAsia="Times New Roman" w:hAnsi="Times New Roman" w:cs="Times New Roman"/>
          <w:sz w:val="24"/>
          <w:szCs w:val="24"/>
        </w:rPr>
        <w:t xml:space="preserve">or other sources </w:t>
      </w:r>
      <w:r w:rsidRPr="00E72988">
        <w:rPr>
          <w:rFonts w:ascii="Times New Roman" w:eastAsia="Times New Roman" w:hAnsi="Times New Roman" w:cs="Times New Roman"/>
          <w:sz w:val="24"/>
          <w:szCs w:val="24"/>
        </w:rPr>
        <w:t xml:space="preserve">to validate failures before </w:t>
      </w:r>
      <w:r w:rsidRPr="00E72988">
        <w:rPr>
          <w:rFonts w:ascii="Times New Roman" w:eastAsia="Times New Roman" w:hAnsi="Times New Roman" w:cs="Times New Roman"/>
          <w:color w:val="000000"/>
          <w:sz w:val="24"/>
          <w:szCs w:val="24"/>
        </w:rPr>
        <w:t>analyzing performance and comparing</w:t>
      </w:r>
      <w:r w:rsidRPr="00E72988">
        <w:rPr>
          <w:rFonts w:ascii="Times New Roman" w:eastAsia="Times New Roman" w:hAnsi="Times New Roman" w:cs="Times New Roman"/>
          <w:sz w:val="24"/>
          <w:szCs w:val="24"/>
        </w:rPr>
        <w:t xml:space="preserve"> </w:t>
      </w:r>
      <w:r w:rsidRPr="00E72988">
        <w:rPr>
          <w:rFonts w:ascii="Times New Roman" w:eastAsia="Times New Roman" w:hAnsi="Times New Roman" w:cs="Times New Roman"/>
          <w:color w:val="000000"/>
          <w:sz w:val="24"/>
          <w:szCs w:val="24"/>
        </w:rPr>
        <w:t xml:space="preserve">performance </w:t>
      </w:r>
      <w:r w:rsidRPr="00E72988">
        <w:rPr>
          <w:rFonts w:ascii="Times New Roman" w:eastAsia="Times New Roman" w:hAnsi="Times New Roman" w:cs="Times New Roman"/>
          <w:sz w:val="24"/>
          <w:szCs w:val="24"/>
        </w:rPr>
        <w:t xml:space="preserve">data to </w:t>
      </w:r>
      <w:r w:rsidRPr="00E72988">
        <w:rPr>
          <w:rFonts w:ascii="Times New Roman" w:eastAsia="Times New Roman" w:hAnsi="Times New Roman" w:cs="Times New Roman"/>
          <w:color w:val="000000"/>
          <w:sz w:val="24"/>
          <w:szCs w:val="24"/>
        </w:rPr>
        <w:t xml:space="preserve">performance </w:t>
      </w:r>
      <w:r w:rsidRPr="00E72988">
        <w:rPr>
          <w:rFonts w:ascii="Times New Roman" w:eastAsia="Times New Roman" w:hAnsi="Times New Roman" w:cs="Times New Roman"/>
          <w:sz w:val="24"/>
          <w:szCs w:val="24"/>
        </w:rPr>
        <w:t xml:space="preserve">metrics to determine incidents to </w:t>
      </w:r>
      <w:r w:rsidRPr="00E72988">
        <w:rPr>
          <w:rFonts w:ascii="Times New Roman" w:eastAsia="Times New Roman" w:hAnsi="Times New Roman" w:cs="Times New Roman"/>
          <w:color w:val="000000"/>
          <w:sz w:val="24"/>
          <w:szCs w:val="24"/>
        </w:rPr>
        <w:t xml:space="preserve">include in a quarterly </w:t>
      </w:r>
      <w:r w:rsidRPr="00E72988">
        <w:rPr>
          <w:rFonts w:ascii="Times New Roman" w:eastAsia="Times New Roman" w:hAnsi="Times New Roman" w:cs="Times New Roman"/>
          <w:sz w:val="24"/>
          <w:szCs w:val="24"/>
        </w:rPr>
        <w:t>report to DICE.</w:t>
      </w:r>
      <w:r w:rsidRPr="00E72988">
        <w:rPr>
          <w:rFonts w:ascii="Times New Roman" w:eastAsia="Times New Roman" w:hAnsi="Times New Roman" w:cs="Times New Roman"/>
          <w:color w:val="000000"/>
          <w:sz w:val="24"/>
          <w:szCs w:val="24"/>
        </w:rPr>
        <w:t xml:space="preserve"> The ERM initiate</w:t>
      </w:r>
      <w:r w:rsidR="00ED331D">
        <w:rPr>
          <w:rFonts w:ascii="Times New Roman" w:eastAsia="Times New Roman" w:hAnsi="Times New Roman" w:cs="Times New Roman"/>
          <w:color w:val="000000"/>
          <w:sz w:val="24"/>
          <w:szCs w:val="24"/>
        </w:rPr>
        <w:t>s</w:t>
      </w:r>
      <w:r w:rsidRPr="00E72988">
        <w:rPr>
          <w:rFonts w:ascii="Times New Roman" w:eastAsia="Times New Roman" w:hAnsi="Times New Roman" w:cs="Times New Roman"/>
          <w:color w:val="000000"/>
          <w:sz w:val="24"/>
          <w:szCs w:val="24"/>
        </w:rPr>
        <w:t xml:space="preserve"> new Incident Reviews </w:t>
      </w:r>
      <w:r w:rsidR="00A8376E">
        <w:rPr>
          <w:rFonts w:ascii="Times New Roman" w:eastAsia="Times New Roman" w:hAnsi="Times New Roman" w:cs="Times New Roman"/>
          <w:color w:val="000000"/>
          <w:sz w:val="24"/>
          <w:szCs w:val="24"/>
        </w:rPr>
        <w:t xml:space="preserve">following </w:t>
      </w:r>
      <w:r w:rsidRPr="00E72988">
        <w:rPr>
          <w:rFonts w:ascii="Times New Roman" w:eastAsia="Times New Roman" w:hAnsi="Times New Roman" w:cs="Times New Roman"/>
          <w:color w:val="000000"/>
          <w:sz w:val="24"/>
          <w:szCs w:val="24"/>
        </w:rPr>
        <w:t>these analyses.</w:t>
      </w:r>
    </w:p>
    <w:p w14:paraId="1EF072D2" w14:textId="544D03B6" w:rsidR="00A11324" w:rsidRPr="00061A74" w:rsidRDefault="3B45DB4D" w:rsidP="00061A74">
      <w:pPr>
        <w:pStyle w:val="Heading2"/>
        <w:spacing w:after="240"/>
        <w:rPr>
          <w:rFonts w:ascii="Times New Roman" w:eastAsia="Times New Roman" w:hAnsi="Times New Roman" w:cs="Times New Roman"/>
          <w:b/>
          <w:bCs/>
          <w:smallCaps/>
          <w:color w:val="auto"/>
          <w:sz w:val="24"/>
          <w:szCs w:val="20"/>
          <w:u w:val="single"/>
        </w:rPr>
      </w:pPr>
      <w:r w:rsidRPr="00F4026A">
        <w:rPr>
          <w:rFonts w:ascii="Times New Roman" w:eastAsia="Times New Roman" w:hAnsi="Times New Roman" w:cs="Times New Roman"/>
          <w:b/>
          <w:bCs/>
          <w:smallCaps/>
          <w:color w:val="auto"/>
          <w:sz w:val="24"/>
          <w:szCs w:val="20"/>
        </w:rPr>
        <w:t>D.</w:t>
      </w:r>
      <w:r w:rsidRPr="00F4026A">
        <w:rPr>
          <w:rFonts w:ascii="Times New Roman" w:eastAsia="Times New Roman" w:hAnsi="Times New Roman" w:cs="Times New Roman"/>
          <w:b/>
          <w:bCs/>
          <w:smallCaps/>
          <w:color w:val="auto"/>
          <w:sz w:val="24"/>
          <w:szCs w:val="20"/>
        </w:rPr>
        <w:tab/>
      </w:r>
      <w:r w:rsidR="00A11324" w:rsidRPr="00061A74">
        <w:rPr>
          <w:rFonts w:ascii="Times New Roman" w:eastAsia="Times New Roman" w:hAnsi="Times New Roman" w:cs="Times New Roman"/>
          <w:b/>
          <w:bCs/>
          <w:smallCaps/>
          <w:color w:val="auto"/>
          <w:sz w:val="24"/>
          <w:szCs w:val="20"/>
          <w:u w:val="single"/>
        </w:rPr>
        <w:t>Overall State of ERCOT System Reliability</w:t>
      </w:r>
    </w:p>
    <w:p w14:paraId="68E6CB34" w14:textId="5CE04976" w:rsidR="00A11324" w:rsidRPr="00A11324" w:rsidRDefault="00B0294C" w:rsidP="002E3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A11324" w:rsidRPr="00A11324">
        <w:rPr>
          <w:rFonts w:ascii="Times New Roman" w:hAnsi="Times New Roman" w:cs="Times New Roman"/>
          <w:sz w:val="24"/>
          <w:szCs w:val="24"/>
        </w:rPr>
        <w:t xml:space="preserve">The overall state of ERCOT System reliability is good. </w:t>
      </w:r>
      <w:r w:rsidR="009E419A">
        <w:rPr>
          <w:rFonts w:ascii="Times New Roman" w:hAnsi="Times New Roman" w:cs="Times New Roman"/>
          <w:sz w:val="24"/>
          <w:szCs w:val="24"/>
        </w:rPr>
        <w:t>T</w:t>
      </w:r>
      <w:r w:rsidR="00A11324" w:rsidRPr="00A11324">
        <w:rPr>
          <w:rFonts w:ascii="Times New Roman" w:hAnsi="Times New Roman" w:cs="Times New Roman"/>
          <w:sz w:val="24"/>
          <w:szCs w:val="24"/>
        </w:rPr>
        <w:t>he ERM continues to identify the following areas of concern:</w:t>
      </w:r>
    </w:p>
    <w:p w14:paraId="3DB15A67" w14:textId="660D2CA4" w:rsidR="004014E8" w:rsidRDefault="004014E8" w:rsidP="00A11324">
      <w:pPr>
        <w:numPr>
          <w:ilvl w:val="0"/>
          <w:numId w:val="6"/>
        </w:numPr>
        <w:rPr>
          <w:rFonts w:ascii="Times New Roman" w:hAnsi="Times New Roman" w:cs="Times New Roman"/>
          <w:sz w:val="24"/>
          <w:szCs w:val="24"/>
        </w:rPr>
      </w:pPr>
      <w:r w:rsidRPr="004014E8">
        <w:rPr>
          <w:rFonts w:ascii="Times New Roman" w:hAnsi="Times New Roman" w:cs="Times New Roman"/>
          <w:sz w:val="24"/>
          <w:szCs w:val="24"/>
        </w:rPr>
        <w:t xml:space="preserve">Generic Transmission Constraints </w:t>
      </w:r>
      <w:r>
        <w:rPr>
          <w:rFonts w:ascii="Times New Roman" w:hAnsi="Times New Roman" w:cs="Times New Roman"/>
          <w:sz w:val="24"/>
          <w:szCs w:val="24"/>
        </w:rPr>
        <w:t xml:space="preserve">affecting </w:t>
      </w:r>
      <w:r w:rsidRPr="004014E8">
        <w:rPr>
          <w:rFonts w:ascii="Times New Roman" w:hAnsi="Times New Roman" w:cs="Times New Roman"/>
          <w:sz w:val="24"/>
          <w:szCs w:val="24"/>
        </w:rPr>
        <w:t>dispatch patterns</w:t>
      </w:r>
    </w:p>
    <w:p w14:paraId="790E8512" w14:textId="521D00B7" w:rsidR="00A11324" w:rsidRPr="00A11324" w:rsidRDefault="0094280E" w:rsidP="00A11324">
      <w:pPr>
        <w:numPr>
          <w:ilvl w:val="0"/>
          <w:numId w:val="6"/>
        </w:numPr>
        <w:rPr>
          <w:rFonts w:ascii="Times New Roman" w:hAnsi="Times New Roman" w:cs="Times New Roman"/>
          <w:sz w:val="24"/>
          <w:szCs w:val="24"/>
        </w:rPr>
      </w:pPr>
      <w:r>
        <w:rPr>
          <w:rFonts w:ascii="Times New Roman" w:hAnsi="Times New Roman" w:cs="Times New Roman"/>
          <w:sz w:val="24"/>
          <w:szCs w:val="24"/>
        </w:rPr>
        <w:t>Energy Storage Resource (</w:t>
      </w:r>
      <w:r w:rsidR="00A11324" w:rsidRPr="00A11324">
        <w:rPr>
          <w:rFonts w:ascii="Times New Roman" w:hAnsi="Times New Roman" w:cs="Times New Roman"/>
          <w:sz w:val="24"/>
          <w:szCs w:val="24"/>
        </w:rPr>
        <w:t>ESR</w:t>
      </w:r>
      <w:r>
        <w:rPr>
          <w:rFonts w:ascii="Times New Roman" w:hAnsi="Times New Roman" w:cs="Times New Roman"/>
          <w:sz w:val="24"/>
          <w:szCs w:val="24"/>
        </w:rPr>
        <w:t>)</w:t>
      </w:r>
      <w:r w:rsidR="00A11324" w:rsidRPr="00A11324">
        <w:rPr>
          <w:rFonts w:ascii="Times New Roman" w:hAnsi="Times New Roman" w:cs="Times New Roman"/>
          <w:sz w:val="24"/>
          <w:szCs w:val="24"/>
        </w:rPr>
        <w:t xml:space="preserve"> performance/State-of-Charge monitoring</w:t>
      </w:r>
    </w:p>
    <w:p w14:paraId="2B7C8441" w14:textId="6D3A4348" w:rsidR="001F619C" w:rsidRDefault="0094280E" w:rsidP="00A11324">
      <w:pPr>
        <w:numPr>
          <w:ilvl w:val="0"/>
          <w:numId w:val="6"/>
        </w:numPr>
        <w:rPr>
          <w:rFonts w:ascii="Times New Roman" w:hAnsi="Times New Roman" w:cs="Times New Roman"/>
          <w:sz w:val="24"/>
          <w:szCs w:val="24"/>
        </w:rPr>
      </w:pPr>
      <w:r>
        <w:rPr>
          <w:rFonts w:ascii="Times New Roman" w:hAnsi="Times New Roman" w:cs="Times New Roman"/>
          <w:sz w:val="24"/>
          <w:szCs w:val="24"/>
        </w:rPr>
        <w:t>High Sustained Limit (</w:t>
      </w:r>
      <w:r w:rsidR="001F619C">
        <w:rPr>
          <w:rFonts w:ascii="Times New Roman" w:hAnsi="Times New Roman" w:cs="Times New Roman"/>
          <w:sz w:val="24"/>
          <w:szCs w:val="24"/>
        </w:rPr>
        <w:t>HSL</w:t>
      </w:r>
      <w:r>
        <w:rPr>
          <w:rFonts w:ascii="Times New Roman" w:hAnsi="Times New Roman" w:cs="Times New Roman"/>
          <w:sz w:val="24"/>
          <w:szCs w:val="24"/>
        </w:rPr>
        <w:t>)</w:t>
      </w:r>
      <w:r w:rsidR="001F619C">
        <w:rPr>
          <w:rFonts w:ascii="Times New Roman" w:hAnsi="Times New Roman" w:cs="Times New Roman"/>
          <w:sz w:val="24"/>
          <w:szCs w:val="24"/>
        </w:rPr>
        <w:t xml:space="preserve"> issues for </w:t>
      </w:r>
      <w:r w:rsidR="0026542D">
        <w:rPr>
          <w:rFonts w:ascii="Times New Roman" w:hAnsi="Times New Roman" w:cs="Times New Roman"/>
          <w:sz w:val="24"/>
          <w:szCs w:val="24"/>
        </w:rPr>
        <w:t>IRRs</w:t>
      </w:r>
      <w:r w:rsidR="00AA0FE6">
        <w:rPr>
          <w:rFonts w:ascii="Times New Roman" w:hAnsi="Times New Roman" w:cs="Times New Roman"/>
          <w:sz w:val="24"/>
          <w:szCs w:val="24"/>
        </w:rPr>
        <w:t xml:space="preserve"> </w:t>
      </w:r>
      <w:r w:rsidR="001F619C">
        <w:rPr>
          <w:rFonts w:ascii="Times New Roman" w:hAnsi="Times New Roman" w:cs="Times New Roman"/>
          <w:sz w:val="24"/>
          <w:szCs w:val="24"/>
        </w:rPr>
        <w:t>when curtailed</w:t>
      </w:r>
    </w:p>
    <w:p w14:paraId="4C0AEA6F" w14:textId="080C8F59" w:rsidR="00A11324" w:rsidRDefault="00A11324" w:rsidP="00A11324">
      <w:pPr>
        <w:numPr>
          <w:ilvl w:val="0"/>
          <w:numId w:val="6"/>
        </w:numPr>
        <w:rPr>
          <w:rFonts w:ascii="Times New Roman" w:hAnsi="Times New Roman" w:cs="Times New Roman"/>
          <w:sz w:val="24"/>
          <w:szCs w:val="24"/>
        </w:rPr>
      </w:pPr>
      <w:r w:rsidRPr="00CC35D4">
        <w:rPr>
          <w:rFonts w:ascii="Times New Roman" w:hAnsi="Times New Roman" w:cs="Times New Roman"/>
          <w:sz w:val="24"/>
          <w:szCs w:val="24"/>
        </w:rPr>
        <w:t>Voltage ride-through</w:t>
      </w:r>
      <w:r w:rsidR="0012064C">
        <w:rPr>
          <w:rFonts w:ascii="Times New Roman" w:hAnsi="Times New Roman" w:cs="Times New Roman"/>
          <w:sz w:val="24"/>
          <w:szCs w:val="24"/>
        </w:rPr>
        <w:t xml:space="preserve"> by Inverter-based Resources</w:t>
      </w:r>
    </w:p>
    <w:p w14:paraId="1B5A7572" w14:textId="6E304E4C" w:rsidR="00A11324" w:rsidRPr="00061A74" w:rsidRDefault="4465DECC" w:rsidP="00061A74">
      <w:pPr>
        <w:pStyle w:val="Heading2"/>
        <w:spacing w:after="240"/>
        <w:rPr>
          <w:rFonts w:ascii="Times New Roman" w:eastAsia="Times New Roman" w:hAnsi="Times New Roman" w:cs="Times New Roman"/>
          <w:b/>
          <w:bCs/>
          <w:smallCaps/>
          <w:color w:val="auto"/>
          <w:sz w:val="24"/>
          <w:szCs w:val="20"/>
          <w:u w:val="single"/>
        </w:rPr>
      </w:pPr>
      <w:r w:rsidRPr="00F4026A">
        <w:rPr>
          <w:rFonts w:ascii="Times New Roman" w:eastAsia="Times New Roman" w:hAnsi="Times New Roman" w:cs="Times New Roman"/>
          <w:b/>
          <w:bCs/>
          <w:smallCaps/>
          <w:color w:val="auto"/>
          <w:sz w:val="24"/>
          <w:szCs w:val="20"/>
        </w:rPr>
        <w:t>E.</w:t>
      </w:r>
      <w:r w:rsidR="009E419A" w:rsidRPr="00061A74">
        <w:rPr>
          <w:rFonts w:ascii="Times New Roman" w:eastAsia="Times New Roman" w:hAnsi="Times New Roman" w:cs="Times New Roman"/>
          <w:b/>
          <w:bCs/>
          <w:smallCaps/>
          <w:color w:val="auto"/>
          <w:sz w:val="24"/>
          <w:szCs w:val="20"/>
        </w:rPr>
        <w:tab/>
      </w:r>
      <w:r w:rsidR="009E419A" w:rsidRPr="00061A74">
        <w:rPr>
          <w:rFonts w:ascii="Times New Roman" w:eastAsia="Times New Roman" w:hAnsi="Times New Roman" w:cs="Times New Roman"/>
          <w:b/>
          <w:bCs/>
          <w:smallCaps/>
          <w:color w:val="auto"/>
          <w:sz w:val="24"/>
          <w:szCs w:val="20"/>
          <w:u w:val="single"/>
        </w:rPr>
        <w:t>Compliance Audits</w:t>
      </w:r>
    </w:p>
    <w:p w14:paraId="08D25660" w14:textId="223FBE2F" w:rsidR="002E41CA" w:rsidRDefault="001E7D2D" w:rsidP="00FF55B4">
      <w:pPr>
        <w:spacing w:after="0" w:line="360" w:lineRule="auto"/>
        <w:ind w:firstLine="720"/>
        <w:jc w:val="both"/>
        <w:rPr>
          <w:rFonts w:ascii="Times New Roman" w:eastAsia="Times New Roman" w:hAnsi="Times New Roman" w:cs="Times New Roman"/>
          <w:sz w:val="24"/>
          <w:szCs w:val="24"/>
        </w:rPr>
      </w:pPr>
      <w:r w:rsidRPr="001E7D2D">
        <w:rPr>
          <w:rFonts w:ascii="Times New Roman" w:eastAsia="Times New Roman" w:hAnsi="Times New Roman" w:cs="Times New Roman"/>
          <w:sz w:val="24"/>
          <w:szCs w:val="24"/>
        </w:rPr>
        <w:t xml:space="preserve">The ERM also completed two audits during the year. One audit involved Qualified Scheduling Entity (QSE) compliance with Nodal Operating Guide (NOG) §§ 3.2.1(2) and (3) and Transmission Operator compliance with NOG §§ 3.7(3) and (4). </w:t>
      </w:r>
      <w:r w:rsidR="00FF55B4" w:rsidRPr="65F40117">
        <w:rPr>
          <w:rFonts w:ascii="Times New Roman" w:eastAsia="Times New Roman" w:hAnsi="Times New Roman" w:cs="Times New Roman"/>
          <w:sz w:val="24"/>
          <w:szCs w:val="24"/>
        </w:rPr>
        <w:t xml:space="preserve">The ERM </w:t>
      </w:r>
      <w:r w:rsidR="00FF55B4">
        <w:rPr>
          <w:rFonts w:ascii="Times New Roman" w:eastAsia="Times New Roman" w:hAnsi="Times New Roman" w:cs="Times New Roman"/>
          <w:sz w:val="24"/>
          <w:szCs w:val="24"/>
        </w:rPr>
        <w:t>issued</w:t>
      </w:r>
      <w:r w:rsidR="00FF55B4" w:rsidRPr="65F40117">
        <w:rPr>
          <w:rFonts w:ascii="Times New Roman" w:eastAsia="Times New Roman" w:hAnsi="Times New Roman" w:cs="Times New Roman"/>
          <w:sz w:val="24"/>
          <w:szCs w:val="24"/>
        </w:rPr>
        <w:t xml:space="preserve"> a </w:t>
      </w:r>
      <w:r w:rsidR="00FF55B4" w:rsidRPr="001B7953">
        <w:rPr>
          <w:rFonts w:ascii="Times New Roman" w:eastAsia="Times New Roman" w:hAnsi="Times New Roman" w:cs="Times New Roman"/>
          <w:sz w:val="24"/>
          <w:szCs w:val="24"/>
        </w:rPr>
        <w:t>Market Notice</w:t>
      </w:r>
      <w:r w:rsidR="00FF55B4" w:rsidRPr="65F40117">
        <w:rPr>
          <w:rFonts w:ascii="Times New Roman" w:eastAsia="Times New Roman" w:hAnsi="Times New Roman" w:cs="Times New Roman"/>
          <w:sz w:val="24"/>
          <w:szCs w:val="24"/>
        </w:rPr>
        <w:t xml:space="preserve"> regarding th</w:t>
      </w:r>
      <w:r w:rsidR="00FF55B4">
        <w:rPr>
          <w:rFonts w:ascii="Times New Roman" w:eastAsia="Times New Roman" w:hAnsi="Times New Roman" w:cs="Times New Roman"/>
          <w:sz w:val="24"/>
          <w:szCs w:val="24"/>
        </w:rPr>
        <w:t>e</w:t>
      </w:r>
      <w:r w:rsidR="00FF55B4" w:rsidRPr="65F40117">
        <w:rPr>
          <w:rFonts w:ascii="Times New Roman" w:eastAsia="Times New Roman" w:hAnsi="Times New Roman" w:cs="Times New Roman"/>
          <w:sz w:val="24"/>
          <w:szCs w:val="24"/>
        </w:rPr>
        <w:t xml:space="preserve"> audit on January </w:t>
      </w:r>
      <w:r w:rsidR="00FF55B4">
        <w:rPr>
          <w:rFonts w:ascii="Times New Roman" w:eastAsia="Times New Roman" w:hAnsi="Times New Roman" w:cs="Times New Roman"/>
          <w:sz w:val="24"/>
          <w:szCs w:val="24"/>
        </w:rPr>
        <w:t>30</w:t>
      </w:r>
      <w:r w:rsidR="00FF55B4" w:rsidRPr="65F40117">
        <w:rPr>
          <w:rFonts w:ascii="Times New Roman" w:eastAsia="Times New Roman" w:hAnsi="Times New Roman" w:cs="Times New Roman"/>
          <w:sz w:val="24"/>
          <w:szCs w:val="24"/>
        </w:rPr>
        <w:t>, 202</w:t>
      </w:r>
      <w:r w:rsidR="00FF55B4">
        <w:rPr>
          <w:rFonts w:ascii="Times New Roman" w:eastAsia="Times New Roman" w:hAnsi="Times New Roman" w:cs="Times New Roman"/>
          <w:sz w:val="24"/>
          <w:szCs w:val="24"/>
        </w:rPr>
        <w:t>5 and</w:t>
      </w:r>
      <w:r w:rsidR="00FF55B4" w:rsidRPr="65F40117">
        <w:rPr>
          <w:rFonts w:ascii="Times New Roman" w:eastAsia="Times New Roman" w:hAnsi="Times New Roman" w:cs="Times New Roman"/>
          <w:sz w:val="24"/>
          <w:szCs w:val="24"/>
        </w:rPr>
        <w:t xml:space="preserve"> sent Requests for Information (RFIs)</w:t>
      </w:r>
      <w:r w:rsidR="00FF55B4">
        <w:rPr>
          <w:rFonts w:ascii="Times New Roman" w:eastAsia="Times New Roman" w:hAnsi="Times New Roman" w:cs="Times New Roman"/>
          <w:sz w:val="24"/>
          <w:szCs w:val="24"/>
        </w:rPr>
        <w:t xml:space="preserve"> to more than 380 Market Participants</w:t>
      </w:r>
      <w:r w:rsidR="00FF55B4" w:rsidRPr="65F40117">
        <w:rPr>
          <w:rFonts w:ascii="Times New Roman" w:eastAsia="Times New Roman" w:hAnsi="Times New Roman" w:cs="Times New Roman"/>
          <w:sz w:val="24"/>
          <w:szCs w:val="24"/>
        </w:rPr>
        <w:t>.</w:t>
      </w:r>
      <w:r w:rsidR="00FF55B4">
        <w:rPr>
          <w:rFonts w:ascii="Times New Roman" w:eastAsia="Times New Roman" w:hAnsi="Times New Roman" w:cs="Times New Roman"/>
          <w:sz w:val="24"/>
          <w:szCs w:val="24"/>
        </w:rPr>
        <w:t xml:space="preserve"> The </w:t>
      </w:r>
      <w:r w:rsidR="00FF55B4" w:rsidRPr="65F40117">
        <w:rPr>
          <w:rFonts w:ascii="Times New Roman" w:eastAsia="Times New Roman" w:hAnsi="Times New Roman" w:cs="Times New Roman"/>
          <w:sz w:val="24"/>
          <w:szCs w:val="24"/>
        </w:rPr>
        <w:t xml:space="preserve">ERM </w:t>
      </w:r>
      <w:r w:rsidR="00FF55B4">
        <w:rPr>
          <w:rFonts w:ascii="Times New Roman" w:eastAsia="Times New Roman" w:hAnsi="Times New Roman" w:cs="Times New Roman"/>
          <w:sz w:val="24"/>
          <w:szCs w:val="24"/>
        </w:rPr>
        <w:t>received all</w:t>
      </w:r>
      <w:r w:rsidR="00FF55B4" w:rsidRPr="65F40117">
        <w:rPr>
          <w:rFonts w:ascii="Times New Roman" w:eastAsia="Times New Roman" w:hAnsi="Times New Roman" w:cs="Times New Roman"/>
          <w:sz w:val="24"/>
          <w:szCs w:val="24"/>
        </w:rPr>
        <w:t xml:space="preserve"> </w:t>
      </w:r>
      <w:r w:rsidR="00FF55B4">
        <w:rPr>
          <w:rFonts w:ascii="Times New Roman" w:eastAsia="Times New Roman" w:hAnsi="Times New Roman" w:cs="Times New Roman"/>
          <w:sz w:val="24"/>
          <w:szCs w:val="24"/>
        </w:rPr>
        <w:t xml:space="preserve">RFI </w:t>
      </w:r>
      <w:r w:rsidR="00FF55B4" w:rsidRPr="65F40117">
        <w:rPr>
          <w:rFonts w:ascii="Times New Roman" w:eastAsia="Times New Roman" w:hAnsi="Times New Roman" w:cs="Times New Roman"/>
          <w:sz w:val="24"/>
          <w:szCs w:val="24"/>
        </w:rPr>
        <w:t>responses</w:t>
      </w:r>
      <w:r w:rsidR="00FF55B4">
        <w:rPr>
          <w:rFonts w:ascii="Times New Roman" w:eastAsia="Times New Roman" w:hAnsi="Times New Roman" w:cs="Times New Roman"/>
          <w:sz w:val="24"/>
          <w:szCs w:val="24"/>
        </w:rPr>
        <w:t xml:space="preserve">, compiled them into a database and drafted a report. </w:t>
      </w:r>
      <w:r w:rsidRPr="001E7D2D">
        <w:rPr>
          <w:rFonts w:ascii="Times New Roman" w:eastAsia="Times New Roman" w:hAnsi="Times New Roman" w:cs="Times New Roman"/>
          <w:sz w:val="24"/>
          <w:szCs w:val="24"/>
        </w:rPr>
        <w:t xml:space="preserve">The second audit involved ERCOT compliance with NOG § 2.2.4.3(2), which requires ERCOT to conduct unannounced tests to verify QSEs’ capability to operate in Constant Frequency Control mode to support grid reliability. </w:t>
      </w:r>
      <w:r w:rsidR="00FF55B4">
        <w:rPr>
          <w:rFonts w:ascii="Times New Roman" w:eastAsia="Times New Roman" w:hAnsi="Times New Roman" w:cs="Times New Roman"/>
          <w:sz w:val="24"/>
          <w:szCs w:val="24"/>
        </w:rPr>
        <w:t>ERCOT responded to the ERM’s RFIs and ERM personnel reviewed the responses and drafted a report. The ERM submitted both reports to DICE in the fourth quarter</w:t>
      </w:r>
      <w:r w:rsidR="00A63822">
        <w:rPr>
          <w:rFonts w:ascii="Times New Roman" w:eastAsia="Times New Roman" w:hAnsi="Times New Roman" w:cs="Times New Roman"/>
          <w:sz w:val="24"/>
          <w:szCs w:val="24"/>
        </w:rPr>
        <w:t xml:space="preserve"> of 2025</w:t>
      </w:r>
      <w:r w:rsidR="00FF55B4">
        <w:rPr>
          <w:rFonts w:ascii="Times New Roman" w:eastAsia="Times New Roman" w:hAnsi="Times New Roman" w:cs="Times New Roman"/>
          <w:sz w:val="24"/>
          <w:szCs w:val="24"/>
        </w:rPr>
        <w:t>.</w:t>
      </w:r>
    </w:p>
    <w:p w14:paraId="7102DFDF" w14:textId="7595A470" w:rsidR="00A11324" w:rsidRDefault="00A11324" w:rsidP="002E41CA">
      <w:pPr>
        <w:spacing w:after="0" w:line="360" w:lineRule="auto"/>
        <w:ind w:firstLine="720"/>
        <w:jc w:val="both"/>
        <w:rPr>
          <w:rFonts w:ascii="Times New Roman" w:eastAsia="Times New Roman" w:hAnsi="Times New Roman" w:cs="Times New Roman"/>
          <w:sz w:val="24"/>
          <w:szCs w:val="24"/>
        </w:rPr>
      </w:pPr>
      <w:r w:rsidRPr="00A11324">
        <w:rPr>
          <w:rFonts w:ascii="Times New Roman" w:eastAsia="Times New Roman" w:hAnsi="Times New Roman" w:cs="Times New Roman"/>
          <w:sz w:val="24"/>
          <w:szCs w:val="24"/>
        </w:rPr>
        <w:t>The ERM stands ready to provide any additional information requested by the Commission.</w:t>
      </w:r>
    </w:p>
    <w:p w14:paraId="58CE0914" w14:textId="77777777" w:rsidR="002E41CA" w:rsidRDefault="002E41CA" w:rsidP="002E41CA">
      <w:pPr>
        <w:pStyle w:val="BodyText"/>
        <w:spacing w:line="360" w:lineRule="auto"/>
        <w:rPr>
          <w:b/>
          <w:bCs/>
        </w:rPr>
      </w:pPr>
    </w:p>
    <w:p w14:paraId="13FC49D5" w14:textId="77777777" w:rsidR="00DF2814" w:rsidRDefault="00DF2814">
      <w:pPr>
        <w:rPr>
          <w:rFonts w:ascii="Times New Roman" w:eastAsia="Times New Roman" w:hAnsi="Times New Roman" w:cs="Times New Roman"/>
          <w:b/>
          <w:bCs/>
          <w:sz w:val="24"/>
          <w:szCs w:val="20"/>
        </w:rPr>
      </w:pPr>
      <w:r>
        <w:rPr>
          <w:b/>
          <w:bCs/>
        </w:rPr>
        <w:br w:type="page"/>
      </w:r>
    </w:p>
    <w:p w14:paraId="3CE41CC8" w14:textId="48B64831" w:rsidR="004A6C63" w:rsidRPr="00CA4381" w:rsidRDefault="004A6C63" w:rsidP="002E41CA">
      <w:pPr>
        <w:pStyle w:val="BodyText"/>
        <w:spacing w:line="360" w:lineRule="auto"/>
      </w:pPr>
      <w:r w:rsidRPr="726AA6DE">
        <w:rPr>
          <w:b/>
          <w:bCs/>
        </w:rPr>
        <w:t>Dated</w:t>
      </w:r>
      <w:r>
        <w:t xml:space="preserve">: </w:t>
      </w:r>
      <w:r w:rsidR="00FF55B4">
        <w:t>January</w:t>
      </w:r>
      <w:r w:rsidR="00D847A6">
        <w:t xml:space="preserve"> </w:t>
      </w:r>
      <w:r>
        <w:t>1</w:t>
      </w:r>
      <w:r w:rsidR="00250A03">
        <w:t>5</w:t>
      </w:r>
      <w:r>
        <w:t>, 202</w:t>
      </w:r>
      <w:r w:rsidR="00FF55B4">
        <w:t>6</w:t>
      </w:r>
      <w:r>
        <w:tab/>
      </w:r>
      <w:r>
        <w:tab/>
      </w:r>
      <w:r>
        <w:tab/>
      </w:r>
      <w:r>
        <w:tab/>
        <w:t>Respectfully submitted,</w:t>
      </w:r>
    </w:p>
    <w:p w14:paraId="054F048A" w14:textId="5B1DA708" w:rsidR="004A6C63" w:rsidRPr="002E41CA" w:rsidRDefault="002E41CA" w:rsidP="007230CC">
      <w:pPr>
        <w:spacing w:before="240"/>
        <w:ind w:left="5040"/>
        <w:rPr>
          <w:rFonts w:ascii="Times New Roman" w:hAnsi="Times New Roman" w:cs="Times New Roman"/>
          <w:sz w:val="24"/>
          <w:szCs w:val="24"/>
          <w:u w:val="single"/>
        </w:rPr>
      </w:pPr>
      <w:r w:rsidRPr="002E41CA">
        <w:rPr>
          <w:rFonts w:ascii="Times New Roman" w:hAnsi="Times New Roman" w:cs="Times New Roman"/>
          <w:sz w:val="24"/>
          <w:szCs w:val="24"/>
          <w:u w:val="single"/>
        </w:rPr>
        <w:t>/s/ A. Andrew Gallo</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6DDCCD" w14:textId="77777777"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Chad V. Seely</w:t>
      </w:r>
    </w:p>
    <w:p w14:paraId="7701C926" w14:textId="216EF90A" w:rsidR="008C1ADB" w:rsidRDefault="008C1ADB" w:rsidP="00342E5A">
      <w:pPr>
        <w:spacing w:after="0" w:line="240" w:lineRule="auto"/>
        <w:ind w:left="5040"/>
        <w:rPr>
          <w:rFonts w:ascii="Times New Roman" w:hAnsi="Times New Roman" w:cs="Times New Roman"/>
          <w:sz w:val="24"/>
          <w:szCs w:val="24"/>
        </w:rPr>
      </w:pPr>
      <w:r w:rsidRPr="008C1ADB">
        <w:rPr>
          <w:rFonts w:ascii="Times New Roman" w:hAnsi="Times New Roman" w:cs="Times New Roman"/>
          <w:sz w:val="24"/>
          <w:szCs w:val="24"/>
        </w:rPr>
        <w:t>S</w:t>
      </w:r>
      <w:r>
        <w:rPr>
          <w:rFonts w:ascii="Times New Roman" w:hAnsi="Times New Roman" w:cs="Times New Roman"/>
          <w:sz w:val="24"/>
          <w:szCs w:val="24"/>
        </w:rPr>
        <w:t>r</w:t>
      </w:r>
      <w:r w:rsidR="00A755B7">
        <w:rPr>
          <w:rFonts w:ascii="Times New Roman" w:hAnsi="Times New Roman" w:cs="Times New Roman"/>
          <w:sz w:val="24"/>
          <w:szCs w:val="24"/>
        </w:rPr>
        <w:t xml:space="preserve">. </w:t>
      </w:r>
      <w:r>
        <w:rPr>
          <w:rFonts w:ascii="Times New Roman" w:hAnsi="Times New Roman" w:cs="Times New Roman"/>
          <w:sz w:val="24"/>
          <w:szCs w:val="24"/>
        </w:rPr>
        <w:t>VP</w:t>
      </w:r>
      <w:r w:rsidRPr="008C1ADB">
        <w:rPr>
          <w:rFonts w:ascii="Times New Roman" w:hAnsi="Times New Roman" w:cs="Times New Roman"/>
          <w:sz w:val="24"/>
          <w:szCs w:val="24"/>
        </w:rPr>
        <w:t xml:space="preserve"> Regulatory Policy, General Counsel, </w:t>
      </w:r>
      <w:r w:rsidR="004F2DED">
        <w:rPr>
          <w:rFonts w:ascii="Times New Roman" w:hAnsi="Times New Roman" w:cs="Times New Roman"/>
          <w:sz w:val="24"/>
          <w:szCs w:val="24"/>
        </w:rPr>
        <w:t xml:space="preserve">and </w:t>
      </w:r>
      <w:r w:rsidRPr="008C1ADB">
        <w:rPr>
          <w:rFonts w:ascii="Times New Roman" w:hAnsi="Times New Roman" w:cs="Times New Roman"/>
          <w:sz w:val="24"/>
          <w:szCs w:val="24"/>
        </w:rPr>
        <w:t xml:space="preserve">Chief Compliance Officer </w:t>
      </w:r>
    </w:p>
    <w:p w14:paraId="239125DD" w14:textId="369B1858"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Texas Bar No. 24037466</w:t>
      </w:r>
    </w:p>
    <w:p w14:paraId="12665B1E" w14:textId="77777777"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(512) 225-7035 (Phone)</w:t>
      </w:r>
    </w:p>
    <w:p w14:paraId="7BC23A7A" w14:textId="77777777"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chad.seely@ercot.com</w:t>
      </w:r>
    </w:p>
    <w:p w14:paraId="7F5CD9B9" w14:textId="77777777" w:rsidR="004A6C63" w:rsidRPr="00CA4381" w:rsidRDefault="004A6C63" w:rsidP="280E28A0">
      <w:pPr>
        <w:spacing w:after="0" w:line="240" w:lineRule="auto"/>
        <w:rPr>
          <w:rFonts w:ascii="Times New Roman" w:hAnsi="Times New Roman" w:cs="Times New Roman"/>
          <w:sz w:val="24"/>
          <w:szCs w:val="24"/>
        </w:rPr>
      </w:pPr>
    </w:p>
    <w:p w14:paraId="70EFB374" w14:textId="77777777"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Brandon Gleason</w:t>
      </w:r>
    </w:p>
    <w:p w14:paraId="46192E91" w14:textId="3AA6AB0C" w:rsidR="008C1ADB" w:rsidRDefault="008C1ADB" w:rsidP="00342E5A">
      <w:pPr>
        <w:spacing w:after="0" w:line="240" w:lineRule="auto"/>
        <w:ind w:left="5040"/>
        <w:rPr>
          <w:rFonts w:ascii="Times New Roman" w:hAnsi="Times New Roman" w:cs="Times New Roman"/>
          <w:sz w:val="24"/>
          <w:szCs w:val="24"/>
        </w:rPr>
      </w:pPr>
      <w:r w:rsidRPr="008C1ADB">
        <w:rPr>
          <w:rFonts w:ascii="Times New Roman" w:hAnsi="Times New Roman" w:cs="Times New Roman"/>
          <w:sz w:val="24"/>
          <w:szCs w:val="24"/>
        </w:rPr>
        <w:t xml:space="preserve">Vice President, Legal and Compliance </w:t>
      </w:r>
    </w:p>
    <w:p w14:paraId="28F8BC0F" w14:textId="3C6D3F10"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Texas Bar No. 24038679</w:t>
      </w:r>
    </w:p>
    <w:p w14:paraId="69534FA2" w14:textId="77777777"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(512) 275-7442 (Phone)</w:t>
      </w:r>
    </w:p>
    <w:p w14:paraId="3C22DEEE" w14:textId="77777777" w:rsidR="004A6C63" w:rsidRPr="00CA4381" w:rsidRDefault="004A6C63" w:rsidP="00342E5A">
      <w:pPr>
        <w:spacing w:after="0" w:line="240" w:lineRule="auto"/>
        <w:ind w:left="5040"/>
        <w:rPr>
          <w:rFonts w:ascii="Times New Roman" w:hAnsi="Times New Roman" w:cs="Times New Roman"/>
          <w:sz w:val="24"/>
          <w:szCs w:val="24"/>
        </w:rPr>
      </w:pPr>
      <w:r w:rsidRPr="00CA4381">
        <w:rPr>
          <w:rFonts w:ascii="Times New Roman" w:hAnsi="Times New Roman" w:cs="Times New Roman"/>
          <w:sz w:val="24"/>
          <w:szCs w:val="24"/>
        </w:rPr>
        <w:t>brandon.gleason@ercot.com</w:t>
      </w:r>
    </w:p>
    <w:p w14:paraId="20CF2B93" w14:textId="77777777" w:rsidR="004A6C63" w:rsidRPr="00CA4381" w:rsidRDefault="004A6C63" w:rsidP="00342E5A">
      <w:pPr>
        <w:spacing w:after="0" w:line="240" w:lineRule="auto"/>
        <w:ind w:left="5040"/>
        <w:rPr>
          <w:rFonts w:ascii="Times New Roman" w:hAnsi="Times New Roman" w:cs="Times New Roman"/>
          <w:sz w:val="24"/>
          <w:szCs w:val="24"/>
        </w:rPr>
      </w:pPr>
    </w:p>
    <w:p w14:paraId="46C77B72" w14:textId="5D519768" w:rsidR="004A6C63" w:rsidRPr="00342E5A" w:rsidRDefault="009C4645"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A. </w:t>
      </w:r>
      <w:r w:rsidR="004A6C63" w:rsidRPr="00342E5A">
        <w:rPr>
          <w:rFonts w:ascii="Times New Roman" w:hAnsi="Times New Roman" w:cs="Times New Roman"/>
          <w:sz w:val="24"/>
          <w:szCs w:val="24"/>
        </w:rPr>
        <w:t>Andrew Gallo</w:t>
      </w:r>
    </w:p>
    <w:p w14:paraId="6DD7A478" w14:textId="77777777" w:rsidR="004A6C63" w:rsidRPr="00342E5A" w:rsidRDefault="004A6C63" w:rsidP="00342E5A">
      <w:pPr>
        <w:spacing w:after="0" w:line="240" w:lineRule="auto"/>
        <w:ind w:left="5040"/>
        <w:rPr>
          <w:rFonts w:ascii="Times New Roman" w:hAnsi="Times New Roman" w:cs="Times New Roman"/>
          <w:sz w:val="24"/>
          <w:szCs w:val="24"/>
        </w:rPr>
      </w:pPr>
      <w:r w:rsidRPr="00342E5A">
        <w:rPr>
          <w:rFonts w:ascii="Times New Roman" w:hAnsi="Times New Roman" w:cs="Times New Roman"/>
          <w:sz w:val="24"/>
          <w:szCs w:val="24"/>
        </w:rPr>
        <w:t>Assistant General Counsel – Regulatory</w:t>
      </w:r>
    </w:p>
    <w:p w14:paraId="04CD8A8E" w14:textId="77777777" w:rsidR="004A6C63" w:rsidRPr="00342E5A" w:rsidRDefault="004A6C63" w:rsidP="00342E5A">
      <w:pPr>
        <w:spacing w:after="0" w:line="240" w:lineRule="auto"/>
        <w:ind w:left="5040"/>
        <w:rPr>
          <w:rFonts w:ascii="Times New Roman" w:hAnsi="Times New Roman" w:cs="Times New Roman"/>
          <w:sz w:val="24"/>
          <w:szCs w:val="24"/>
        </w:rPr>
      </w:pPr>
      <w:r w:rsidRPr="00342E5A">
        <w:rPr>
          <w:rFonts w:ascii="Times New Roman" w:hAnsi="Times New Roman" w:cs="Times New Roman"/>
          <w:sz w:val="24"/>
          <w:szCs w:val="24"/>
        </w:rPr>
        <w:t>Texas Bar No. 07592500</w:t>
      </w:r>
    </w:p>
    <w:p w14:paraId="5C491FE8" w14:textId="77777777" w:rsidR="004A6C63" w:rsidRPr="00342E5A" w:rsidRDefault="004A6C63" w:rsidP="00342E5A">
      <w:pPr>
        <w:spacing w:after="0" w:line="240" w:lineRule="auto"/>
        <w:ind w:left="5040"/>
        <w:rPr>
          <w:rFonts w:ascii="Times New Roman" w:hAnsi="Times New Roman" w:cs="Times New Roman"/>
          <w:sz w:val="24"/>
          <w:szCs w:val="24"/>
        </w:rPr>
      </w:pPr>
      <w:r w:rsidRPr="00342E5A">
        <w:rPr>
          <w:rFonts w:ascii="Times New Roman" w:hAnsi="Times New Roman" w:cs="Times New Roman"/>
          <w:sz w:val="24"/>
          <w:szCs w:val="24"/>
        </w:rPr>
        <w:t>(512) 225-7010 (Phone)</w:t>
      </w:r>
    </w:p>
    <w:p w14:paraId="7C59FB91" w14:textId="2B393E1A" w:rsidR="004A6C63" w:rsidRDefault="003D629B" w:rsidP="00342E5A">
      <w:pPr>
        <w:spacing w:after="0" w:line="240" w:lineRule="auto"/>
        <w:ind w:left="5040"/>
        <w:rPr>
          <w:rFonts w:ascii="Times New Roman" w:hAnsi="Times New Roman" w:cs="Times New Roman"/>
          <w:sz w:val="24"/>
          <w:szCs w:val="24"/>
        </w:rPr>
      </w:pPr>
      <w:hyperlink r:id="rId23" w:history="1">
        <w:r w:rsidRPr="00902D3E">
          <w:rPr>
            <w:rStyle w:val="Hyperlink"/>
            <w:rFonts w:ascii="Times New Roman" w:hAnsi="Times New Roman" w:cs="Times New Roman"/>
            <w:sz w:val="24"/>
            <w:szCs w:val="24"/>
          </w:rPr>
          <w:t>andrew.gallo@ercot.com</w:t>
        </w:r>
      </w:hyperlink>
    </w:p>
    <w:p w14:paraId="2177735D" w14:textId="77777777" w:rsidR="003D629B" w:rsidRDefault="003D629B" w:rsidP="00342E5A">
      <w:pPr>
        <w:spacing w:after="0" w:line="240" w:lineRule="auto"/>
        <w:ind w:left="5040"/>
        <w:rPr>
          <w:rFonts w:ascii="Times New Roman" w:hAnsi="Times New Roman" w:cs="Times New Roman"/>
          <w:sz w:val="24"/>
          <w:szCs w:val="24"/>
        </w:rPr>
      </w:pPr>
    </w:p>
    <w:p w14:paraId="2CE5F24D" w14:textId="656A0391" w:rsidR="003D629B" w:rsidRDefault="00991E59" w:rsidP="00342E5A">
      <w:pPr>
        <w:spacing w:after="0" w:line="240" w:lineRule="auto"/>
        <w:ind w:left="5040"/>
        <w:rPr>
          <w:rFonts w:ascii="Times New Roman" w:hAnsi="Times New Roman" w:cs="Times New Roman"/>
          <w:sz w:val="24"/>
          <w:szCs w:val="24"/>
        </w:rPr>
      </w:pPr>
      <w:proofErr w:type="gramStart"/>
      <w:r>
        <w:rPr>
          <w:rFonts w:ascii="Times New Roman" w:hAnsi="Times New Roman" w:cs="Times New Roman"/>
          <w:sz w:val="24"/>
          <w:szCs w:val="24"/>
        </w:rPr>
        <w:t>Holly</w:t>
      </w:r>
      <w:proofErr w:type="gramEnd"/>
      <w:r>
        <w:rPr>
          <w:rFonts w:ascii="Times New Roman" w:hAnsi="Times New Roman" w:cs="Times New Roman"/>
          <w:sz w:val="24"/>
          <w:szCs w:val="24"/>
        </w:rPr>
        <w:t xml:space="preserve"> A. Bohart </w:t>
      </w:r>
    </w:p>
    <w:p w14:paraId="3F099FDA" w14:textId="34875E8D"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Corporate Counsel Sr. – Regulatory </w:t>
      </w:r>
    </w:p>
    <w:p w14:paraId="534F695D" w14:textId="5D765087"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Texas Bar No. 24027871</w:t>
      </w:r>
    </w:p>
    <w:p w14:paraId="4CC34562" w14:textId="0EDAA9A0"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(512) 225-7063</w:t>
      </w:r>
    </w:p>
    <w:p w14:paraId="1AF13497" w14:textId="2B64B518" w:rsidR="00991E59" w:rsidRDefault="00991E59" w:rsidP="00342E5A">
      <w:pPr>
        <w:spacing w:after="0" w:line="240" w:lineRule="auto"/>
        <w:ind w:left="5040"/>
        <w:rPr>
          <w:rFonts w:ascii="Times New Roman" w:hAnsi="Times New Roman" w:cs="Times New Roman"/>
          <w:sz w:val="24"/>
          <w:szCs w:val="24"/>
        </w:rPr>
      </w:pPr>
      <w:hyperlink r:id="rId24" w:history="1">
        <w:r w:rsidRPr="00902D3E">
          <w:rPr>
            <w:rStyle w:val="Hyperlink"/>
            <w:rFonts w:ascii="Times New Roman" w:hAnsi="Times New Roman" w:cs="Times New Roman"/>
            <w:sz w:val="24"/>
            <w:szCs w:val="24"/>
          </w:rPr>
          <w:t>holly.bohart@ercot.com</w:t>
        </w:r>
      </w:hyperlink>
      <w:r>
        <w:rPr>
          <w:rFonts w:ascii="Times New Roman" w:hAnsi="Times New Roman" w:cs="Times New Roman"/>
          <w:sz w:val="24"/>
          <w:szCs w:val="24"/>
        </w:rPr>
        <w:t xml:space="preserve"> </w:t>
      </w:r>
    </w:p>
    <w:p w14:paraId="7670CF19" w14:textId="77777777" w:rsidR="00991E59" w:rsidRDefault="00991E59" w:rsidP="00342E5A">
      <w:pPr>
        <w:spacing w:after="0" w:line="240" w:lineRule="auto"/>
        <w:ind w:left="5040"/>
        <w:rPr>
          <w:rFonts w:ascii="Times New Roman" w:hAnsi="Times New Roman" w:cs="Times New Roman"/>
          <w:sz w:val="24"/>
          <w:szCs w:val="24"/>
        </w:rPr>
      </w:pPr>
    </w:p>
    <w:p w14:paraId="258DA507" w14:textId="2A804771"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Marnie A. McCormick </w:t>
      </w:r>
    </w:p>
    <w:p w14:paraId="6C1E62A6" w14:textId="73908638"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Corporate Counsel Sr. – Regulatory </w:t>
      </w:r>
    </w:p>
    <w:p w14:paraId="04B99E21" w14:textId="109B49E8"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Texas Bar No. 00794264</w:t>
      </w:r>
    </w:p>
    <w:p w14:paraId="3DAC9631" w14:textId="6F00C293" w:rsidR="00991E59" w:rsidRDefault="00991E59" w:rsidP="00342E5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(512) 225-7169 </w:t>
      </w:r>
    </w:p>
    <w:p w14:paraId="1E806BA5" w14:textId="29BE246D" w:rsidR="00991E59" w:rsidRPr="00342E5A" w:rsidRDefault="00991E59" w:rsidP="00342E5A">
      <w:pPr>
        <w:spacing w:after="0" w:line="240" w:lineRule="auto"/>
        <w:ind w:left="5040"/>
        <w:rPr>
          <w:rFonts w:ascii="Times New Roman" w:hAnsi="Times New Roman" w:cs="Times New Roman"/>
          <w:sz w:val="24"/>
          <w:szCs w:val="24"/>
        </w:rPr>
      </w:pPr>
      <w:hyperlink r:id="rId25" w:history="1">
        <w:r w:rsidRPr="00902D3E">
          <w:rPr>
            <w:rStyle w:val="Hyperlink"/>
            <w:rFonts w:ascii="Times New Roman" w:hAnsi="Times New Roman" w:cs="Times New Roman"/>
            <w:sz w:val="24"/>
            <w:szCs w:val="24"/>
          </w:rPr>
          <w:t>marnie.mccormick@ercot.com</w:t>
        </w:r>
      </w:hyperlink>
      <w:r>
        <w:rPr>
          <w:rFonts w:ascii="Times New Roman" w:hAnsi="Times New Roman" w:cs="Times New Roman"/>
          <w:sz w:val="24"/>
          <w:szCs w:val="24"/>
        </w:rPr>
        <w:t xml:space="preserve"> </w:t>
      </w:r>
    </w:p>
    <w:p w14:paraId="2314E649" w14:textId="77777777" w:rsidR="004A6C63" w:rsidRPr="00342E5A" w:rsidRDefault="004A6C63" w:rsidP="00342E5A">
      <w:pPr>
        <w:spacing w:after="0" w:line="240" w:lineRule="auto"/>
        <w:ind w:left="5040"/>
        <w:rPr>
          <w:rFonts w:ascii="Times New Roman" w:hAnsi="Times New Roman" w:cs="Times New Roman"/>
          <w:sz w:val="24"/>
          <w:szCs w:val="24"/>
        </w:rPr>
      </w:pPr>
    </w:p>
    <w:p w14:paraId="7A46A239" w14:textId="3B2790B4" w:rsidR="004A6C63" w:rsidRPr="007327CA" w:rsidRDefault="004A6C63" w:rsidP="007327CA">
      <w:pPr>
        <w:widowControl w:val="0"/>
        <w:spacing w:after="0" w:line="240" w:lineRule="auto"/>
        <w:ind w:left="5040"/>
        <w:rPr>
          <w:rFonts w:ascii="Times New Roman" w:hAnsi="Times New Roman" w:cs="Times New Roman"/>
          <w:sz w:val="24"/>
          <w:szCs w:val="24"/>
        </w:rPr>
      </w:pPr>
      <w:r w:rsidRPr="007327CA">
        <w:rPr>
          <w:rFonts w:ascii="Times New Roman" w:hAnsi="Times New Roman" w:cs="Times New Roman"/>
          <w:sz w:val="24"/>
          <w:szCs w:val="24"/>
        </w:rPr>
        <w:t>ERCOT</w:t>
      </w:r>
    </w:p>
    <w:p w14:paraId="02CA6FC7" w14:textId="77777777" w:rsidR="004A6C63" w:rsidRPr="007327CA" w:rsidRDefault="004A6C63" w:rsidP="007327CA">
      <w:pPr>
        <w:widowControl w:val="0"/>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right" w:pos="9360"/>
        </w:tabs>
        <w:spacing w:after="0" w:line="240" w:lineRule="auto"/>
        <w:ind w:left="5040"/>
        <w:rPr>
          <w:rFonts w:ascii="Times New Roman" w:hAnsi="Times New Roman" w:cs="Times New Roman"/>
          <w:sz w:val="24"/>
          <w:szCs w:val="24"/>
        </w:rPr>
      </w:pPr>
      <w:r w:rsidRPr="007327CA">
        <w:rPr>
          <w:rFonts w:ascii="Times New Roman" w:hAnsi="Times New Roman" w:cs="Times New Roman"/>
          <w:sz w:val="24"/>
          <w:szCs w:val="24"/>
        </w:rPr>
        <w:t>8000 Metropolis Drive, Bldg. E, Suite 100</w:t>
      </w:r>
    </w:p>
    <w:p w14:paraId="2B2EDD91" w14:textId="77777777" w:rsidR="004A6C63" w:rsidRPr="007327CA" w:rsidRDefault="004A6C63" w:rsidP="007327CA">
      <w:pPr>
        <w:widowControl w:val="0"/>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right" w:pos="9360"/>
        </w:tabs>
        <w:spacing w:after="0" w:line="240" w:lineRule="auto"/>
        <w:ind w:left="5040"/>
        <w:rPr>
          <w:rFonts w:ascii="Times New Roman" w:hAnsi="Times New Roman" w:cs="Times New Roman"/>
          <w:sz w:val="24"/>
          <w:szCs w:val="24"/>
        </w:rPr>
      </w:pPr>
      <w:r w:rsidRPr="007327CA">
        <w:rPr>
          <w:rFonts w:ascii="Times New Roman" w:hAnsi="Times New Roman" w:cs="Times New Roman"/>
          <w:sz w:val="24"/>
          <w:szCs w:val="24"/>
        </w:rPr>
        <w:t>Austin, Texas 78744</w:t>
      </w:r>
    </w:p>
    <w:p w14:paraId="3FF6C6F7" w14:textId="77777777" w:rsidR="004A6C63" w:rsidRPr="007327CA" w:rsidRDefault="004A6C63" w:rsidP="007327CA">
      <w:pPr>
        <w:widowControl w:val="0"/>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right" w:pos="9360"/>
        </w:tabs>
        <w:spacing w:after="0" w:line="240" w:lineRule="auto"/>
        <w:ind w:left="5040"/>
        <w:rPr>
          <w:rFonts w:ascii="Times New Roman" w:hAnsi="Times New Roman" w:cs="Times New Roman"/>
          <w:color w:val="000000"/>
          <w:sz w:val="24"/>
          <w:szCs w:val="24"/>
        </w:rPr>
      </w:pPr>
      <w:r w:rsidRPr="007327CA">
        <w:rPr>
          <w:rFonts w:ascii="Times New Roman" w:hAnsi="Times New Roman" w:cs="Times New Roman"/>
          <w:color w:val="000000"/>
          <w:sz w:val="24"/>
          <w:szCs w:val="24"/>
        </w:rPr>
        <w:t>(512) 225-7079 (Fax)</w:t>
      </w:r>
    </w:p>
    <w:p w14:paraId="793BC08D" w14:textId="77777777" w:rsidR="004A6C63" w:rsidRPr="007327CA" w:rsidRDefault="004A6C63" w:rsidP="007327CA">
      <w:pPr>
        <w:widowControl w:val="0"/>
        <w:spacing w:after="0" w:line="240" w:lineRule="auto"/>
        <w:ind w:left="5040"/>
        <w:rPr>
          <w:rFonts w:ascii="Times New Roman" w:hAnsi="Times New Roman" w:cs="Times New Roman"/>
          <w:sz w:val="24"/>
          <w:szCs w:val="24"/>
        </w:rPr>
      </w:pPr>
    </w:p>
    <w:p w14:paraId="1FCB432B" w14:textId="3BC2A120" w:rsidR="00FF55B4" w:rsidRPr="00FF55B4" w:rsidRDefault="004A6C63" w:rsidP="00FF55B4">
      <w:pPr>
        <w:widowControl w:val="0"/>
        <w:spacing w:after="0" w:line="240" w:lineRule="auto"/>
        <w:ind w:left="5040"/>
        <w:rPr>
          <w:rFonts w:ascii="Times New Roman" w:hAnsi="Times New Roman" w:cs="Times New Roman"/>
          <w:sz w:val="24"/>
          <w:szCs w:val="24"/>
        </w:rPr>
      </w:pPr>
      <w:r w:rsidRPr="007327CA">
        <w:rPr>
          <w:rFonts w:ascii="Times New Roman" w:hAnsi="Times New Roman" w:cs="Times New Roman"/>
          <w:sz w:val="24"/>
          <w:szCs w:val="24"/>
        </w:rPr>
        <w:t>ATTORNEYS FOR ELECTRIC RELIABILITY COUNCIL OF TEXAS, INC.</w:t>
      </w:r>
    </w:p>
    <w:sectPr w:rsidR="00FF55B4" w:rsidRPr="00FF55B4" w:rsidSect="00E94690">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48FE" w14:textId="77777777" w:rsidR="009B71FF" w:rsidRDefault="009B71FF" w:rsidP="007B42DB">
      <w:pPr>
        <w:spacing w:after="0" w:line="240" w:lineRule="auto"/>
      </w:pPr>
      <w:r>
        <w:separator/>
      </w:r>
    </w:p>
  </w:endnote>
  <w:endnote w:type="continuationSeparator" w:id="0">
    <w:p w14:paraId="72DA0504" w14:textId="77777777" w:rsidR="009B71FF" w:rsidRDefault="009B71FF" w:rsidP="007B42DB">
      <w:pPr>
        <w:spacing w:after="0" w:line="240" w:lineRule="auto"/>
      </w:pPr>
      <w:r>
        <w:continuationSeparator/>
      </w:r>
    </w:p>
  </w:endnote>
  <w:endnote w:type="continuationNotice" w:id="1">
    <w:p w14:paraId="516683E2" w14:textId="77777777" w:rsidR="009B71FF" w:rsidRDefault="009B7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45711"/>
      <w:docPartObj>
        <w:docPartGallery w:val="Page Numbers (Bottom of Page)"/>
        <w:docPartUnique/>
      </w:docPartObj>
    </w:sdtPr>
    <w:sdtEndPr>
      <w:rPr>
        <w:rFonts w:ascii="Times New Roman" w:hAnsi="Times New Roman" w:cs="Times New Roman"/>
        <w:noProof/>
        <w:sz w:val="24"/>
        <w:szCs w:val="24"/>
      </w:rPr>
    </w:sdtEndPr>
    <w:sdtContent>
      <w:p w14:paraId="7830C322" w14:textId="001B9FC1" w:rsidR="00E36A56" w:rsidRPr="002E41CA" w:rsidRDefault="00E36A56">
        <w:pPr>
          <w:pStyle w:val="Footer"/>
          <w:jc w:val="right"/>
          <w:rPr>
            <w:rFonts w:ascii="Times New Roman" w:hAnsi="Times New Roman" w:cs="Times New Roman"/>
            <w:sz w:val="24"/>
            <w:szCs w:val="24"/>
          </w:rPr>
        </w:pPr>
        <w:r w:rsidRPr="002E41CA">
          <w:rPr>
            <w:rFonts w:ascii="Times New Roman" w:hAnsi="Times New Roman" w:cs="Times New Roman"/>
            <w:sz w:val="24"/>
            <w:szCs w:val="24"/>
          </w:rPr>
          <w:fldChar w:fldCharType="begin"/>
        </w:r>
        <w:r w:rsidRPr="002E41CA">
          <w:rPr>
            <w:rFonts w:ascii="Times New Roman" w:hAnsi="Times New Roman" w:cs="Times New Roman"/>
            <w:sz w:val="24"/>
            <w:szCs w:val="24"/>
          </w:rPr>
          <w:instrText xml:space="preserve"> PAGE   \* MERGEFORMAT </w:instrText>
        </w:r>
        <w:r w:rsidRPr="002E41CA">
          <w:rPr>
            <w:rFonts w:ascii="Times New Roman" w:hAnsi="Times New Roman" w:cs="Times New Roman"/>
            <w:sz w:val="24"/>
            <w:szCs w:val="24"/>
          </w:rPr>
          <w:fldChar w:fldCharType="separate"/>
        </w:r>
        <w:r w:rsidRPr="002E41CA">
          <w:rPr>
            <w:rFonts w:ascii="Times New Roman" w:hAnsi="Times New Roman" w:cs="Times New Roman"/>
            <w:noProof/>
            <w:sz w:val="24"/>
            <w:szCs w:val="24"/>
          </w:rPr>
          <w:t>2</w:t>
        </w:r>
        <w:r w:rsidRPr="002E41CA">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F40117" w14:paraId="2196FFF5" w14:textId="77777777" w:rsidTr="006006FE">
      <w:trPr>
        <w:trHeight w:val="300"/>
      </w:trPr>
      <w:tc>
        <w:tcPr>
          <w:tcW w:w="3120" w:type="dxa"/>
        </w:tcPr>
        <w:p w14:paraId="06AC7CA2" w14:textId="0BEF915A" w:rsidR="65F40117" w:rsidRDefault="65F40117" w:rsidP="006006FE">
          <w:pPr>
            <w:pStyle w:val="Header"/>
            <w:ind w:left="-115"/>
          </w:pPr>
        </w:p>
      </w:tc>
      <w:tc>
        <w:tcPr>
          <w:tcW w:w="3120" w:type="dxa"/>
        </w:tcPr>
        <w:p w14:paraId="24A6B9FE" w14:textId="5B097E5C" w:rsidR="65F40117" w:rsidRDefault="65F40117" w:rsidP="006006FE">
          <w:pPr>
            <w:pStyle w:val="Header"/>
            <w:jc w:val="center"/>
          </w:pPr>
        </w:p>
      </w:tc>
      <w:tc>
        <w:tcPr>
          <w:tcW w:w="3120" w:type="dxa"/>
        </w:tcPr>
        <w:p w14:paraId="1770864C" w14:textId="276C7EB5" w:rsidR="65F40117" w:rsidRDefault="65F40117" w:rsidP="006006FE">
          <w:pPr>
            <w:pStyle w:val="Header"/>
            <w:ind w:right="-115"/>
            <w:jc w:val="right"/>
          </w:pPr>
        </w:p>
      </w:tc>
    </w:tr>
  </w:tbl>
  <w:p w14:paraId="19DE0E28" w14:textId="511621CB" w:rsidR="65F40117" w:rsidRDefault="65F40117" w:rsidP="0060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BC71" w14:textId="77777777" w:rsidR="009B71FF" w:rsidRDefault="009B71FF" w:rsidP="007B42DB">
      <w:pPr>
        <w:spacing w:after="0" w:line="240" w:lineRule="auto"/>
      </w:pPr>
      <w:r>
        <w:separator/>
      </w:r>
    </w:p>
  </w:footnote>
  <w:footnote w:type="continuationSeparator" w:id="0">
    <w:p w14:paraId="34B47E94" w14:textId="77777777" w:rsidR="009B71FF" w:rsidRDefault="009B71FF" w:rsidP="007B42DB">
      <w:pPr>
        <w:spacing w:after="0" w:line="240" w:lineRule="auto"/>
      </w:pPr>
      <w:r>
        <w:continuationSeparator/>
      </w:r>
    </w:p>
  </w:footnote>
  <w:footnote w:type="continuationNotice" w:id="1">
    <w:p w14:paraId="4C0F62BA" w14:textId="77777777" w:rsidR="009B71FF" w:rsidRDefault="009B71FF">
      <w:pPr>
        <w:spacing w:after="0" w:line="240" w:lineRule="auto"/>
      </w:pPr>
    </w:p>
  </w:footnote>
  <w:footnote w:id="2">
    <w:p w14:paraId="1A140197" w14:textId="4236BA37" w:rsidR="005E5498" w:rsidRDefault="00427637" w:rsidP="00A11324">
      <w:pPr>
        <w:pStyle w:val="FootnoteText"/>
        <w:jc w:val="both"/>
      </w:pPr>
      <w:r>
        <w:tab/>
      </w:r>
      <w:r w:rsidR="005E5498">
        <w:rPr>
          <w:rStyle w:val="FootnoteReference"/>
        </w:rPr>
        <w:footnoteRef/>
      </w:r>
      <w:r w:rsidR="005E5498">
        <w:t xml:space="preserve"> The ERM staff assess an event’s impact on ERCOT System reliability and categorize events such as the loss of generation, frequency, or voltage excursions, </w:t>
      </w:r>
      <w:r w:rsidR="005E5498" w:rsidRPr="00867750">
        <w:rPr>
          <w:i/>
          <w:iCs/>
        </w:rPr>
        <w:t>etc</w:t>
      </w:r>
      <w:r w:rsidR="005E5498" w:rsidRPr="00867750">
        <w:t>.</w:t>
      </w:r>
      <w:r w:rsidR="005E5498">
        <w:t xml:space="preserve"> as “Critical.” The ERM categorizes other events as “High,” “Medium,” or “Low” depending on such factors as: number and size of the facilities involved, if the event is local versus widespread, whether an issue relates to only an administrative matter,</w:t>
      </w:r>
      <w:r w:rsidR="005E5498" w:rsidRPr="00867750">
        <w:rPr>
          <w:i/>
          <w:iCs/>
        </w:rPr>
        <w:t xml:space="preserve"> etc.</w:t>
      </w:r>
      <w:r w:rsidR="005E5498">
        <w:t xml:space="preserve"> </w:t>
      </w:r>
      <w:r w:rsidR="00D847A6">
        <w:t xml:space="preserve">In collaboration with DICE staff, the ERM began using a </w:t>
      </w:r>
      <w:r w:rsidR="00F81AE6">
        <w:t xml:space="preserve">streamlined incident review process </w:t>
      </w:r>
      <w:r w:rsidR="00D847A6">
        <w:t>for non-compliance events posing a minimal risk to ERCOT System reliability.</w:t>
      </w:r>
    </w:p>
  </w:footnote>
  <w:footnote w:id="3">
    <w:p w14:paraId="1D6E29D1" w14:textId="77777777" w:rsidR="00870B9B" w:rsidRDefault="00870B9B" w:rsidP="00870B9B">
      <w:pPr>
        <w:pStyle w:val="FootnoteText"/>
        <w:rPr>
          <w:rFonts w:ascii="Calibri" w:hAnsi="Calibri" w:cs="Calibri"/>
        </w:rPr>
      </w:pPr>
      <w:r>
        <w:rPr>
          <w:rFonts w:ascii="Calibri" w:hAnsi="Calibri" w:cs="Calibri"/>
          <w:sz w:val="22"/>
          <w:szCs w:val="22"/>
        </w:rPr>
        <w:tab/>
      </w:r>
      <w:r>
        <w:rPr>
          <w:rStyle w:val="FootnoteReference"/>
          <w:rFonts w:ascii="Calibri" w:hAnsi="Calibri" w:cs="Calibri"/>
          <w:sz w:val="22"/>
          <w:szCs w:val="22"/>
        </w:rPr>
        <w:footnoteRef/>
      </w:r>
      <w:r>
        <w:rPr>
          <w:rFonts w:ascii="Calibri" w:hAnsi="Calibri" w:cs="Calibri"/>
          <w:sz w:val="22"/>
          <w:szCs w:val="22"/>
        </w:rPr>
        <w:t xml:space="preserve"> </w:t>
      </w:r>
      <w:r w:rsidRPr="00FD468F">
        <w:t>References are to Protocols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E1A5" w14:textId="6DD1C980" w:rsidR="003D38E7" w:rsidRPr="002C4F5A" w:rsidRDefault="003D38E7" w:rsidP="00181836">
    <w:pPr>
      <w:spacing w:after="0" w:line="240" w:lineRule="auto"/>
      <w:rPr>
        <w:rFonts w:ascii="Times New Roman" w:hAnsi="Times New Roman" w:cs="Times New Roman"/>
        <w:b/>
        <w:u w:val="single"/>
      </w:rPr>
    </w:pPr>
    <w:r w:rsidRPr="002C4F5A">
      <w:rPr>
        <w:rFonts w:ascii="Times New Roman" w:hAnsi="Times New Roman" w:cs="Times New Roman"/>
        <w:b/>
      </w:rPr>
      <w:t>PROJECT NO. 54248</w:t>
    </w:r>
    <w:r w:rsidRPr="00F301B9">
      <w:rPr>
        <w:b/>
      </w:rPr>
      <w:tab/>
    </w:r>
    <w:r w:rsidRPr="00F301B9">
      <w:rPr>
        <w:b/>
      </w:rPr>
      <w:tab/>
    </w:r>
    <w:r w:rsidRPr="00F301B9">
      <w:rPr>
        <w:b/>
      </w:rPr>
      <w:tab/>
    </w:r>
    <w:r w:rsidR="002D2F4E">
      <w:rPr>
        <w:rFonts w:ascii="Times New Roman" w:hAnsi="Times New Roman" w:cs="Times New Roman"/>
        <w:b/>
        <w:u w:val="single"/>
      </w:rPr>
      <w:t>ER</w:t>
    </w:r>
    <w:r w:rsidR="00556552">
      <w:rPr>
        <w:rFonts w:ascii="Times New Roman" w:hAnsi="Times New Roman" w:cs="Times New Roman"/>
        <w:b/>
        <w:u w:val="single"/>
      </w:rPr>
      <w:t xml:space="preserve">COT </w:t>
    </w:r>
    <w:r w:rsidR="002D2F4E">
      <w:rPr>
        <w:rFonts w:ascii="Times New Roman" w:hAnsi="Times New Roman" w:cs="Times New Roman"/>
        <w:b/>
        <w:u w:val="single"/>
      </w:rPr>
      <w:t>Q</w:t>
    </w:r>
    <w:r w:rsidRPr="002C4F5A">
      <w:rPr>
        <w:rFonts w:ascii="Times New Roman" w:hAnsi="Times New Roman" w:cs="Times New Roman"/>
        <w:b/>
        <w:u w:val="single"/>
      </w:rPr>
      <w:t>UARTER</w:t>
    </w:r>
    <w:r w:rsidR="002D2F4E">
      <w:rPr>
        <w:rFonts w:ascii="Times New Roman" w:hAnsi="Times New Roman" w:cs="Times New Roman"/>
        <w:b/>
        <w:u w:val="single"/>
      </w:rPr>
      <w:t>LY</w:t>
    </w:r>
    <w:r w:rsidR="00F301B9" w:rsidRPr="002C4F5A">
      <w:rPr>
        <w:rFonts w:ascii="Times New Roman" w:hAnsi="Times New Roman" w:cs="Times New Roman"/>
        <w:b/>
        <w:u w:val="single"/>
      </w:rPr>
      <w:t xml:space="preserve"> </w:t>
    </w:r>
    <w:r w:rsidRPr="002C4F5A">
      <w:rPr>
        <w:rFonts w:ascii="Times New Roman" w:hAnsi="Times New Roman" w:cs="Times New Roman"/>
        <w:b/>
        <w:u w:val="single"/>
      </w:rPr>
      <w:t>ACTIVITY REPORT</w:t>
    </w:r>
  </w:p>
  <w:p w14:paraId="10B54EFB" w14:textId="77777777" w:rsidR="00F301B9" w:rsidRDefault="00F301B9" w:rsidP="00181836">
    <w:pPr>
      <w:spacing w:after="0" w:line="240" w:lineRule="auto"/>
    </w:pPr>
  </w:p>
  <w:p w14:paraId="2676E37E" w14:textId="77777777" w:rsidR="00E94690" w:rsidRDefault="00E94690" w:rsidP="0018183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F40117" w14:paraId="08434DEC" w14:textId="77777777" w:rsidTr="006006FE">
      <w:trPr>
        <w:trHeight w:val="300"/>
      </w:trPr>
      <w:tc>
        <w:tcPr>
          <w:tcW w:w="3120" w:type="dxa"/>
        </w:tcPr>
        <w:p w14:paraId="023D0973" w14:textId="33C93C74" w:rsidR="65F40117" w:rsidRDefault="65F40117" w:rsidP="006006FE">
          <w:pPr>
            <w:pStyle w:val="Header"/>
            <w:ind w:left="-115"/>
          </w:pPr>
        </w:p>
      </w:tc>
      <w:tc>
        <w:tcPr>
          <w:tcW w:w="3120" w:type="dxa"/>
        </w:tcPr>
        <w:p w14:paraId="4982A3AA" w14:textId="446BE245" w:rsidR="65F40117" w:rsidRDefault="65F40117" w:rsidP="006006FE">
          <w:pPr>
            <w:pStyle w:val="Header"/>
            <w:jc w:val="center"/>
          </w:pPr>
        </w:p>
      </w:tc>
      <w:tc>
        <w:tcPr>
          <w:tcW w:w="3120" w:type="dxa"/>
        </w:tcPr>
        <w:p w14:paraId="49A993F7" w14:textId="1F62F442" w:rsidR="65F40117" w:rsidRDefault="65F40117" w:rsidP="006006FE">
          <w:pPr>
            <w:pStyle w:val="Header"/>
            <w:ind w:right="-115"/>
            <w:jc w:val="right"/>
          </w:pPr>
        </w:p>
      </w:tc>
    </w:tr>
  </w:tbl>
  <w:p w14:paraId="26D3D974" w14:textId="2CEDE615" w:rsidR="65F40117" w:rsidRDefault="65F40117" w:rsidP="00600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C7F"/>
    <w:multiLevelType w:val="multilevel"/>
    <w:tmpl w:val="F39C6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2765AD"/>
    <w:multiLevelType w:val="hybridMultilevel"/>
    <w:tmpl w:val="5A668AE6"/>
    <w:lvl w:ilvl="0" w:tplc="2AD6CDEC">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DB3710"/>
    <w:multiLevelType w:val="hybridMultilevel"/>
    <w:tmpl w:val="E856E544"/>
    <w:lvl w:ilvl="0" w:tplc="FEC432C4">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813ACE"/>
    <w:multiLevelType w:val="hybridMultilevel"/>
    <w:tmpl w:val="1E727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B79AB"/>
    <w:multiLevelType w:val="hybridMultilevel"/>
    <w:tmpl w:val="B80C2CB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 w15:restartNumberingAfterBreak="0">
    <w:nsid w:val="2E522ED8"/>
    <w:multiLevelType w:val="hybridMultilevel"/>
    <w:tmpl w:val="067AD7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6" w15:restartNumberingAfterBreak="0">
    <w:nsid w:val="368D7161"/>
    <w:multiLevelType w:val="hybridMultilevel"/>
    <w:tmpl w:val="B2A4D7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C5D9E"/>
    <w:multiLevelType w:val="hybridMultilevel"/>
    <w:tmpl w:val="FA9CC8C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0" w:hanging="360"/>
      </w:pPr>
      <w:rPr>
        <w:rFonts w:ascii="Courier New" w:hAnsi="Courier New" w:cs="Courier New" w:hint="default"/>
      </w:rPr>
    </w:lvl>
    <w:lvl w:ilvl="2" w:tplc="FFFFFFFF">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8" w15:restartNumberingAfterBreak="0">
    <w:nsid w:val="491B5951"/>
    <w:multiLevelType w:val="multilevel"/>
    <w:tmpl w:val="61986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63391"/>
    <w:multiLevelType w:val="hybridMultilevel"/>
    <w:tmpl w:val="465224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D2668F0"/>
    <w:multiLevelType w:val="hybridMultilevel"/>
    <w:tmpl w:val="39921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0B4897"/>
    <w:multiLevelType w:val="hybridMultilevel"/>
    <w:tmpl w:val="93105F76"/>
    <w:lvl w:ilvl="0" w:tplc="CD049AF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27EEA"/>
    <w:multiLevelType w:val="hybridMultilevel"/>
    <w:tmpl w:val="3266CB9A"/>
    <w:lvl w:ilvl="0" w:tplc="EF7C15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F66131"/>
    <w:multiLevelType w:val="hybridMultilevel"/>
    <w:tmpl w:val="FFFFFFFF"/>
    <w:lvl w:ilvl="0" w:tplc="D67E28A0">
      <w:start w:val="1"/>
      <w:numFmt w:val="decimal"/>
      <w:lvlText w:val="%1."/>
      <w:lvlJc w:val="left"/>
      <w:pPr>
        <w:ind w:left="720" w:hanging="360"/>
      </w:pPr>
    </w:lvl>
    <w:lvl w:ilvl="1" w:tplc="DE82D552">
      <w:start w:val="1"/>
      <w:numFmt w:val="lowerLetter"/>
      <w:lvlText w:val="%2."/>
      <w:lvlJc w:val="left"/>
      <w:pPr>
        <w:ind w:left="1440" w:hanging="360"/>
      </w:pPr>
    </w:lvl>
    <w:lvl w:ilvl="2" w:tplc="5F965AD0">
      <w:start w:val="1"/>
      <w:numFmt w:val="lowerRoman"/>
      <w:lvlText w:val="%3."/>
      <w:lvlJc w:val="right"/>
      <w:pPr>
        <w:ind w:left="2160" w:hanging="180"/>
      </w:pPr>
    </w:lvl>
    <w:lvl w:ilvl="3" w:tplc="74AC4B7A">
      <w:start w:val="1"/>
      <w:numFmt w:val="decimal"/>
      <w:lvlText w:val="%4."/>
      <w:lvlJc w:val="left"/>
      <w:pPr>
        <w:ind w:left="2880" w:hanging="360"/>
      </w:pPr>
    </w:lvl>
    <w:lvl w:ilvl="4" w:tplc="F434F4DC">
      <w:start w:val="1"/>
      <w:numFmt w:val="lowerLetter"/>
      <w:lvlText w:val="%5."/>
      <w:lvlJc w:val="left"/>
      <w:pPr>
        <w:ind w:left="3600" w:hanging="360"/>
      </w:pPr>
    </w:lvl>
    <w:lvl w:ilvl="5" w:tplc="4F9A4E9E">
      <w:start w:val="1"/>
      <w:numFmt w:val="lowerRoman"/>
      <w:lvlText w:val="%6."/>
      <w:lvlJc w:val="right"/>
      <w:pPr>
        <w:ind w:left="4320" w:hanging="180"/>
      </w:pPr>
    </w:lvl>
    <w:lvl w:ilvl="6" w:tplc="90243B7A">
      <w:start w:val="1"/>
      <w:numFmt w:val="decimal"/>
      <w:lvlText w:val="%7."/>
      <w:lvlJc w:val="left"/>
      <w:pPr>
        <w:ind w:left="5040" w:hanging="360"/>
      </w:pPr>
    </w:lvl>
    <w:lvl w:ilvl="7" w:tplc="1EC85F5E">
      <w:start w:val="1"/>
      <w:numFmt w:val="lowerLetter"/>
      <w:lvlText w:val="%8."/>
      <w:lvlJc w:val="left"/>
      <w:pPr>
        <w:ind w:left="5760" w:hanging="360"/>
      </w:pPr>
    </w:lvl>
    <w:lvl w:ilvl="8" w:tplc="19BEF86C">
      <w:start w:val="1"/>
      <w:numFmt w:val="lowerRoman"/>
      <w:lvlText w:val="%9."/>
      <w:lvlJc w:val="right"/>
      <w:pPr>
        <w:ind w:left="6480" w:hanging="180"/>
      </w:pPr>
    </w:lvl>
  </w:abstractNum>
  <w:abstractNum w:abstractNumId="14" w15:restartNumberingAfterBreak="0">
    <w:nsid w:val="6A7D1BA2"/>
    <w:multiLevelType w:val="hybridMultilevel"/>
    <w:tmpl w:val="A4EEE384"/>
    <w:lvl w:ilvl="0" w:tplc="289674C8">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6AF75CDA"/>
    <w:multiLevelType w:val="hybridMultilevel"/>
    <w:tmpl w:val="B62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C4BBB"/>
    <w:multiLevelType w:val="hybridMultilevel"/>
    <w:tmpl w:val="DC1E2B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8C0117"/>
    <w:multiLevelType w:val="hybridMultilevel"/>
    <w:tmpl w:val="9C3C5798"/>
    <w:lvl w:ilvl="0" w:tplc="C478C48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8546206">
    <w:abstractNumId w:val="13"/>
  </w:num>
  <w:num w:numId="2" w16cid:durableId="1189027449">
    <w:abstractNumId w:val="6"/>
  </w:num>
  <w:num w:numId="3" w16cid:durableId="1857692634">
    <w:abstractNumId w:val="12"/>
  </w:num>
  <w:num w:numId="4" w16cid:durableId="657346244">
    <w:abstractNumId w:val="2"/>
  </w:num>
  <w:num w:numId="5" w16cid:durableId="155610554">
    <w:abstractNumId w:val="1"/>
  </w:num>
  <w:num w:numId="6" w16cid:durableId="1312637620">
    <w:abstractNumId w:val="10"/>
  </w:num>
  <w:num w:numId="7" w16cid:durableId="262766260">
    <w:abstractNumId w:val="14"/>
  </w:num>
  <w:num w:numId="8" w16cid:durableId="1453940221">
    <w:abstractNumId w:val="3"/>
  </w:num>
  <w:num w:numId="9" w16cid:durableId="459616366">
    <w:abstractNumId w:val="11"/>
  </w:num>
  <w:num w:numId="10" w16cid:durableId="888372017">
    <w:abstractNumId w:val="8"/>
  </w:num>
  <w:num w:numId="11" w16cid:durableId="924992595">
    <w:abstractNumId w:val="9"/>
  </w:num>
  <w:num w:numId="12" w16cid:durableId="1578056828">
    <w:abstractNumId w:val="7"/>
  </w:num>
  <w:num w:numId="13" w16cid:durableId="595481526">
    <w:abstractNumId w:val="5"/>
  </w:num>
  <w:num w:numId="14" w16cid:durableId="2047021340">
    <w:abstractNumId w:val="8"/>
  </w:num>
  <w:num w:numId="15" w16cid:durableId="839466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1762074">
    <w:abstractNumId w:val="16"/>
  </w:num>
  <w:num w:numId="17" w16cid:durableId="1765689324">
    <w:abstractNumId w:val="17"/>
  </w:num>
  <w:num w:numId="18" w16cid:durableId="776874971">
    <w:abstractNumId w:val="4"/>
  </w:num>
  <w:num w:numId="19" w16cid:durableId="1625960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DC"/>
    <w:rsid w:val="00000A7D"/>
    <w:rsid w:val="000010D6"/>
    <w:rsid w:val="00001242"/>
    <w:rsid w:val="00002E33"/>
    <w:rsid w:val="000036A2"/>
    <w:rsid w:val="00004312"/>
    <w:rsid w:val="000063B5"/>
    <w:rsid w:val="00011884"/>
    <w:rsid w:val="00017066"/>
    <w:rsid w:val="00017631"/>
    <w:rsid w:val="00017BB5"/>
    <w:rsid w:val="00021408"/>
    <w:rsid w:val="00021FB6"/>
    <w:rsid w:val="00023CF4"/>
    <w:rsid w:val="00024AE3"/>
    <w:rsid w:val="00031A3E"/>
    <w:rsid w:val="00031A8A"/>
    <w:rsid w:val="00035DEF"/>
    <w:rsid w:val="0003647E"/>
    <w:rsid w:val="00036B55"/>
    <w:rsid w:val="00036D00"/>
    <w:rsid w:val="00036EBE"/>
    <w:rsid w:val="00037ACD"/>
    <w:rsid w:val="0004131D"/>
    <w:rsid w:val="000448B5"/>
    <w:rsid w:val="000459CC"/>
    <w:rsid w:val="000476E5"/>
    <w:rsid w:val="00047828"/>
    <w:rsid w:val="00047DFD"/>
    <w:rsid w:val="00050372"/>
    <w:rsid w:val="000504A5"/>
    <w:rsid w:val="000525C8"/>
    <w:rsid w:val="00053181"/>
    <w:rsid w:val="00053D31"/>
    <w:rsid w:val="00057DF2"/>
    <w:rsid w:val="00061A74"/>
    <w:rsid w:val="000639CC"/>
    <w:rsid w:val="00067BCF"/>
    <w:rsid w:val="000733A3"/>
    <w:rsid w:val="000800CE"/>
    <w:rsid w:val="000869B2"/>
    <w:rsid w:val="000872C7"/>
    <w:rsid w:val="00090CE0"/>
    <w:rsid w:val="00091B58"/>
    <w:rsid w:val="000B3587"/>
    <w:rsid w:val="000B47A9"/>
    <w:rsid w:val="000B548D"/>
    <w:rsid w:val="000B7336"/>
    <w:rsid w:val="000C00FA"/>
    <w:rsid w:val="000C2072"/>
    <w:rsid w:val="000C4B05"/>
    <w:rsid w:val="000D4BE4"/>
    <w:rsid w:val="000E2EAC"/>
    <w:rsid w:val="000E62AF"/>
    <w:rsid w:val="000F074A"/>
    <w:rsid w:val="000F10CF"/>
    <w:rsid w:val="000F3733"/>
    <w:rsid w:val="00112257"/>
    <w:rsid w:val="001126EE"/>
    <w:rsid w:val="00117B24"/>
    <w:rsid w:val="0012064C"/>
    <w:rsid w:val="00121AAC"/>
    <w:rsid w:val="0012493F"/>
    <w:rsid w:val="00124FDE"/>
    <w:rsid w:val="00127A2D"/>
    <w:rsid w:val="00136D6C"/>
    <w:rsid w:val="00141554"/>
    <w:rsid w:val="00143AC6"/>
    <w:rsid w:val="00152C7A"/>
    <w:rsid w:val="00154249"/>
    <w:rsid w:val="001568DD"/>
    <w:rsid w:val="0015761D"/>
    <w:rsid w:val="0016387F"/>
    <w:rsid w:val="00163BA2"/>
    <w:rsid w:val="00165996"/>
    <w:rsid w:val="001775E3"/>
    <w:rsid w:val="00180034"/>
    <w:rsid w:val="00181836"/>
    <w:rsid w:val="00182092"/>
    <w:rsid w:val="001863C0"/>
    <w:rsid w:val="00190473"/>
    <w:rsid w:val="0019231F"/>
    <w:rsid w:val="001973E1"/>
    <w:rsid w:val="001A5379"/>
    <w:rsid w:val="001B0A4F"/>
    <w:rsid w:val="001B30B5"/>
    <w:rsid w:val="001B3C07"/>
    <w:rsid w:val="001B55BF"/>
    <w:rsid w:val="001B5AB6"/>
    <w:rsid w:val="001B74CD"/>
    <w:rsid w:val="001B7953"/>
    <w:rsid w:val="001C1361"/>
    <w:rsid w:val="001C3D4F"/>
    <w:rsid w:val="001C4B90"/>
    <w:rsid w:val="001C6858"/>
    <w:rsid w:val="001D0FE9"/>
    <w:rsid w:val="001D1D87"/>
    <w:rsid w:val="001D46CB"/>
    <w:rsid w:val="001D4EED"/>
    <w:rsid w:val="001D793D"/>
    <w:rsid w:val="001E09B0"/>
    <w:rsid w:val="001E23B0"/>
    <w:rsid w:val="001E56A0"/>
    <w:rsid w:val="001E6F8D"/>
    <w:rsid w:val="001E7211"/>
    <w:rsid w:val="001E7D2D"/>
    <w:rsid w:val="001F3D8B"/>
    <w:rsid w:val="001F619C"/>
    <w:rsid w:val="001F79A6"/>
    <w:rsid w:val="00200679"/>
    <w:rsid w:val="00204627"/>
    <w:rsid w:val="002048BC"/>
    <w:rsid w:val="0020512A"/>
    <w:rsid w:val="00205DC1"/>
    <w:rsid w:val="002075F7"/>
    <w:rsid w:val="002104E4"/>
    <w:rsid w:val="00215FF7"/>
    <w:rsid w:val="00223A0F"/>
    <w:rsid w:val="00223A14"/>
    <w:rsid w:val="00224FC2"/>
    <w:rsid w:val="00234796"/>
    <w:rsid w:val="00240D4A"/>
    <w:rsid w:val="002459C4"/>
    <w:rsid w:val="00250A03"/>
    <w:rsid w:val="00253D8C"/>
    <w:rsid w:val="00257117"/>
    <w:rsid w:val="00262EDA"/>
    <w:rsid w:val="0026542D"/>
    <w:rsid w:val="0028436B"/>
    <w:rsid w:val="00287F86"/>
    <w:rsid w:val="00290105"/>
    <w:rsid w:val="00292348"/>
    <w:rsid w:val="0029343E"/>
    <w:rsid w:val="002A441F"/>
    <w:rsid w:val="002A6DC5"/>
    <w:rsid w:val="002B5CD3"/>
    <w:rsid w:val="002C3BF0"/>
    <w:rsid w:val="002C4F5A"/>
    <w:rsid w:val="002C52C8"/>
    <w:rsid w:val="002C599B"/>
    <w:rsid w:val="002C7394"/>
    <w:rsid w:val="002C74F5"/>
    <w:rsid w:val="002D23C1"/>
    <w:rsid w:val="002D2A45"/>
    <w:rsid w:val="002D2F4E"/>
    <w:rsid w:val="002E3338"/>
    <w:rsid w:val="002E3FED"/>
    <w:rsid w:val="002E41CA"/>
    <w:rsid w:val="002E6DEB"/>
    <w:rsid w:val="002F0531"/>
    <w:rsid w:val="002F20BF"/>
    <w:rsid w:val="002F2E08"/>
    <w:rsid w:val="002F5287"/>
    <w:rsid w:val="002F65DB"/>
    <w:rsid w:val="002F6FBE"/>
    <w:rsid w:val="00300E92"/>
    <w:rsid w:val="003023E8"/>
    <w:rsid w:val="00305B9B"/>
    <w:rsid w:val="00306146"/>
    <w:rsid w:val="003079DF"/>
    <w:rsid w:val="0031002D"/>
    <w:rsid w:val="003113F8"/>
    <w:rsid w:val="00322D3B"/>
    <w:rsid w:val="00324F52"/>
    <w:rsid w:val="00326DBD"/>
    <w:rsid w:val="00327958"/>
    <w:rsid w:val="00330FFD"/>
    <w:rsid w:val="00334922"/>
    <w:rsid w:val="0033762D"/>
    <w:rsid w:val="00342E5A"/>
    <w:rsid w:val="00343454"/>
    <w:rsid w:val="00345139"/>
    <w:rsid w:val="003461FC"/>
    <w:rsid w:val="003465EA"/>
    <w:rsid w:val="00350322"/>
    <w:rsid w:val="003513DF"/>
    <w:rsid w:val="00353668"/>
    <w:rsid w:val="00356B2C"/>
    <w:rsid w:val="00356F22"/>
    <w:rsid w:val="00364480"/>
    <w:rsid w:val="00377488"/>
    <w:rsid w:val="00380945"/>
    <w:rsid w:val="00381DB8"/>
    <w:rsid w:val="003830FC"/>
    <w:rsid w:val="00385834"/>
    <w:rsid w:val="00392848"/>
    <w:rsid w:val="0039722B"/>
    <w:rsid w:val="003A036F"/>
    <w:rsid w:val="003A0802"/>
    <w:rsid w:val="003A1DC5"/>
    <w:rsid w:val="003A2670"/>
    <w:rsid w:val="003A7DEF"/>
    <w:rsid w:val="003B1EC6"/>
    <w:rsid w:val="003B4471"/>
    <w:rsid w:val="003B4747"/>
    <w:rsid w:val="003B71C5"/>
    <w:rsid w:val="003B7C6F"/>
    <w:rsid w:val="003C066F"/>
    <w:rsid w:val="003C3D1E"/>
    <w:rsid w:val="003C417C"/>
    <w:rsid w:val="003C51A3"/>
    <w:rsid w:val="003C770D"/>
    <w:rsid w:val="003D0C89"/>
    <w:rsid w:val="003D38E7"/>
    <w:rsid w:val="003D3D87"/>
    <w:rsid w:val="003D6275"/>
    <w:rsid w:val="003D629B"/>
    <w:rsid w:val="003D6BE5"/>
    <w:rsid w:val="003E4B6F"/>
    <w:rsid w:val="003E5185"/>
    <w:rsid w:val="003E74DE"/>
    <w:rsid w:val="003F08F6"/>
    <w:rsid w:val="003F45A8"/>
    <w:rsid w:val="00400C3D"/>
    <w:rsid w:val="004014E8"/>
    <w:rsid w:val="004019A1"/>
    <w:rsid w:val="00404F94"/>
    <w:rsid w:val="00407518"/>
    <w:rsid w:val="00407D41"/>
    <w:rsid w:val="00413504"/>
    <w:rsid w:val="00417BA6"/>
    <w:rsid w:val="00420348"/>
    <w:rsid w:val="00423D4C"/>
    <w:rsid w:val="00427637"/>
    <w:rsid w:val="0043261C"/>
    <w:rsid w:val="00436E73"/>
    <w:rsid w:val="00444DC4"/>
    <w:rsid w:val="004523C3"/>
    <w:rsid w:val="00453924"/>
    <w:rsid w:val="00455743"/>
    <w:rsid w:val="0046481A"/>
    <w:rsid w:val="004656A4"/>
    <w:rsid w:val="00465AEC"/>
    <w:rsid w:val="00465C3F"/>
    <w:rsid w:val="00470110"/>
    <w:rsid w:val="00475980"/>
    <w:rsid w:val="0047678E"/>
    <w:rsid w:val="00477AD1"/>
    <w:rsid w:val="00481F48"/>
    <w:rsid w:val="00483276"/>
    <w:rsid w:val="00483794"/>
    <w:rsid w:val="00490947"/>
    <w:rsid w:val="00493C66"/>
    <w:rsid w:val="004958EB"/>
    <w:rsid w:val="004A1036"/>
    <w:rsid w:val="004A15A6"/>
    <w:rsid w:val="004A1D68"/>
    <w:rsid w:val="004A6C63"/>
    <w:rsid w:val="004A73CB"/>
    <w:rsid w:val="004B5AB7"/>
    <w:rsid w:val="004B5CDA"/>
    <w:rsid w:val="004C19DC"/>
    <w:rsid w:val="004C258A"/>
    <w:rsid w:val="004C3296"/>
    <w:rsid w:val="004D667B"/>
    <w:rsid w:val="004D7BB1"/>
    <w:rsid w:val="004F1E00"/>
    <w:rsid w:val="004F2DED"/>
    <w:rsid w:val="004F4263"/>
    <w:rsid w:val="004F5AC1"/>
    <w:rsid w:val="005063E8"/>
    <w:rsid w:val="0051218C"/>
    <w:rsid w:val="00522099"/>
    <w:rsid w:val="005247F4"/>
    <w:rsid w:val="0053644F"/>
    <w:rsid w:val="00537051"/>
    <w:rsid w:val="00537D63"/>
    <w:rsid w:val="00544205"/>
    <w:rsid w:val="0054550F"/>
    <w:rsid w:val="00556552"/>
    <w:rsid w:val="005570EE"/>
    <w:rsid w:val="0056619F"/>
    <w:rsid w:val="00570DD6"/>
    <w:rsid w:val="00572AA8"/>
    <w:rsid w:val="00574676"/>
    <w:rsid w:val="005761EE"/>
    <w:rsid w:val="00580410"/>
    <w:rsid w:val="005813E7"/>
    <w:rsid w:val="005817DC"/>
    <w:rsid w:val="0058253F"/>
    <w:rsid w:val="00591416"/>
    <w:rsid w:val="00591CD3"/>
    <w:rsid w:val="005930D7"/>
    <w:rsid w:val="00593D5F"/>
    <w:rsid w:val="0059518F"/>
    <w:rsid w:val="00595A1B"/>
    <w:rsid w:val="0059632A"/>
    <w:rsid w:val="005A5799"/>
    <w:rsid w:val="005A7A21"/>
    <w:rsid w:val="005B4207"/>
    <w:rsid w:val="005B45D9"/>
    <w:rsid w:val="005B5ECA"/>
    <w:rsid w:val="005B67BA"/>
    <w:rsid w:val="005B7202"/>
    <w:rsid w:val="005D0B5D"/>
    <w:rsid w:val="005D32C8"/>
    <w:rsid w:val="005E010F"/>
    <w:rsid w:val="005E0AE8"/>
    <w:rsid w:val="005E307C"/>
    <w:rsid w:val="005E5498"/>
    <w:rsid w:val="005E55E5"/>
    <w:rsid w:val="005E7943"/>
    <w:rsid w:val="005EB7DD"/>
    <w:rsid w:val="005F6173"/>
    <w:rsid w:val="005F74A0"/>
    <w:rsid w:val="006006FE"/>
    <w:rsid w:val="006019A3"/>
    <w:rsid w:val="0060555A"/>
    <w:rsid w:val="00613369"/>
    <w:rsid w:val="00614910"/>
    <w:rsid w:val="00614BB1"/>
    <w:rsid w:val="00614C71"/>
    <w:rsid w:val="0061735F"/>
    <w:rsid w:val="00621E25"/>
    <w:rsid w:val="00621F68"/>
    <w:rsid w:val="0062399A"/>
    <w:rsid w:val="00624646"/>
    <w:rsid w:val="00625343"/>
    <w:rsid w:val="006302B8"/>
    <w:rsid w:val="00634948"/>
    <w:rsid w:val="00637D78"/>
    <w:rsid w:val="006419F1"/>
    <w:rsid w:val="00641A11"/>
    <w:rsid w:val="00642244"/>
    <w:rsid w:val="00647ACB"/>
    <w:rsid w:val="00651936"/>
    <w:rsid w:val="00651BBF"/>
    <w:rsid w:val="006555F3"/>
    <w:rsid w:val="006609F3"/>
    <w:rsid w:val="00670D01"/>
    <w:rsid w:val="00672747"/>
    <w:rsid w:val="00672C69"/>
    <w:rsid w:val="00672EA1"/>
    <w:rsid w:val="00674D61"/>
    <w:rsid w:val="00677FF6"/>
    <w:rsid w:val="00682295"/>
    <w:rsid w:val="006A0217"/>
    <w:rsid w:val="006B10F0"/>
    <w:rsid w:val="006B2DB4"/>
    <w:rsid w:val="006C1B29"/>
    <w:rsid w:val="006D07B2"/>
    <w:rsid w:val="006D2F16"/>
    <w:rsid w:val="006D37A3"/>
    <w:rsid w:val="006D4D0A"/>
    <w:rsid w:val="006D5C63"/>
    <w:rsid w:val="006E1C4D"/>
    <w:rsid w:val="006E5E1B"/>
    <w:rsid w:val="006E6D68"/>
    <w:rsid w:val="006F4EAA"/>
    <w:rsid w:val="006F58FC"/>
    <w:rsid w:val="006F5A17"/>
    <w:rsid w:val="00700388"/>
    <w:rsid w:val="0071118A"/>
    <w:rsid w:val="00717DF8"/>
    <w:rsid w:val="0072091F"/>
    <w:rsid w:val="007230CC"/>
    <w:rsid w:val="00725F23"/>
    <w:rsid w:val="00727AEF"/>
    <w:rsid w:val="00731333"/>
    <w:rsid w:val="007327CA"/>
    <w:rsid w:val="00733443"/>
    <w:rsid w:val="00741163"/>
    <w:rsid w:val="00756DDB"/>
    <w:rsid w:val="007572C5"/>
    <w:rsid w:val="00773F7D"/>
    <w:rsid w:val="007767B1"/>
    <w:rsid w:val="007770DB"/>
    <w:rsid w:val="007865E1"/>
    <w:rsid w:val="00790ACA"/>
    <w:rsid w:val="00790DB9"/>
    <w:rsid w:val="00794F05"/>
    <w:rsid w:val="0079538A"/>
    <w:rsid w:val="007977E7"/>
    <w:rsid w:val="00797D53"/>
    <w:rsid w:val="007A43B5"/>
    <w:rsid w:val="007A7D66"/>
    <w:rsid w:val="007B42DB"/>
    <w:rsid w:val="007B5005"/>
    <w:rsid w:val="007B67DD"/>
    <w:rsid w:val="007B740A"/>
    <w:rsid w:val="007B7DF6"/>
    <w:rsid w:val="007B7E16"/>
    <w:rsid w:val="007C07F5"/>
    <w:rsid w:val="007C131C"/>
    <w:rsid w:val="007C2539"/>
    <w:rsid w:val="007C2EA5"/>
    <w:rsid w:val="007C4EA4"/>
    <w:rsid w:val="007C75EC"/>
    <w:rsid w:val="007D0D13"/>
    <w:rsid w:val="007D0E16"/>
    <w:rsid w:val="007D59AD"/>
    <w:rsid w:val="007D5EB0"/>
    <w:rsid w:val="007E0A84"/>
    <w:rsid w:val="007E1E9D"/>
    <w:rsid w:val="007E39E1"/>
    <w:rsid w:val="007F2077"/>
    <w:rsid w:val="007F4571"/>
    <w:rsid w:val="007F5D9C"/>
    <w:rsid w:val="008001F8"/>
    <w:rsid w:val="008010FA"/>
    <w:rsid w:val="00803099"/>
    <w:rsid w:val="00815DE9"/>
    <w:rsid w:val="00816D46"/>
    <w:rsid w:val="008263BD"/>
    <w:rsid w:val="00826E4C"/>
    <w:rsid w:val="0082760D"/>
    <w:rsid w:val="008365DF"/>
    <w:rsid w:val="00836B4F"/>
    <w:rsid w:val="00841EE6"/>
    <w:rsid w:val="00842743"/>
    <w:rsid w:val="00846385"/>
    <w:rsid w:val="00846E06"/>
    <w:rsid w:val="0084765F"/>
    <w:rsid w:val="0085084F"/>
    <w:rsid w:val="008522C1"/>
    <w:rsid w:val="00870103"/>
    <w:rsid w:val="00870B06"/>
    <w:rsid w:val="00870B9B"/>
    <w:rsid w:val="00871981"/>
    <w:rsid w:val="00873647"/>
    <w:rsid w:val="008752DC"/>
    <w:rsid w:val="00876E64"/>
    <w:rsid w:val="008775E7"/>
    <w:rsid w:val="00883289"/>
    <w:rsid w:val="008928CB"/>
    <w:rsid w:val="008944FB"/>
    <w:rsid w:val="00896889"/>
    <w:rsid w:val="008A0EF2"/>
    <w:rsid w:val="008A2D04"/>
    <w:rsid w:val="008A3493"/>
    <w:rsid w:val="008B2C71"/>
    <w:rsid w:val="008B54EA"/>
    <w:rsid w:val="008B76E0"/>
    <w:rsid w:val="008C0482"/>
    <w:rsid w:val="008C1ADB"/>
    <w:rsid w:val="008C1F22"/>
    <w:rsid w:val="008C2DA4"/>
    <w:rsid w:val="008C3AB5"/>
    <w:rsid w:val="008C6D86"/>
    <w:rsid w:val="008D02E5"/>
    <w:rsid w:val="008D28F5"/>
    <w:rsid w:val="008D2BA2"/>
    <w:rsid w:val="008D7F28"/>
    <w:rsid w:val="008E0D6F"/>
    <w:rsid w:val="008E0D9E"/>
    <w:rsid w:val="008E2FF9"/>
    <w:rsid w:val="008E3089"/>
    <w:rsid w:val="008E408E"/>
    <w:rsid w:val="008E40F6"/>
    <w:rsid w:val="008E45F2"/>
    <w:rsid w:val="008F0317"/>
    <w:rsid w:val="008F316A"/>
    <w:rsid w:val="008F3E9E"/>
    <w:rsid w:val="008F5B4D"/>
    <w:rsid w:val="008F6F02"/>
    <w:rsid w:val="00902594"/>
    <w:rsid w:val="009028F7"/>
    <w:rsid w:val="00903F9A"/>
    <w:rsid w:val="009139C3"/>
    <w:rsid w:val="009140B5"/>
    <w:rsid w:val="009270D5"/>
    <w:rsid w:val="00927EBC"/>
    <w:rsid w:val="00932619"/>
    <w:rsid w:val="009329C3"/>
    <w:rsid w:val="00932C8F"/>
    <w:rsid w:val="00932F47"/>
    <w:rsid w:val="00936F6C"/>
    <w:rsid w:val="009378B2"/>
    <w:rsid w:val="00942471"/>
    <w:rsid w:val="0094280E"/>
    <w:rsid w:val="009454D7"/>
    <w:rsid w:val="0094725B"/>
    <w:rsid w:val="00947968"/>
    <w:rsid w:val="009500B2"/>
    <w:rsid w:val="00950BD3"/>
    <w:rsid w:val="00953C86"/>
    <w:rsid w:val="00962282"/>
    <w:rsid w:val="00963137"/>
    <w:rsid w:val="00966C10"/>
    <w:rsid w:val="00972C49"/>
    <w:rsid w:val="0097480F"/>
    <w:rsid w:val="00975280"/>
    <w:rsid w:val="00983BA1"/>
    <w:rsid w:val="00990101"/>
    <w:rsid w:val="00990542"/>
    <w:rsid w:val="00991276"/>
    <w:rsid w:val="00991E59"/>
    <w:rsid w:val="0099254E"/>
    <w:rsid w:val="009A1E14"/>
    <w:rsid w:val="009B3034"/>
    <w:rsid w:val="009B4793"/>
    <w:rsid w:val="009B5AE9"/>
    <w:rsid w:val="009B6DF8"/>
    <w:rsid w:val="009B71FF"/>
    <w:rsid w:val="009C1D65"/>
    <w:rsid w:val="009C3B21"/>
    <w:rsid w:val="009C3CC5"/>
    <w:rsid w:val="009C4645"/>
    <w:rsid w:val="009C7C8A"/>
    <w:rsid w:val="009D5036"/>
    <w:rsid w:val="009D7A09"/>
    <w:rsid w:val="009D7A42"/>
    <w:rsid w:val="009E2254"/>
    <w:rsid w:val="009E3D98"/>
    <w:rsid w:val="009E3DC9"/>
    <w:rsid w:val="009E419A"/>
    <w:rsid w:val="009E41C2"/>
    <w:rsid w:val="009E4877"/>
    <w:rsid w:val="009E4B74"/>
    <w:rsid w:val="009F157E"/>
    <w:rsid w:val="009F74A7"/>
    <w:rsid w:val="00A010AF"/>
    <w:rsid w:val="00A070BB"/>
    <w:rsid w:val="00A10E83"/>
    <w:rsid w:val="00A11324"/>
    <w:rsid w:val="00A11DCA"/>
    <w:rsid w:val="00A12A24"/>
    <w:rsid w:val="00A1300C"/>
    <w:rsid w:val="00A24392"/>
    <w:rsid w:val="00A25510"/>
    <w:rsid w:val="00A31963"/>
    <w:rsid w:val="00A33437"/>
    <w:rsid w:val="00A343CB"/>
    <w:rsid w:val="00A43796"/>
    <w:rsid w:val="00A47D1A"/>
    <w:rsid w:val="00A51E90"/>
    <w:rsid w:val="00A53EE4"/>
    <w:rsid w:val="00A60470"/>
    <w:rsid w:val="00A63053"/>
    <w:rsid w:val="00A63822"/>
    <w:rsid w:val="00A6773C"/>
    <w:rsid w:val="00A755B7"/>
    <w:rsid w:val="00A76FFC"/>
    <w:rsid w:val="00A8376E"/>
    <w:rsid w:val="00A90FD7"/>
    <w:rsid w:val="00AA0BE6"/>
    <w:rsid w:val="00AA0FE6"/>
    <w:rsid w:val="00AB2574"/>
    <w:rsid w:val="00AB69BF"/>
    <w:rsid w:val="00AB7411"/>
    <w:rsid w:val="00AC1453"/>
    <w:rsid w:val="00AC76C1"/>
    <w:rsid w:val="00AC782E"/>
    <w:rsid w:val="00AD0425"/>
    <w:rsid w:val="00AD5DB2"/>
    <w:rsid w:val="00AD7537"/>
    <w:rsid w:val="00AE3718"/>
    <w:rsid w:val="00AE46EE"/>
    <w:rsid w:val="00AF1D3B"/>
    <w:rsid w:val="00AF350E"/>
    <w:rsid w:val="00AF3D3F"/>
    <w:rsid w:val="00B0294C"/>
    <w:rsid w:val="00B03576"/>
    <w:rsid w:val="00B071C8"/>
    <w:rsid w:val="00B17794"/>
    <w:rsid w:val="00B209E7"/>
    <w:rsid w:val="00B22963"/>
    <w:rsid w:val="00B32ECC"/>
    <w:rsid w:val="00B34A3D"/>
    <w:rsid w:val="00B3661F"/>
    <w:rsid w:val="00B41ED2"/>
    <w:rsid w:val="00B42982"/>
    <w:rsid w:val="00B46F16"/>
    <w:rsid w:val="00B47BCD"/>
    <w:rsid w:val="00B501F0"/>
    <w:rsid w:val="00B510D6"/>
    <w:rsid w:val="00B523C1"/>
    <w:rsid w:val="00B5567D"/>
    <w:rsid w:val="00B6061E"/>
    <w:rsid w:val="00B61955"/>
    <w:rsid w:val="00B622A5"/>
    <w:rsid w:val="00B63EA6"/>
    <w:rsid w:val="00B651D4"/>
    <w:rsid w:val="00B65DAE"/>
    <w:rsid w:val="00B67373"/>
    <w:rsid w:val="00B747DA"/>
    <w:rsid w:val="00B75354"/>
    <w:rsid w:val="00B816E1"/>
    <w:rsid w:val="00B87F55"/>
    <w:rsid w:val="00B92F78"/>
    <w:rsid w:val="00B93EC8"/>
    <w:rsid w:val="00B95217"/>
    <w:rsid w:val="00B96403"/>
    <w:rsid w:val="00BA214C"/>
    <w:rsid w:val="00BA4734"/>
    <w:rsid w:val="00BB0EE1"/>
    <w:rsid w:val="00BB26A3"/>
    <w:rsid w:val="00BB2EA4"/>
    <w:rsid w:val="00BB3C1B"/>
    <w:rsid w:val="00BB553C"/>
    <w:rsid w:val="00BC11F0"/>
    <w:rsid w:val="00BC213B"/>
    <w:rsid w:val="00BC48AC"/>
    <w:rsid w:val="00BC51FD"/>
    <w:rsid w:val="00BC6EDD"/>
    <w:rsid w:val="00BC7223"/>
    <w:rsid w:val="00BD26E1"/>
    <w:rsid w:val="00BE435B"/>
    <w:rsid w:val="00BE6052"/>
    <w:rsid w:val="00BF1B12"/>
    <w:rsid w:val="00BF3CC0"/>
    <w:rsid w:val="00BF76A1"/>
    <w:rsid w:val="00C05195"/>
    <w:rsid w:val="00C0558F"/>
    <w:rsid w:val="00C056D0"/>
    <w:rsid w:val="00C05FD4"/>
    <w:rsid w:val="00C06D68"/>
    <w:rsid w:val="00C07108"/>
    <w:rsid w:val="00C1544A"/>
    <w:rsid w:val="00C1675D"/>
    <w:rsid w:val="00C17408"/>
    <w:rsid w:val="00C22D47"/>
    <w:rsid w:val="00C244B2"/>
    <w:rsid w:val="00C25769"/>
    <w:rsid w:val="00C25EA7"/>
    <w:rsid w:val="00C407A1"/>
    <w:rsid w:val="00C40A2C"/>
    <w:rsid w:val="00C50FF1"/>
    <w:rsid w:val="00C5195B"/>
    <w:rsid w:val="00C53C29"/>
    <w:rsid w:val="00C574BB"/>
    <w:rsid w:val="00C60C39"/>
    <w:rsid w:val="00C60E16"/>
    <w:rsid w:val="00C6311B"/>
    <w:rsid w:val="00C65229"/>
    <w:rsid w:val="00C67B40"/>
    <w:rsid w:val="00C77C0C"/>
    <w:rsid w:val="00C81EEE"/>
    <w:rsid w:val="00C93AFA"/>
    <w:rsid w:val="00C977E5"/>
    <w:rsid w:val="00CA4381"/>
    <w:rsid w:val="00CB4145"/>
    <w:rsid w:val="00CB5342"/>
    <w:rsid w:val="00CB5BD2"/>
    <w:rsid w:val="00CB5C23"/>
    <w:rsid w:val="00CC0732"/>
    <w:rsid w:val="00CC0835"/>
    <w:rsid w:val="00CC0A7F"/>
    <w:rsid w:val="00CC35D4"/>
    <w:rsid w:val="00CD503B"/>
    <w:rsid w:val="00CD5863"/>
    <w:rsid w:val="00CD6B9B"/>
    <w:rsid w:val="00CE09BD"/>
    <w:rsid w:val="00CE2307"/>
    <w:rsid w:val="00CE4BBE"/>
    <w:rsid w:val="00CE52BB"/>
    <w:rsid w:val="00CF3680"/>
    <w:rsid w:val="00CF3CBD"/>
    <w:rsid w:val="00D13CC4"/>
    <w:rsid w:val="00D1458F"/>
    <w:rsid w:val="00D1634E"/>
    <w:rsid w:val="00D31B9B"/>
    <w:rsid w:val="00D3256B"/>
    <w:rsid w:val="00D34FA3"/>
    <w:rsid w:val="00D36C63"/>
    <w:rsid w:val="00D37AA7"/>
    <w:rsid w:val="00D41426"/>
    <w:rsid w:val="00D41928"/>
    <w:rsid w:val="00D41CA5"/>
    <w:rsid w:val="00D443C3"/>
    <w:rsid w:val="00D452AA"/>
    <w:rsid w:val="00D50140"/>
    <w:rsid w:val="00D52115"/>
    <w:rsid w:val="00D53DDF"/>
    <w:rsid w:val="00D54122"/>
    <w:rsid w:val="00D607CA"/>
    <w:rsid w:val="00D645B7"/>
    <w:rsid w:val="00D661D7"/>
    <w:rsid w:val="00D6655B"/>
    <w:rsid w:val="00D707B0"/>
    <w:rsid w:val="00D7405F"/>
    <w:rsid w:val="00D75324"/>
    <w:rsid w:val="00D810C1"/>
    <w:rsid w:val="00D82426"/>
    <w:rsid w:val="00D847A6"/>
    <w:rsid w:val="00D85C80"/>
    <w:rsid w:val="00D867A5"/>
    <w:rsid w:val="00D90B58"/>
    <w:rsid w:val="00D9176D"/>
    <w:rsid w:val="00DA1842"/>
    <w:rsid w:val="00DA2F91"/>
    <w:rsid w:val="00DA3B93"/>
    <w:rsid w:val="00DA6776"/>
    <w:rsid w:val="00DA6D32"/>
    <w:rsid w:val="00DA6E9F"/>
    <w:rsid w:val="00DA701C"/>
    <w:rsid w:val="00DB0086"/>
    <w:rsid w:val="00DB1528"/>
    <w:rsid w:val="00DB6516"/>
    <w:rsid w:val="00DC6A93"/>
    <w:rsid w:val="00DC6FBA"/>
    <w:rsid w:val="00DC7A6A"/>
    <w:rsid w:val="00DD2A11"/>
    <w:rsid w:val="00DE06EE"/>
    <w:rsid w:val="00DE2696"/>
    <w:rsid w:val="00DE2B42"/>
    <w:rsid w:val="00DE2EC1"/>
    <w:rsid w:val="00DF2814"/>
    <w:rsid w:val="00E00215"/>
    <w:rsid w:val="00E011D0"/>
    <w:rsid w:val="00E068CA"/>
    <w:rsid w:val="00E075FD"/>
    <w:rsid w:val="00E07B6D"/>
    <w:rsid w:val="00E1349B"/>
    <w:rsid w:val="00E1490B"/>
    <w:rsid w:val="00E20E76"/>
    <w:rsid w:val="00E23F49"/>
    <w:rsid w:val="00E263DC"/>
    <w:rsid w:val="00E26AA6"/>
    <w:rsid w:val="00E302D9"/>
    <w:rsid w:val="00E34AE7"/>
    <w:rsid w:val="00E35B2E"/>
    <w:rsid w:val="00E36A56"/>
    <w:rsid w:val="00E378D3"/>
    <w:rsid w:val="00E46B8F"/>
    <w:rsid w:val="00E47E7D"/>
    <w:rsid w:val="00E54534"/>
    <w:rsid w:val="00E56B4B"/>
    <w:rsid w:val="00E56CF5"/>
    <w:rsid w:val="00E575B7"/>
    <w:rsid w:val="00E64999"/>
    <w:rsid w:val="00E70847"/>
    <w:rsid w:val="00E72988"/>
    <w:rsid w:val="00E73350"/>
    <w:rsid w:val="00E77767"/>
    <w:rsid w:val="00E84249"/>
    <w:rsid w:val="00E94690"/>
    <w:rsid w:val="00EA0E39"/>
    <w:rsid w:val="00EA45B0"/>
    <w:rsid w:val="00EA5CF5"/>
    <w:rsid w:val="00EA70C3"/>
    <w:rsid w:val="00EB16E9"/>
    <w:rsid w:val="00EB18F0"/>
    <w:rsid w:val="00EB1EE3"/>
    <w:rsid w:val="00EB2486"/>
    <w:rsid w:val="00EB71B8"/>
    <w:rsid w:val="00EC1003"/>
    <w:rsid w:val="00EC2D43"/>
    <w:rsid w:val="00EC2FBB"/>
    <w:rsid w:val="00EC5DCE"/>
    <w:rsid w:val="00EC619C"/>
    <w:rsid w:val="00ED05A9"/>
    <w:rsid w:val="00ED331D"/>
    <w:rsid w:val="00EE1CCC"/>
    <w:rsid w:val="00EE3CBC"/>
    <w:rsid w:val="00EE7F68"/>
    <w:rsid w:val="00F00620"/>
    <w:rsid w:val="00F04A29"/>
    <w:rsid w:val="00F21A86"/>
    <w:rsid w:val="00F26C71"/>
    <w:rsid w:val="00F301B9"/>
    <w:rsid w:val="00F30A87"/>
    <w:rsid w:val="00F336DE"/>
    <w:rsid w:val="00F33AB3"/>
    <w:rsid w:val="00F34130"/>
    <w:rsid w:val="00F3510B"/>
    <w:rsid w:val="00F36160"/>
    <w:rsid w:val="00F4026A"/>
    <w:rsid w:val="00F429F7"/>
    <w:rsid w:val="00F42E17"/>
    <w:rsid w:val="00F46925"/>
    <w:rsid w:val="00F47B18"/>
    <w:rsid w:val="00F51935"/>
    <w:rsid w:val="00F519E7"/>
    <w:rsid w:val="00F567A4"/>
    <w:rsid w:val="00F627FE"/>
    <w:rsid w:val="00F701DB"/>
    <w:rsid w:val="00F72972"/>
    <w:rsid w:val="00F77924"/>
    <w:rsid w:val="00F81AE6"/>
    <w:rsid w:val="00F8375C"/>
    <w:rsid w:val="00F844B7"/>
    <w:rsid w:val="00F95543"/>
    <w:rsid w:val="00FA12AE"/>
    <w:rsid w:val="00FA147F"/>
    <w:rsid w:val="00FA3B21"/>
    <w:rsid w:val="00FA68E5"/>
    <w:rsid w:val="00FA69E5"/>
    <w:rsid w:val="00FA72FF"/>
    <w:rsid w:val="00FB02B1"/>
    <w:rsid w:val="00FB63E3"/>
    <w:rsid w:val="00FB6A70"/>
    <w:rsid w:val="00FB78D6"/>
    <w:rsid w:val="00FC0E98"/>
    <w:rsid w:val="00FC2DDF"/>
    <w:rsid w:val="00FC4089"/>
    <w:rsid w:val="00FC543A"/>
    <w:rsid w:val="00FD24F1"/>
    <w:rsid w:val="00FD4D94"/>
    <w:rsid w:val="00FD6C59"/>
    <w:rsid w:val="00FE78B9"/>
    <w:rsid w:val="00FF2A09"/>
    <w:rsid w:val="00FF400A"/>
    <w:rsid w:val="00FF4AEC"/>
    <w:rsid w:val="00FF55B4"/>
    <w:rsid w:val="01435C96"/>
    <w:rsid w:val="01B625E8"/>
    <w:rsid w:val="031A8B9D"/>
    <w:rsid w:val="03D1A989"/>
    <w:rsid w:val="040D39D8"/>
    <w:rsid w:val="05DA23C8"/>
    <w:rsid w:val="07044250"/>
    <w:rsid w:val="0804DCF1"/>
    <w:rsid w:val="0BD00D08"/>
    <w:rsid w:val="0D30996F"/>
    <w:rsid w:val="11710325"/>
    <w:rsid w:val="11A1CABA"/>
    <w:rsid w:val="11C9DD51"/>
    <w:rsid w:val="13FEC81F"/>
    <w:rsid w:val="14202947"/>
    <w:rsid w:val="149FA505"/>
    <w:rsid w:val="14D828E7"/>
    <w:rsid w:val="17142DD0"/>
    <w:rsid w:val="18E97D2A"/>
    <w:rsid w:val="1A8C25AC"/>
    <w:rsid w:val="1B82D601"/>
    <w:rsid w:val="1CDC744D"/>
    <w:rsid w:val="1D201D7E"/>
    <w:rsid w:val="1E098206"/>
    <w:rsid w:val="1E7E8EA5"/>
    <w:rsid w:val="1EF7C729"/>
    <w:rsid w:val="1F75CB29"/>
    <w:rsid w:val="1FCDEF48"/>
    <w:rsid w:val="216EBAD5"/>
    <w:rsid w:val="276520C2"/>
    <w:rsid w:val="280E28A0"/>
    <w:rsid w:val="291E60E5"/>
    <w:rsid w:val="2A88C2C8"/>
    <w:rsid w:val="2C0E638A"/>
    <w:rsid w:val="2C2D11FA"/>
    <w:rsid w:val="2C532DF7"/>
    <w:rsid w:val="2ED9D4E4"/>
    <w:rsid w:val="2FC5837D"/>
    <w:rsid w:val="338285B9"/>
    <w:rsid w:val="360DA6DB"/>
    <w:rsid w:val="36213274"/>
    <w:rsid w:val="37F25284"/>
    <w:rsid w:val="39B21DF7"/>
    <w:rsid w:val="3A70128E"/>
    <w:rsid w:val="3B45DB4D"/>
    <w:rsid w:val="3B6B84A3"/>
    <w:rsid w:val="3CB6834C"/>
    <w:rsid w:val="3FFA822B"/>
    <w:rsid w:val="407FDB22"/>
    <w:rsid w:val="41B375FD"/>
    <w:rsid w:val="42898CFC"/>
    <w:rsid w:val="42BEEC72"/>
    <w:rsid w:val="4465DECC"/>
    <w:rsid w:val="45769064"/>
    <w:rsid w:val="467AE1AC"/>
    <w:rsid w:val="47F59C89"/>
    <w:rsid w:val="492E2DF6"/>
    <w:rsid w:val="4A523A22"/>
    <w:rsid w:val="4BBD40DF"/>
    <w:rsid w:val="4D92287F"/>
    <w:rsid w:val="4E9EF5E3"/>
    <w:rsid w:val="5334248D"/>
    <w:rsid w:val="53B74409"/>
    <w:rsid w:val="5425C38B"/>
    <w:rsid w:val="546F4F8E"/>
    <w:rsid w:val="582874AC"/>
    <w:rsid w:val="58D7E133"/>
    <w:rsid w:val="5A685715"/>
    <w:rsid w:val="5B29C140"/>
    <w:rsid w:val="5B6449E9"/>
    <w:rsid w:val="5BE3E046"/>
    <w:rsid w:val="5D2048C8"/>
    <w:rsid w:val="5DF8251C"/>
    <w:rsid w:val="5E0E0735"/>
    <w:rsid w:val="61E6975A"/>
    <w:rsid w:val="626D45CF"/>
    <w:rsid w:val="62AFB03F"/>
    <w:rsid w:val="63E8EC2C"/>
    <w:rsid w:val="63FB9DEC"/>
    <w:rsid w:val="65F40117"/>
    <w:rsid w:val="6855B969"/>
    <w:rsid w:val="68D4943E"/>
    <w:rsid w:val="6937E418"/>
    <w:rsid w:val="69E002B2"/>
    <w:rsid w:val="6EC5E834"/>
    <w:rsid w:val="6F0F4C91"/>
    <w:rsid w:val="70346017"/>
    <w:rsid w:val="70380508"/>
    <w:rsid w:val="7112C435"/>
    <w:rsid w:val="71F5A192"/>
    <w:rsid w:val="726AA6DE"/>
    <w:rsid w:val="73E66AA0"/>
    <w:rsid w:val="7406773F"/>
    <w:rsid w:val="7420F630"/>
    <w:rsid w:val="74C5C4FD"/>
    <w:rsid w:val="7501C304"/>
    <w:rsid w:val="754A609E"/>
    <w:rsid w:val="75994716"/>
    <w:rsid w:val="7661955E"/>
    <w:rsid w:val="7800DB65"/>
    <w:rsid w:val="7C73D2A2"/>
    <w:rsid w:val="7DB4DF31"/>
    <w:rsid w:val="7EC2EC54"/>
    <w:rsid w:val="7F50B1CA"/>
    <w:rsid w:val="7FEF3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1D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A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1A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52DC"/>
    <w:pPr>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52DC"/>
    <w:rPr>
      <w:rFonts w:ascii="Times New Roman" w:eastAsia="Times New Roman" w:hAnsi="Times New Roman" w:cs="Times New Roman"/>
      <w:sz w:val="24"/>
      <w:szCs w:val="20"/>
    </w:rPr>
  </w:style>
  <w:style w:type="table" w:styleId="TableGrid">
    <w:name w:val="Table Grid"/>
    <w:basedOn w:val="TableNormal"/>
    <w:rsid w:val="008752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02594"/>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02594"/>
    <w:rPr>
      <w:rFonts w:ascii="Times New Roman" w:eastAsia="Times New Roman" w:hAnsi="Times New Roman" w:cs="Times New Roman"/>
      <w:sz w:val="24"/>
      <w:szCs w:val="20"/>
    </w:rPr>
  </w:style>
  <w:style w:type="paragraph" w:styleId="ListParagraph">
    <w:name w:val="List Paragraph"/>
    <w:basedOn w:val="Normal"/>
    <w:uiPriority w:val="34"/>
    <w:qFormat/>
    <w:rsid w:val="00902594"/>
    <w:pPr>
      <w:ind w:left="720"/>
      <w:contextualSpacing/>
    </w:pPr>
  </w:style>
  <w:style w:type="paragraph" w:styleId="FootnoteText">
    <w:name w:val="footnote text"/>
    <w:basedOn w:val="Normal"/>
    <w:link w:val="FootnoteTextChar"/>
    <w:uiPriority w:val="99"/>
    <w:semiHidden/>
    <w:rsid w:val="007B42D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B42DB"/>
    <w:rPr>
      <w:rFonts w:ascii="Times New Roman" w:eastAsia="Times New Roman" w:hAnsi="Times New Roman" w:cs="Times New Roman"/>
      <w:sz w:val="20"/>
      <w:szCs w:val="20"/>
    </w:rPr>
  </w:style>
  <w:style w:type="character" w:styleId="FootnoteReference">
    <w:name w:val="footnote reference"/>
    <w:uiPriority w:val="99"/>
    <w:semiHidden/>
    <w:rsid w:val="007B42DB"/>
    <w:rPr>
      <w:vertAlign w:val="superscript"/>
    </w:rPr>
  </w:style>
  <w:style w:type="character" w:styleId="CommentReference">
    <w:name w:val="annotation reference"/>
    <w:rsid w:val="007B42DB"/>
    <w:rPr>
      <w:sz w:val="16"/>
      <w:szCs w:val="16"/>
    </w:rPr>
  </w:style>
  <w:style w:type="paragraph" w:styleId="CommentText">
    <w:name w:val="annotation text"/>
    <w:basedOn w:val="Normal"/>
    <w:link w:val="CommentTextChar"/>
    <w:rsid w:val="007B42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B42D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1324"/>
    <w:rPr>
      <w:color w:val="0563C1" w:themeColor="hyperlink"/>
      <w:u w:val="single"/>
    </w:rPr>
  </w:style>
  <w:style w:type="character" w:styleId="UnresolvedMention">
    <w:name w:val="Unresolved Mention"/>
    <w:basedOn w:val="DefaultParagraphFont"/>
    <w:uiPriority w:val="99"/>
    <w:semiHidden/>
    <w:unhideWhenUsed/>
    <w:rsid w:val="00A11324"/>
    <w:rPr>
      <w:color w:val="605E5C"/>
      <w:shd w:val="clear" w:color="auto" w:fill="E1DFDD"/>
    </w:rPr>
  </w:style>
  <w:style w:type="paragraph" w:styleId="Header">
    <w:name w:val="header"/>
    <w:basedOn w:val="Normal"/>
    <w:link w:val="HeaderChar"/>
    <w:uiPriority w:val="99"/>
    <w:unhideWhenUsed/>
    <w:rsid w:val="00D36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C63"/>
  </w:style>
  <w:style w:type="paragraph" w:styleId="Footer">
    <w:name w:val="footer"/>
    <w:basedOn w:val="Normal"/>
    <w:link w:val="FooterChar"/>
    <w:uiPriority w:val="99"/>
    <w:unhideWhenUsed/>
    <w:rsid w:val="00D36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C63"/>
  </w:style>
  <w:style w:type="paragraph" w:styleId="Revision">
    <w:name w:val="Revision"/>
    <w:hidden/>
    <w:uiPriority w:val="99"/>
    <w:semiHidden/>
    <w:rsid w:val="00436E73"/>
    <w:pPr>
      <w:spacing w:after="0" w:line="240" w:lineRule="auto"/>
    </w:pPr>
  </w:style>
  <w:style w:type="paragraph" w:styleId="CommentSubject">
    <w:name w:val="annotation subject"/>
    <w:basedOn w:val="CommentText"/>
    <w:next w:val="CommentText"/>
    <w:link w:val="CommentSubjectChar"/>
    <w:uiPriority w:val="99"/>
    <w:semiHidden/>
    <w:unhideWhenUsed/>
    <w:rsid w:val="003644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448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36160"/>
    <w:rPr>
      <w:color w:val="954F72" w:themeColor="followedHyperlink"/>
      <w:u w:val="single"/>
    </w:rPr>
  </w:style>
  <w:style w:type="character" w:customStyle="1" w:styleId="Heading1Char">
    <w:name w:val="Heading 1 Char"/>
    <w:basedOn w:val="DefaultParagraphFont"/>
    <w:link w:val="Heading1"/>
    <w:uiPriority w:val="9"/>
    <w:rsid w:val="00061A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1A7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267">
      <w:bodyDiv w:val="1"/>
      <w:marLeft w:val="0"/>
      <w:marRight w:val="0"/>
      <w:marTop w:val="0"/>
      <w:marBottom w:val="0"/>
      <w:divBdr>
        <w:top w:val="none" w:sz="0" w:space="0" w:color="auto"/>
        <w:left w:val="none" w:sz="0" w:space="0" w:color="auto"/>
        <w:bottom w:val="none" w:sz="0" w:space="0" w:color="auto"/>
        <w:right w:val="none" w:sz="0" w:space="0" w:color="auto"/>
      </w:divBdr>
    </w:div>
    <w:div w:id="1334069527">
      <w:bodyDiv w:val="1"/>
      <w:marLeft w:val="0"/>
      <w:marRight w:val="0"/>
      <w:marTop w:val="0"/>
      <w:marBottom w:val="0"/>
      <w:divBdr>
        <w:top w:val="none" w:sz="0" w:space="0" w:color="auto"/>
        <w:left w:val="none" w:sz="0" w:space="0" w:color="auto"/>
        <w:bottom w:val="none" w:sz="0" w:space="0" w:color="auto"/>
        <w:right w:val="none" w:sz="0" w:space="0" w:color="auto"/>
      </w:divBdr>
    </w:div>
    <w:div w:id="1543590493">
      <w:bodyDiv w:val="1"/>
      <w:marLeft w:val="0"/>
      <w:marRight w:val="0"/>
      <w:marTop w:val="0"/>
      <w:marBottom w:val="0"/>
      <w:divBdr>
        <w:top w:val="none" w:sz="0" w:space="0" w:color="auto"/>
        <w:left w:val="none" w:sz="0" w:space="0" w:color="auto"/>
        <w:bottom w:val="none" w:sz="0" w:space="0" w:color="auto"/>
        <w:right w:val="none" w:sz="0" w:space="0" w:color="auto"/>
      </w:divBdr>
    </w:div>
    <w:div w:id="1570840900">
      <w:bodyDiv w:val="1"/>
      <w:marLeft w:val="0"/>
      <w:marRight w:val="0"/>
      <w:marTop w:val="0"/>
      <w:marBottom w:val="0"/>
      <w:divBdr>
        <w:top w:val="none" w:sz="0" w:space="0" w:color="auto"/>
        <w:left w:val="none" w:sz="0" w:space="0" w:color="auto"/>
        <w:bottom w:val="none" w:sz="0" w:space="0" w:color="auto"/>
        <w:right w:val="none" w:sz="0" w:space="0" w:color="auto"/>
      </w:divBdr>
    </w:div>
    <w:div w:id="20133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mktrules/issues/NPRR1317" TargetMode="External"/><Relationship Id="rId18" Type="http://schemas.openxmlformats.org/officeDocument/2006/relationships/hyperlink" Target="https://www.ercot.com/mktrules/issues/NOGRR28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rcot.com/mktrules/issues/PGRR140"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rcot.com/mktrules/issues/NPRR1315" TargetMode="External"/><Relationship Id="rId17" Type="http://schemas.openxmlformats.org/officeDocument/2006/relationships/hyperlink" Target="https://www.ercot.com/mktrules/issues/NOGRR283" TargetMode="External"/><Relationship Id="rId25" Type="http://schemas.openxmlformats.org/officeDocument/2006/relationships/hyperlink" Target="mailto:marnie.mccormick@ercot.com"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rcot.com/mktrules/issues/NOGRR282" TargetMode="External"/><Relationship Id="rId20" Type="http://schemas.openxmlformats.org/officeDocument/2006/relationships/hyperlink" Target="https://www.ercot.com/mktrules/issues/PGRR13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issues/NPRR1310" TargetMode="External"/><Relationship Id="rId24" Type="http://schemas.openxmlformats.org/officeDocument/2006/relationships/hyperlink" Target="mailto:holly.bohart@ercot.com"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rcot.com/mktrules/issues/NOGRR281" TargetMode="External"/><Relationship Id="rId23" Type="http://schemas.openxmlformats.org/officeDocument/2006/relationships/hyperlink" Target="mailto:andrew.gallo@ercot.com" TargetMode="External"/><Relationship Id="rId28" Type="http://schemas.openxmlformats.org/officeDocument/2006/relationships/header" Target="header2.xml"/><Relationship Id="rId10" Type="http://schemas.openxmlformats.org/officeDocument/2006/relationships/hyperlink" Target="https://www.ercot.com/mktrules/issues/NPRR1309" TargetMode="External"/><Relationship Id="rId19" Type="http://schemas.openxmlformats.org/officeDocument/2006/relationships/hyperlink" Target="https://www.ercot.com/mktrules/issues/PGRR1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rcot.com/mktrules/issues/NPRR1308" TargetMode="External"/><Relationship Id="rId14" Type="http://schemas.openxmlformats.org/officeDocument/2006/relationships/hyperlink" Target="https://www.ercot.com/mktrules/issues/NPRR1319" TargetMode="External"/><Relationship Id="rId22" Type="http://schemas.openxmlformats.org/officeDocument/2006/relationships/hyperlink" Target="https://www.ercot.com/mktrules/issues/PGRR141"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https://www.ercot.com/mktrules/issues/NPRR1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E016E47626C3479D648D27D9989DF8" ma:contentTypeVersion="15" ma:contentTypeDescription="Create a new document." ma:contentTypeScope="" ma:versionID="e3f289f3b84260556200aada0e3e642d">
  <xsd:schema xmlns:xsd="http://www.w3.org/2001/XMLSchema" xmlns:xs="http://www.w3.org/2001/XMLSchema" xmlns:p="http://schemas.microsoft.com/office/2006/metadata/properties" xmlns:ns2="9a86899c-8f14-4126-ab56-35aa50610e9e" xmlns:ns3="0990b61b-eca2-43eb-bf62-db63f797b908" xmlns:ns4="bd7c3124-6c6c-40c7-8fe4-b26d0ee553ce" targetNamespace="http://schemas.microsoft.com/office/2006/metadata/properties" ma:root="true" ma:fieldsID="60fd213cf0385aca38eee1e6af3c4e32" ns2:_="" ns3:_="" ns4:_="">
    <xsd:import namespace="9a86899c-8f14-4126-ab56-35aa50610e9e"/>
    <xsd:import namespace="0990b61b-eca2-43eb-bf62-db63f797b908"/>
    <xsd:import namespace="bd7c3124-6c6c-40c7-8fe4-b26d0ee553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Retention_x0020_Label_x002d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6899c-8f14-4126-ab56-35aa5061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tention_x0020_Label_x002d_1" ma:index="22" nillable="true" ma:displayName="Retention Label-1" ma:default="Test 1" ma:format="Dropdown" ma:internalName="Retention_x0020_Label_x002d_1">
      <xsd:simpleType>
        <xsd:restriction base="dms:Choice">
          <xsd:enumeration value="Test 1"/>
          <xsd:enumeration value="Test 2"/>
          <xsd:enumeration value="Test 3"/>
        </xsd:restriction>
      </xsd:simpleType>
    </xsd:element>
  </xsd:schema>
  <xsd:schema xmlns:xsd="http://www.w3.org/2001/XMLSchema" xmlns:xs="http://www.w3.org/2001/XMLSchema" xmlns:dms="http://schemas.microsoft.com/office/2006/documentManagement/types" xmlns:pc="http://schemas.microsoft.com/office/infopath/2007/PartnerControls" targetNamespace="0990b61b-eca2-43eb-bf62-db63f797b9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fa7959-c991-4c23-b701-4a20bcf245f5}" ma:internalName="TaxCatchAll" ma:showField="CatchAllData" ma:web="0990b61b-eca2-43eb-bf62-db63f797b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7c3124-6c6c-40c7-8fe4-b26d0ee553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_x0020_Label_x002d_1 xmlns="9a86899c-8f14-4126-ab56-35aa50610e9e">Test 1</Retention_x0020_Label_x002d_1>
    <lcf76f155ced4ddcb4097134ff3c332f xmlns="9a86899c-8f14-4126-ab56-35aa50610e9e">
      <Terms xmlns="http://schemas.microsoft.com/office/infopath/2007/PartnerControls"/>
    </lcf76f155ced4ddcb4097134ff3c332f>
    <TaxCatchAll xmlns="0990b61b-eca2-43eb-bf62-db63f797b908" xsi:nil="true"/>
  </documentManagement>
</p:properties>
</file>

<file path=customXml/itemProps1.xml><?xml version="1.0" encoding="utf-8"?>
<ds:datastoreItem xmlns:ds="http://schemas.openxmlformats.org/officeDocument/2006/customXml" ds:itemID="{F7408EA2-25DF-458F-BAA2-5DEE79998442}">
  <ds:schemaRefs>
    <ds:schemaRef ds:uri="http://schemas.openxmlformats.org/officeDocument/2006/bibliography"/>
  </ds:schemaRefs>
</ds:datastoreItem>
</file>

<file path=customXml/itemProps2.xml><?xml version="1.0" encoding="utf-8"?>
<ds:datastoreItem xmlns:ds="http://schemas.openxmlformats.org/officeDocument/2006/customXml" ds:itemID="{BD1C830E-2110-42A2-BB86-316A7DE60F0D}"/>
</file>

<file path=customXml/itemProps3.xml><?xml version="1.0" encoding="utf-8"?>
<ds:datastoreItem xmlns:ds="http://schemas.openxmlformats.org/officeDocument/2006/customXml" ds:itemID="{98659549-946E-4934-90F9-AF3EE374A6A5}"/>
</file>

<file path=customXml/itemProps4.xml><?xml version="1.0" encoding="utf-8"?>
<ds:datastoreItem xmlns:ds="http://schemas.openxmlformats.org/officeDocument/2006/customXml" ds:itemID="{1FA12A94-8FC8-4429-BFEE-7A2A36370C80}"/>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7995</Characters>
  <Application>Microsoft Office Word</Application>
  <DocSecurity>0</DocSecurity>
  <Lines>235</Lines>
  <Paragraphs>185</Paragraphs>
  <ScaleCrop>false</ScaleCrop>
  <Company/>
  <LinksUpToDate>false</LinksUpToDate>
  <CharactersWithSpaces>9069</CharactersWithSpaces>
  <SharedDoc>false</SharedDoc>
  <HLinks>
    <vt:vector size="108" baseType="variant">
      <vt:variant>
        <vt:i4>4849756</vt:i4>
      </vt:variant>
      <vt:variant>
        <vt:i4>51</vt:i4>
      </vt:variant>
      <vt:variant>
        <vt:i4>0</vt:i4>
      </vt:variant>
      <vt:variant>
        <vt:i4>5</vt:i4>
      </vt:variant>
      <vt:variant>
        <vt:lpwstr>https://www.ercot.com/mktrules/issues/PGRR128</vt:lpwstr>
      </vt:variant>
      <vt:variant>
        <vt:lpwstr/>
      </vt:variant>
      <vt:variant>
        <vt:i4>4849756</vt:i4>
      </vt:variant>
      <vt:variant>
        <vt:i4>48</vt:i4>
      </vt:variant>
      <vt:variant>
        <vt:i4>0</vt:i4>
      </vt:variant>
      <vt:variant>
        <vt:i4>5</vt:i4>
      </vt:variant>
      <vt:variant>
        <vt:lpwstr>https://www.ercot.com/mktrules/issues/PGRR127</vt:lpwstr>
      </vt:variant>
      <vt:variant>
        <vt:lpwstr/>
      </vt:variant>
      <vt:variant>
        <vt:i4>4849756</vt:i4>
      </vt:variant>
      <vt:variant>
        <vt:i4>45</vt:i4>
      </vt:variant>
      <vt:variant>
        <vt:i4>0</vt:i4>
      </vt:variant>
      <vt:variant>
        <vt:i4>5</vt:i4>
      </vt:variant>
      <vt:variant>
        <vt:lpwstr>https://www.ercot.com/mktrules/issues/PGRR126</vt:lpwstr>
      </vt:variant>
      <vt:variant>
        <vt:lpwstr/>
      </vt:variant>
      <vt:variant>
        <vt:i4>4849756</vt:i4>
      </vt:variant>
      <vt:variant>
        <vt:i4>42</vt:i4>
      </vt:variant>
      <vt:variant>
        <vt:i4>0</vt:i4>
      </vt:variant>
      <vt:variant>
        <vt:i4>5</vt:i4>
      </vt:variant>
      <vt:variant>
        <vt:lpwstr>https://www.ercot.com/mktrules/issues/PGRR125</vt:lpwstr>
      </vt:variant>
      <vt:variant>
        <vt:lpwstr/>
      </vt:variant>
      <vt:variant>
        <vt:i4>4849756</vt:i4>
      </vt:variant>
      <vt:variant>
        <vt:i4>39</vt:i4>
      </vt:variant>
      <vt:variant>
        <vt:i4>0</vt:i4>
      </vt:variant>
      <vt:variant>
        <vt:i4>5</vt:i4>
      </vt:variant>
      <vt:variant>
        <vt:lpwstr>https://www.ercot.com/mktrules/issues/PGRR124</vt:lpwstr>
      </vt:variant>
      <vt:variant>
        <vt:lpwstr/>
      </vt:variant>
      <vt:variant>
        <vt:i4>4849756</vt:i4>
      </vt:variant>
      <vt:variant>
        <vt:i4>36</vt:i4>
      </vt:variant>
      <vt:variant>
        <vt:i4>0</vt:i4>
      </vt:variant>
      <vt:variant>
        <vt:i4>5</vt:i4>
      </vt:variant>
      <vt:variant>
        <vt:lpwstr>https://www.ercot.com/mktrules/issues/PGRR122</vt:lpwstr>
      </vt:variant>
      <vt:variant>
        <vt:lpwstr/>
      </vt:variant>
      <vt:variant>
        <vt:i4>7667747</vt:i4>
      </vt:variant>
      <vt:variant>
        <vt:i4>33</vt:i4>
      </vt:variant>
      <vt:variant>
        <vt:i4>0</vt:i4>
      </vt:variant>
      <vt:variant>
        <vt:i4>5</vt:i4>
      </vt:variant>
      <vt:variant>
        <vt:lpwstr>https://www.ercot.com/mktrules/issues/NOGRR277</vt:lpwstr>
      </vt:variant>
      <vt:variant>
        <vt:lpwstr/>
      </vt:variant>
      <vt:variant>
        <vt:i4>7143547</vt:i4>
      </vt:variant>
      <vt:variant>
        <vt:i4>30</vt:i4>
      </vt:variant>
      <vt:variant>
        <vt:i4>0</vt:i4>
      </vt:variant>
      <vt:variant>
        <vt:i4>5</vt:i4>
      </vt:variant>
      <vt:variant>
        <vt:lpwstr>https://www.ercot.com/mktrules/issues/NPRR1290</vt:lpwstr>
      </vt:variant>
      <vt:variant>
        <vt:lpwstr/>
      </vt:variant>
      <vt:variant>
        <vt:i4>6946938</vt:i4>
      </vt:variant>
      <vt:variant>
        <vt:i4>27</vt:i4>
      </vt:variant>
      <vt:variant>
        <vt:i4>0</vt:i4>
      </vt:variant>
      <vt:variant>
        <vt:i4>5</vt:i4>
      </vt:variant>
      <vt:variant>
        <vt:lpwstr>https://www.ercot.com/mktrules/issues/NPRR1287</vt:lpwstr>
      </vt:variant>
      <vt:variant>
        <vt:lpwstr/>
      </vt:variant>
      <vt:variant>
        <vt:i4>7012474</vt:i4>
      </vt:variant>
      <vt:variant>
        <vt:i4>24</vt:i4>
      </vt:variant>
      <vt:variant>
        <vt:i4>0</vt:i4>
      </vt:variant>
      <vt:variant>
        <vt:i4>5</vt:i4>
      </vt:variant>
      <vt:variant>
        <vt:lpwstr>https://www.ercot.com/mktrules/issues/NPRR1286</vt:lpwstr>
      </vt:variant>
      <vt:variant>
        <vt:lpwstr/>
      </vt:variant>
      <vt:variant>
        <vt:i4>6815866</vt:i4>
      </vt:variant>
      <vt:variant>
        <vt:i4>21</vt:i4>
      </vt:variant>
      <vt:variant>
        <vt:i4>0</vt:i4>
      </vt:variant>
      <vt:variant>
        <vt:i4>5</vt:i4>
      </vt:variant>
      <vt:variant>
        <vt:lpwstr>https://www.ercot.com/mktrules/issues/NPRR1285</vt:lpwstr>
      </vt:variant>
      <vt:variant>
        <vt:lpwstr/>
      </vt:variant>
      <vt:variant>
        <vt:i4>6881402</vt:i4>
      </vt:variant>
      <vt:variant>
        <vt:i4>18</vt:i4>
      </vt:variant>
      <vt:variant>
        <vt:i4>0</vt:i4>
      </vt:variant>
      <vt:variant>
        <vt:i4>5</vt:i4>
      </vt:variant>
      <vt:variant>
        <vt:lpwstr>https://www.ercot.com/mktrules/issues/NPRR1284</vt:lpwstr>
      </vt:variant>
      <vt:variant>
        <vt:lpwstr/>
      </vt:variant>
      <vt:variant>
        <vt:i4>7209082</vt:i4>
      </vt:variant>
      <vt:variant>
        <vt:i4>15</vt:i4>
      </vt:variant>
      <vt:variant>
        <vt:i4>0</vt:i4>
      </vt:variant>
      <vt:variant>
        <vt:i4>5</vt:i4>
      </vt:variant>
      <vt:variant>
        <vt:lpwstr>https://www.ercot.com/mktrules/issues/NPRR1283</vt:lpwstr>
      </vt:variant>
      <vt:variant>
        <vt:lpwstr/>
      </vt:variant>
      <vt:variant>
        <vt:i4>7274618</vt:i4>
      </vt:variant>
      <vt:variant>
        <vt:i4>12</vt:i4>
      </vt:variant>
      <vt:variant>
        <vt:i4>0</vt:i4>
      </vt:variant>
      <vt:variant>
        <vt:i4>5</vt:i4>
      </vt:variant>
      <vt:variant>
        <vt:lpwstr>https://www.ercot.com/mktrules/issues/NPRR1282</vt:lpwstr>
      </vt:variant>
      <vt:variant>
        <vt:lpwstr/>
      </vt:variant>
      <vt:variant>
        <vt:i4>917511</vt:i4>
      </vt:variant>
      <vt:variant>
        <vt:i4>9</vt:i4>
      </vt:variant>
      <vt:variant>
        <vt:i4>0</vt:i4>
      </vt:variant>
      <vt:variant>
        <vt:i4>5</vt:i4>
      </vt:variant>
      <vt:variant>
        <vt:lpwstr>https://www.ercot.com/mktrules/issues/NPRR1281</vt:lpwstr>
      </vt:variant>
      <vt:variant>
        <vt:lpwstr>keydocs</vt:lpwstr>
      </vt:variant>
      <vt:variant>
        <vt:i4>7143546</vt:i4>
      </vt:variant>
      <vt:variant>
        <vt:i4>6</vt:i4>
      </vt:variant>
      <vt:variant>
        <vt:i4>0</vt:i4>
      </vt:variant>
      <vt:variant>
        <vt:i4>5</vt:i4>
      </vt:variant>
      <vt:variant>
        <vt:lpwstr>https://www.ercot.com/mktrules/issues/NPRR1280</vt:lpwstr>
      </vt:variant>
      <vt:variant>
        <vt:lpwstr/>
      </vt:variant>
      <vt:variant>
        <vt:i4>6619253</vt:i4>
      </vt:variant>
      <vt:variant>
        <vt:i4>3</vt:i4>
      </vt:variant>
      <vt:variant>
        <vt:i4>0</vt:i4>
      </vt:variant>
      <vt:variant>
        <vt:i4>5</vt:i4>
      </vt:variant>
      <vt:variant>
        <vt:lpwstr>https://www.ercot.com/mktrules/issues/NPRR1278</vt:lpwstr>
      </vt:variant>
      <vt:variant>
        <vt:lpwstr/>
      </vt:variant>
      <vt:variant>
        <vt:i4>7012469</vt:i4>
      </vt:variant>
      <vt:variant>
        <vt:i4>0</vt:i4>
      </vt:variant>
      <vt:variant>
        <vt:i4>0</vt:i4>
      </vt:variant>
      <vt:variant>
        <vt:i4>5</vt:i4>
      </vt:variant>
      <vt:variant>
        <vt:lpwstr>https://www.ercot.com/mktrules/issues/NPRR1276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2026-01-15T17:49:00Z</dcterms:created>
  <dcterms:modified xsi:type="dcterms:W3CDTF">2026-01-15T17:49:00Z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2026-01-15T17:49:40Z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196a070d-ce86-4cd0-9c26-c2f9e8b343ea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0x010100DFE016E47626C3479D648D27D9989DF8</vt:lpwstr>
  </property>
  <property fmtid="{D5CDD505-2E9C-101B-9397-08002B2CF9AE}" pid="12" name="docLang">
    <vt:lpwstr>en</vt:lpwstr>
  </property>
</Properties>
</file>