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D0A33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D0A33" w:rsidRDefault="00CD0A33" w:rsidP="00CD0A33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7B6B397" w:rsidR="00CD0A33" w:rsidRPr="00595DDC" w:rsidRDefault="00CD0A33" w:rsidP="00CD0A33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266C8F">
                <w:rPr>
                  <w:rStyle w:val="Hyperlink"/>
                </w:rPr>
                <w:t>1317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68CF4AE" w:rsidR="00CD0A33" w:rsidRDefault="00CD0A33" w:rsidP="00CD0A33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762F6C68" w:rsidR="00CD0A33" w:rsidRPr="009F3D0E" w:rsidRDefault="00CD0A33" w:rsidP="00CD0A33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Creation of Non-Settled Generator (NSG) and Clarification of the Types, Usage, and Registration of Distributed Generation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624BBE7" w:rsidR="00FC0BDC" w:rsidRPr="009F3D0E" w:rsidRDefault="00CD0A33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December 19,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24B6069C" w:rsidR="00124420" w:rsidRPr="002D68CF" w:rsidRDefault="00EB6385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B6385">
              <w:rPr>
                <w:rFonts w:ascii="Arial" w:hAnsi="Arial" w:cs="Arial"/>
              </w:rPr>
              <w:t>Between $400</w:t>
            </w:r>
            <w:r w:rsidR="00CD0A33">
              <w:rPr>
                <w:rFonts w:ascii="Arial" w:hAnsi="Arial" w:cs="Arial"/>
              </w:rPr>
              <w:t>K</w:t>
            </w:r>
            <w:r w:rsidRPr="00EB6385">
              <w:rPr>
                <w:rFonts w:ascii="Arial" w:hAnsi="Arial" w:cs="Arial"/>
              </w:rPr>
              <w:t xml:space="preserve"> and $600</w:t>
            </w:r>
            <w:r w:rsidR="00CD0A33">
              <w:rPr>
                <w:rFonts w:ascii="Arial" w:hAnsi="Arial" w:cs="Arial"/>
              </w:rPr>
              <w:t>K</w:t>
            </w:r>
          </w:p>
        </w:tc>
      </w:tr>
      <w:tr w:rsidR="00F13670" w14:paraId="509A943B" w14:textId="77777777" w:rsidTr="00CD0A33">
        <w:trPr>
          <w:trHeight w:val="158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70D0575C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EB6385">
              <w:rPr>
                <w:rFonts w:cs="Arial"/>
              </w:rPr>
              <w:t>8</w:t>
            </w:r>
            <w:r w:rsidRPr="0026620F">
              <w:rPr>
                <w:rFonts w:cs="Arial"/>
              </w:rPr>
              <w:t xml:space="preserve"> to </w:t>
            </w:r>
            <w:r w:rsidR="00EB6385">
              <w:rPr>
                <w:rFonts w:cs="Arial"/>
              </w:rPr>
              <w:t>12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36F30900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B6385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3A765" w14:textId="77777777" w:rsidR="00EB6385" w:rsidRDefault="00EB6385" w:rsidP="00EB6385">
            <w:pPr>
              <w:pStyle w:val="NormalArial"/>
            </w:pPr>
            <w:r>
              <w:t>There will be ongoing operational impacts to the following ERCOT departments totaling 4.7 Full-Time Employees (FTEs) to support this NPRR:</w:t>
            </w:r>
          </w:p>
          <w:p w14:paraId="7399D875" w14:textId="77777777" w:rsidR="00EB6385" w:rsidRDefault="00EB6385" w:rsidP="00EB6385">
            <w:pPr>
              <w:pStyle w:val="NormalArial"/>
            </w:pPr>
          </w:p>
          <w:p w14:paraId="7011E9A0" w14:textId="77777777" w:rsidR="00EB6385" w:rsidRDefault="00EB6385" w:rsidP="00EB6385">
            <w:pPr>
              <w:pStyle w:val="NormalArial"/>
            </w:pPr>
            <w:r>
              <w:t>•  Model Maintenance (0.1 FTE Effort)</w:t>
            </w:r>
          </w:p>
          <w:p w14:paraId="7A3C9954" w14:textId="77777777" w:rsidR="00EB6385" w:rsidRDefault="00EB6385" w:rsidP="00EB6385">
            <w:pPr>
              <w:pStyle w:val="NormalArial"/>
            </w:pPr>
            <w:r>
              <w:t>•  Dynamic Studies (0.9 FTE Effort)</w:t>
            </w:r>
          </w:p>
          <w:p w14:paraId="01D3359D" w14:textId="101A346A" w:rsidR="00EB6385" w:rsidRDefault="00EB6385" w:rsidP="00EB6385">
            <w:pPr>
              <w:pStyle w:val="NormalArial"/>
            </w:pPr>
            <w:r>
              <w:t>•  Resource Integration (1.5 FTE</w:t>
            </w:r>
            <w:r w:rsidR="00E5581C">
              <w:t>s</w:t>
            </w:r>
            <w:r>
              <w:t xml:space="preserve"> Effort)</w:t>
            </w:r>
          </w:p>
          <w:p w14:paraId="1EBC7286" w14:textId="74B2F2D1" w:rsidR="00EB6385" w:rsidRDefault="00EB6385" w:rsidP="00EB6385">
            <w:pPr>
              <w:pStyle w:val="NormalArial"/>
            </w:pPr>
            <w:r>
              <w:t>•  Operations Stability Analysis (2.2 FTE</w:t>
            </w:r>
            <w:r w:rsidR="00E5581C">
              <w:t>s</w:t>
            </w:r>
            <w:r>
              <w:t xml:space="preserve"> Effort)</w:t>
            </w:r>
          </w:p>
          <w:p w14:paraId="3E8231C9" w14:textId="77777777" w:rsidR="00EB6385" w:rsidRDefault="00EB6385" w:rsidP="00EB6385">
            <w:pPr>
              <w:pStyle w:val="NormalArial"/>
            </w:pPr>
            <w:r>
              <w:t>•  Planning Model Administration (0.1 FTE Effort)</w:t>
            </w:r>
          </w:p>
          <w:p w14:paraId="23BCB1DB" w14:textId="77777777" w:rsidR="00EB6385" w:rsidRDefault="00EB6385" w:rsidP="00EB6385">
            <w:pPr>
              <w:pStyle w:val="NormalArial"/>
            </w:pPr>
          </w:p>
          <w:p w14:paraId="38C743C2" w14:textId="064E57B3" w:rsidR="00CB2C65" w:rsidRDefault="00A840D4" w:rsidP="00EB6385">
            <w:pPr>
              <w:pStyle w:val="NormalArial"/>
            </w:pPr>
            <w:r w:rsidRPr="005730C6">
              <w:rPr>
                <w:lang w:val="en"/>
              </w:rPr>
              <w:t xml:space="preserve">ERCOT has assessed its ability to absorb the ongoing efforts of this NPRR with current staff.  The volume of work is difficult to estimate.  Staffing levels approved in the 2026-2027 budget may be sufficient to meet this demand.  Impacted </w:t>
            </w:r>
            <w:r w:rsidRPr="005730C6">
              <w:t>departments may require additional FTEs in a future budget if 2026-2027 staffing levels cannot manage the transaction volumes</w:t>
            </w:r>
            <w:r>
              <w:t>.</w:t>
            </w:r>
          </w:p>
          <w:p w14:paraId="77EB2293" w14:textId="3745BD7F" w:rsidR="00A840D4" w:rsidRPr="00F02EB9" w:rsidRDefault="00A840D4" w:rsidP="00EB6385">
            <w:pPr>
              <w:pStyle w:val="NormalArial"/>
            </w:pP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772D52C1" w14:textId="057472AC" w:rsidR="00EB6385" w:rsidRDefault="00EB6385" w:rsidP="00EB6385">
            <w:pPr>
              <w:pStyle w:val="NormalArial"/>
              <w:numPr>
                <w:ilvl w:val="0"/>
                <w:numId w:val="7"/>
              </w:numPr>
              <w:rPr>
                <w:rFonts w:cs="Arial"/>
              </w:rPr>
            </w:pPr>
            <w:r w:rsidRPr="00EB6385">
              <w:rPr>
                <w:rFonts w:cs="Arial"/>
              </w:rPr>
              <w:t>Resource Integration and Ongoing Operations</w:t>
            </w:r>
            <w:r>
              <w:rPr>
                <w:rFonts w:cs="Arial"/>
              </w:rPr>
              <w:t xml:space="preserve">   78%</w:t>
            </w:r>
          </w:p>
          <w:p w14:paraId="334D27C4" w14:textId="414699B9" w:rsidR="00EB6385" w:rsidRDefault="00EB6385" w:rsidP="00EB6385">
            <w:pPr>
              <w:pStyle w:val="NormalArial"/>
              <w:numPr>
                <w:ilvl w:val="0"/>
                <w:numId w:val="7"/>
              </w:numPr>
              <w:rPr>
                <w:rFonts w:cs="Arial"/>
              </w:rPr>
            </w:pPr>
            <w:r w:rsidRPr="00EB6385">
              <w:rPr>
                <w:rFonts w:cs="Arial"/>
              </w:rPr>
              <w:t>Data Management &amp; Governance</w:t>
            </w:r>
            <w:r>
              <w:rPr>
                <w:rFonts w:cs="Arial"/>
              </w:rPr>
              <w:t xml:space="preserve">                       16%</w:t>
            </w:r>
          </w:p>
          <w:p w14:paraId="133BC0EF" w14:textId="3A9A2C2C" w:rsidR="00EB6385" w:rsidRDefault="00EB6385" w:rsidP="00EB6385">
            <w:pPr>
              <w:pStyle w:val="NormalArial"/>
              <w:numPr>
                <w:ilvl w:val="0"/>
                <w:numId w:val="7"/>
              </w:numPr>
              <w:rPr>
                <w:rFonts w:cs="Arial"/>
              </w:rPr>
            </w:pPr>
            <w:r w:rsidRPr="00EB6385">
              <w:rPr>
                <w:rFonts w:cs="Arial"/>
              </w:rPr>
              <w:t>Market Management System</w:t>
            </w:r>
            <w:r>
              <w:rPr>
                <w:rFonts w:cs="Arial"/>
              </w:rPr>
              <w:t xml:space="preserve">                                 4%</w:t>
            </w:r>
          </w:p>
          <w:p w14:paraId="1D762661" w14:textId="47A577A4" w:rsidR="00EB6385" w:rsidRDefault="00EB6385" w:rsidP="00EB6385">
            <w:pPr>
              <w:pStyle w:val="NormalArial"/>
              <w:numPr>
                <w:ilvl w:val="0"/>
                <w:numId w:val="7"/>
              </w:numPr>
              <w:rPr>
                <w:rFonts w:cs="Arial"/>
              </w:rPr>
            </w:pPr>
            <w:r w:rsidRPr="00EB6385">
              <w:rPr>
                <w:rFonts w:cs="Arial"/>
              </w:rPr>
              <w:t>Energy Management System</w:t>
            </w:r>
            <w:r>
              <w:rPr>
                <w:rFonts w:cs="Arial"/>
              </w:rPr>
              <w:t xml:space="preserve">                                 2%</w:t>
            </w:r>
          </w:p>
          <w:p w14:paraId="3F868CC6" w14:textId="24AD0524" w:rsidR="004B1BFC" w:rsidRPr="00FE71C0" w:rsidRDefault="004B1BFC" w:rsidP="00EB6385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350AAAE1" w:rsidR="004D252E" w:rsidRPr="009266AD" w:rsidRDefault="00EB6385" w:rsidP="00D54DC7">
            <w:pPr>
              <w:pStyle w:val="NormalArial"/>
              <w:rPr>
                <w:sz w:val="22"/>
                <w:szCs w:val="22"/>
              </w:rPr>
            </w:pPr>
            <w:r w:rsidRPr="00EB6385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lastRenderedPageBreak/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DA55" w14:textId="77777777" w:rsidR="002754B4" w:rsidRDefault="002754B4">
      <w:r>
        <w:separator/>
      </w:r>
    </w:p>
  </w:endnote>
  <w:endnote w:type="continuationSeparator" w:id="0">
    <w:p w14:paraId="319E550D" w14:textId="77777777" w:rsidR="002754B4" w:rsidRDefault="002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504CB1D0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D0A33">
      <w:rPr>
        <w:rFonts w:ascii="Arial" w:hAnsi="Arial"/>
        <w:noProof/>
        <w:sz w:val="18"/>
      </w:rPr>
      <w:t>1317NPRR-02 Impact Analysis 121925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4160" w14:textId="77777777" w:rsidR="002754B4" w:rsidRDefault="002754B4">
      <w:r>
        <w:separator/>
      </w:r>
    </w:p>
  </w:footnote>
  <w:footnote w:type="continuationSeparator" w:id="0">
    <w:p w14:paraId="052DA669" w14:textId="77777777" w:rsidR="002754B4" w:rsidRDefault="0027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B127D"/>
    <w:multiLevelType w:val="hybridMultilevel"/>
    <w:tmpl w:val="16C8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5"/>
  </w:num>
  <w:num w:numId="7" w16cid:durableId="96555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3F8D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54B4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275E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289A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544B"/>
    <w:rsid w:val="00687020"/>
    <w:rsid w:val="00690122"/>
    <w:rsid w:val="00693C95"/>
    <w:rsid w:val="006A16DB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0D4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451FF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0A33"/>
    <w:rsid w:val="00CD4198"/>
    <w:rsid w:val="00CD515E"/>
    <w:rsid w:val="00CE3D9D"/>
    <w:rsid w:val="00CF1A2F"/>
    <w:rsid w:val="00D027E7"/>
    <w:rsid w:val="00D074DE"/>
    <w:rsid w:val="00D16E69"/>
    <w:rsid w:val="00D17BA1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581C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B6385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1716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1958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13</cp:revision>
  <cp:lastPrinted>2007-01-12T13:31:00Z</cp:lastPrinted>
  <dcterms:created xsi:type="dcterms:W3CDTF">2025-08-04T17:59:00Z</dcterms:created>
  <dcterms:modified xsi:type="dcterms:W3CDTF">2025-12-19T19:02:00Z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