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8528" w14:textId="452462DC" w:rsidR="000D2AA6" w:rsidRDefault="00844D0B" w:rsidP="00287C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87C66" w:rsidRPr="00287C66">
        <w:rPr>
          <w:b/>
          <w:bCs/>
          <w:sz w:val="28"/>
          <w:szCs w:val="28"/>
        </w:rPr>
        <w:t>Planning Working Group (PLWG) Meeting Minutes</w:t>
      </w:r>
    </w:p>
    <w:p w14:paraId="1EE0C269" w14:textId="4ABEEAD7" w:rsidR="00A765CC" w:rsidRPr="00A765CC" w:rsidRDefault="00160DC5" w:rsidP="00287C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18</w:t>
      </w:r>
      <w:r w:rsidR="00287C66" w:rsidRPr="00287C66">
        <w:rPr>
          <w:b/>
          <w:bCs/>
          <w:sz w:val="28"/>
          <w:szCs w:val="28"/>
        </w:rPr>
        <w:t>, 2025 (</w:t>
      </w:r>
      <w:proofErr w:type="spellStart"/>
      <w:r w:rsidR="00287C66" w:rsidRPr="00287C66">
        <w:rPr>
          <w:b/>
          <w:bCs/>
          <w:sz w:val="28"/>
          <w:szCs w:val="28"/>
        </w:rPr>
        <w:t>WebEx</w:t>
      </w:r>
      <w:proofErr w:type="spellEnd"/>
      <w:r w:rsidR="00396FBA">
        <w:rPr>
          <w:b/>
          <w:bCs/>
          <w:sz w:val="28"/>
          <w:szCs w:val="28"/>
        </w:rPr>
        <w:t xml:space="preserve"> Only</w:t>
      </w:r>
      <w:r w:rsidR="00287C66" w:rsidRPr="00287C66">
        <w:rPr>
          <w:b/>
          <w:bCs/>
          <w:sz w:val="28"/>
          <w:szCs w:val="28"/>
        </w:rPr>
        <w:t>)</w:t>
      </w:r>
    </w:p>
    <w:tbl>
      <w:tblPr>
        <w:tblW w:w="49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7110"/>
        <w:gridCol w:w="1620"/>
      </w:tblGrid>
      <w:tr w:rsidR="0056135A" w:rsidRPr="00A765CC" w14:paraId="2C1C752A" w14:textId="77777777" w:rsidTr="0056135A">
        <w:trPr>
          <w:trHeight w:val="630"/>
        </w:trPr>
        <w:tc>
          <w:tcPr>
            <w:tcW w:w="291" w:type="pct"/>
            <w:hideMark/>
          </w:tcPr>
          <w:p w14:paraId="2F8EFA68" w14:textId="77777777" w:rsidR="0056135A" w:rsidRPr="00A765CC" w:rsidRDefault="0056135A" w:rsidP="00A765CC">
            <w:r w:rsidRPr="00A765CC">
              <w:rPr>
                <w:b/>
                <w:bCs/>
              </w:rPr>
              <w:t>1.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23D7672" w14:textId="77777777" w:rsidR="0056135A" w:rsidRDefault="0056135A" w:rsidP="00A765CC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Antitrust Admonition</w:t>
            </w:r>
          </w:p>
          <w:p w14:paraId="1B292D78" w14:textId="3DB2DDFB" w:rsidR="0056135A" w:rsidRPr="00A765CC" w:rsidRDefault="00DC7FCA" w:rsidP="00A765CC">
            <w:r>
              <w:t xml:space="preserve">Meeting </w:t>
            </w:r>
            <w:r w:rsidR="007B7E9D">
              <w:t xml:space="preserve">started </w:t>
            </w:r>
            <w:r>
              <w:t xml:space="preserve">at </w:t>
            </w:r>
            <w:r w:rsidR="00160DC5">
              <w:t>9:30 am</w:t>
            </w:r>
            <w:r>
              <w:t xml:space="preserve">. </w:t>
            </w:r>
            <w:r w:rsidR="0056135A">
              <w:t>Antitrust admonition was given.</w:t>
            </w:r>
          </w:p>
        </w:tc>
        <w:tc>
          <w:tcPr>
            <w:tcW w:w="874" w:type="pct"/>
            <w:hideMark/>
          </w:tcPr>
          <w:p w14:paraId="15C2053A" w14:textId="77777777" w:rsidR="0056135A" w:rsidRPr="00A765CC" w:rsidRDefault="0056135A" w:rsidP="00A765CC">
            <w:r w:rsidRPr="00A765CC">
              <w:rPr>
                <w:b/>
                <w:bCs/>
              </w:rPr>
              <w:t>Chair</w:t>
            </w:r>
          </w:p>
        </w:tc>
      </w:tr>
      <w:tr w:rsidR="0056135A" w:rsidRPr="00A765CC" w14:paraId="4A04B9CE" w14:textId="77777777" w:rsidTr="0056135A">
        <w:trPr>
          <w:trHeight w:val="630"/>
        </w:trPr>
        <w:tc>
          <w:tcPr>
            <w:tcW w:w="291" w:type="pct"/>
            <w:hideMark/>
          </w:tcPr>
          <w:p w14:paraId="5AC78C3F" w14:textId="77777777" w:rsidR="0056135A" w:rsidRPr="00A765CC" w:rsidRDefault="0056135A" w:rsidP="00A765CC">
            <w:r w:rsidRPr="00A765CC">
              <w:rPr>
                <w:b/>
                <w:bCs/>
              </w:rPr>
              <w:t>2.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D6A44C6" w14:textId="77777777" w:rsidR="0056135A" w:rsidRDefault="0056135A" w:rsidP="00A765CC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Agenda Review</w:t>
            </w:r>
          </w:p>
          <w:p w14:paraId="345C2B5F" w14:textId="03AFE6BC" w:rsidR="0056135A" w:rsidRPr="00A765CC" w:rsidRDefault="0056135A" w:rsidP="00A765CC">
            <w:r>
              <w:t>Agenda was reviewed.</w:t>
            </w:r>
          </w:p>
        </w:tc>
        <w:tc>
          <w:tcPr>
            <w:tcW w:w="874" w:type="pct"/>
            <w:hideMark/>
          </w:tcPr>
          <w:p w14:paraId="4EF8B739" w14:textId="77777777" w:rsidR="0056135A" w:rsidRPr="00A765CC" w:rsidRDefault="0056135A" w:rsidP="00A765CC">
            <w:r w:rsidRPr="00A765CC">
              <w:rPr>
                <w:b/>
                <w:bCs/>
              </w:rPr>
              <w:t>Chair</w:t>
            </w:r>
          </w:p>
        </w:tc>
      </w:tr>
      <w:tr w:rsidR="0056135A" w:rsidRPr="00A765CC" w14:paraId="7FD5B6DD" w14:textId="77777777" w:rsidTr="0056135A">
        <w:trPr>
          <w:trHeight w:val="630"/>
        </w:trPr>
        <w:tc>
          <w:tcPr>
            <w:tcW w:w="291" w:type="pct"/>
            <w:hideMark/>
          </w:tcPr>
          <w:p w14:paraId="3258EB6E" w14:textId="77777777" w:rsidR="0056135A" w:rsidRPr="00A765CC" w:rsidRDefault="0056135A" w:rsidP="00A765CC">
            <w:r w:rsidRPr="00A765CC">
              <w:rPr>
                <w:b/>
                <w:bCs/>
              </w:rPr>
              <w:t>3.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418ACD8" w14:textId="2153952A" w:rsidR="0056135A" w:rsidRDefault="0056135A" w:rsidP="00A765CC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Review of PLWG Meeting Minutes (</w:t>
            </w:r>
            <w:r w:rsidR="00160DC5">
              <w:rPr>
                <w:b/>
                <w:bCs/>
              </w:rPr>
              <w:t>October 28th</w:t>
            </w:r>
            <w:r w:rsidRPr="00A765CC">
              <w:rPr>
                <w:b/>
                <w:bCs/>
              </w:rPr>
              <w:t>)</w:t>
            </w:r>
          </w:p>
          <w:p w14:paraId="184C9B67" w14:textId="2DEFC10A" w:rsidR="0056135A" w:rsidRPr="00A765CC" w:rsidRDefault="00160DC5" w:rsidP="00A765CC">
            <w:r>
              <w:t>Meeting minutes have not yet been posted. Will review October and November meeting minutes at the December PLWG meeting.</w:t>
            </w:r>
          </w:p>
        </w:tc>
        <w:tc>
          <w:tcPr>
            <w:tcW w:w="874" w:type="pct"/>
            <w:hideMark/>
          </w:tcPr>
          <w:p w14:paraId="4DF279FC" w14:textId="77777777" w:rsidR="0056135A" w:rsidRPr="00A765CC" w:rsidRDefault="0056135A" w:rsidP="00A765CC">
            <w:r w:rsidRPr="00A765CC">
              <w:rPr>
                <w:b/>
                <w:bCs/>
              </w:rPr>
              <w:t>Chair</w:t>
            </w:r>
          </w:p>
        </w:tc>
      </w:tr>
      <w:tr w:rsidR="00D2235E" w:rsidRPr="00A765CC" w14:paraId="2D614973" w14:textId="77777777" w:rsidTr="007A560F">
        <w:trPr>
          <w:trHeight w:val="630"/>
        </w:trPr>
        <w:tc>
          <w:tcPr>
            <w:tcW w:w="291" w:type="pct"/>
          </w:tcPr>
          <w:p w14:paraId="13765B9D" w14:textId="7094BA63" w:rsidR="00D2235E" w:rsidRDefault="00D2235E" w:rsidP="007A560F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A0B5DD" w14:textId="04956C16" w:rsidR="00D2235E" w:rsidRPr="00D2235E" w:rsidRDefault="00D2235E" w:rsidP="007A560F">
            <w:pPr>
              <w:rPr>
                <w:b/>
                <w:bCs/>
              </w:rPr>
            </w:pPr>
            <w:r w:rsidRPr="00134CED">
              <w:rPr>
                <w:b/>
                <w:bCs/>
              </w:rPr>
              <w:t>PGRR 127</w:t>
            </w:r>
            <w:r>
              <w:rPr>
                <w:b/>
                <w:bCs/>
              </w:rPr>
              <w:t xml:space="preserve"> – </w:t>
            </w:r>
            <w:r w:rsidRPr="008269AF">
              <w:rPr>
                <w:b/>
                <w:bCs/>
              </w:rPr>
              <w:t>Addition</w:t>
            </w:r>
            <w:r>
              <w:rPr>
                <w:b/>
                <w:bCs/>
              </w:rPr>
              <w:t xml:space="preserve"> </w:t>
            </w:r>
            <w:r w:rsidRPr="008269AF">
              <w:rPr>
                <w:b/>
                <w:bCs/>
              </w:rPr>
              <w:t>of Proposed Generation to the Planning Models</w:t>
            </w:r>
          </w:p>
        </w:tc>
        <w:tc>
          <w:tcPr>
            <w:tcW w:w="874" w:type="pct"/>
          </w:tcPr>
          <w:p w14:paraId="7F6DABB5" w14:textId="63ED0093" w:rsidR="00D2235E" w:rsidRDefault="00C84D72" w:rsidP="007A560F">
            <w:pPr>
              <w:rPr>
                <w:b/>
                <w:bCs/>
              </w:rPr>
            </w:pPr>
            <w:r>
              <w:rPr>
                <w:b/>
                <w:bCs/>
              </w:rPr>
              <w:t>Chair</w:t>
            </w:r>
          </w:p>
        </w:tc>
      </w:tr>
      <w:tr w:rsidR="0029388E" w:rsidRPr="00A765CC" w14:paraId="09973C2A" w14:textId="77777777" w:rsidTr="0056135A">
        <w:trPr>
          <w:trHeight w:val="630"/>
        </w:trPr>
        <w:tc>
          <w:tcPr>
            <w:tcW w:w="291" w:type="pct"/>
          </w:tcPr>
          <w:p w14:paraId="1C8E9208" w14:textId="77777777" w:rsidR="0029388E" w:rsidRPr="009B00D1" w:rsidRDefault="0029388E" w:rsidP="00A765CC"/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0FC8914" w14:textId="298204F2" w:rsidR="00975E8A" w:rsidRDefault="000D31A9" w:rsidP="00A765CC">
            <w:r>
              <w:t xml:space="preserve">LCRA comments </w:t>
            </w:r>
            <w:r w:rsidR="003948E8">
              <w:t xml:space="preserve">filed 10-29 </w:t>
            </w:r>
            <w:r>
              <w:t>memorialized the discussion at last month’s PLWG. Expect to reach consensus and report to ROS.</w:t>
            </w:r>
          </w:p>
          <w:p w14:paraId="4AC09593" w14:textId="701A689F" w:rsidR="00310042" w:rsidRDefault="0075108E" w:rsidP="00A765CC">
            <w:r>
              <w:t>Raja Kakarla (CenterPoint) – A comment and suggested desktop edit</w:t>
            </w:r>
            <w:r w:rsidR="00DA3F05">
              <w:t xml:space="preserve"> to</w:t>
            </w:r>
            <w:r w:rsidR="0088789C">
              <w:t xml:space="preserve"> (5)(a) “have a signed SGIA and completed the FIS”</w:t>
            </w:r>
            <w:r w:rsidR="006E510B">
              <w:t xml:space="preserve">. </w:t>
            </w:r>
            <w:r w:rsidR="00310042">
              <w:t xml:space="preserve">Raja’s concerns </w:t>
            </w:r>
            <w:r w:rsidR="00DA3F05">
              <w:t xml:space="preserve">were </w:t>
            </w:r>
            <w:r w:rsidR="00310042">
              <w:t>addressed through discussion</w:t>
            </w:r>
            <w:r w:rsidR="006E510B">
              <w:t xml:space="preserve"> with ERCOT</w:t>
            </w:r>
            <w:r w:rsidR="00310042">
              <w:t xml:space="preserve"> and no longer requests the </w:t>
            </w:r>
            <w:r w:rsidR="004760CE">
              <w:t>desktop edit originally proposed.</w:t>
            </w:r>
          </w:p>
          <w:p w14:paraId="24850CEF" w14:textId="5748CEFB" w:rsidR="000334CF" w:rsidRPr="009B00D1" w:rsidRDefault="000334CF" w:rsidP="00A765CC">
            <w:r>
              <w:t>Trevor Safko (LCRA) p</w:t>
            </w:r>
            <w:r w:rsidR="001E1300">
              <w:t>rovided a presentation of modeling examples (posted to meeting materials).</w:t>
            </w:r>
          </w:p>
        </w:tc>
        <w:tc>
          <w:tcPr>
            <w:tcW w:w="874" w:type="pct"/>
          </w:tcPr>
          <w:p w14:paraId="1F4DE001" w14:textId="77777777" w:rsidR="0029388E" w:rsidRPr="009B00D1" w:rsidRDefault="0029388E" w:rsidP="00A765CC"/>
        </w:tc>
      </w:tr>
      <w:tr w:rsidR="00975E8A" w:rsidRPr="00A765CC" w14:paraId="14DB2C52" w14:textId="77777777" w:rsidTr="0056135A">
        <w:trPr>
          <w:trHeight w:val="630"/>
        </w:trPr>
        <w:tc>
          <w:tcPr>
            <w:tcW w:w="291" w:type="pct"/>
          </w:tcPr>
          <w:p w14:paraId="2BC7D8A9" w14:textId="77777777" w:rsidR="00975E8A" w:rsidRPr="003B6C94" w:rsidRDefault="00975E8A" w:rsidP="00A765CC">
            <w:pPr>
              <w:rPr>
                <w:b/>
                <w:bCs/>
                <w:i/>
                <w:i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CCF9281" w14:textId="2A7163C3" w:rsidR="00975E8A" w:rsidRPr="003B6C94" w:rsidRDefault="00975E8A" w:rsidP="00A765CC">
            <w:pPr>
              <w:rPr>
                <w:b/>
                <w:bCs/>
                <w:i/>
                <w:iCs/>
              </w:rPr>
            </w:pPr>
            <w:r w:rsidRPr="003B6C94">
              <w:rPr>
                <w:b/>
                <w:bCs/>
                <w:i/>
                <w:iCs/>
              </w:rPr>
              <w:t xml:space="preserve">Action Taken: </w:t>
            </w:r>
            <w:r w:rsidR="000B7BB3">
              <w:rPr>
                <w:b/>
                <w:bCs/>
                <w:i/>
                <w:iCs/>
              </w:rPr>
              <w:t>Consensus reached on PGRR127 and will forward LCRA comments to ROS.</w:t>
            </w:r>
          </w:p>
        </w:tc>
        <w:tc>
          <w:tcPr>
            <w:tcW w:w="874" w:type="pct"/>
          </w:tcPr>
          <w:p w14:paraId="323420CD" w14:textId="77777777" w:rsidR="00975E8A" w:rsidRPr="009B00D1" w:rsidRDefault="00975E8A" w:rsidP="00A765CC"/>
        </w:tc>
      </w:tr>
      <w:tr w:rsidR="00902A66" w:rsidRPr="00A765CC" w14:paraId="4FC69B35" w14:textId="77777777" w:rsidTr="007A560F">
        <w:trPr>
          <w:trHeight w:val="630"/>
        </w:trPr>
        <w:tc>
          <w:tcPr>
            <w:tcW w:w="291" w:type="pct"/>
          </w:tcPr>
          <w:p w14:paraId="08868242" w14:textId="34B988B2" w:rsidR="00902A66" w:rsidRDefault="00902A66" w:rsidP="007A560F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FA214E" w14:textId="67231D43" w:rsidR="00902A66" w:rsidRPr="00902A66" w:rsidRDefault="00902A66" w:rsidP="007A560F">
            <w:pPr>
              <w:rPr>
                <w:b/>
                <w:bCs/>
              </w:rPr>
            </w:pPr>
            <w:r w:rsidRPr="00134CED">
              <w:rPr>
                <w:b/>
                <w:bCs/>
              </w:rPr>
              <w:t>PGRR 128</w:t>
            </w:r>
            <w:r>
              <w:rPr>
                <w:b/>
                <w:bCs/>
              </w:rPr>
              <w:t xml:space="preserve"> - </w:t>
            </w:r>
            <w:r w:rsidRPr="00D724A0">
              <w:rPr>
                <w:b/>
                <w:bCs/>
              </w:rPr>
              <w:t>Regional Transmission Plan Review of Grid Enhancing Technologies</w:t>
            </w:r>
          </w:p>
        </w:tc>
        <w:tc>
          <w:tcPr>
            <w:tcW w:w="874" w:type="pct"/>
          </w:tcPr>
          <w:p w14:paraId="7FDCAC30" w14:textId="713DAFA1" w:rsidR="00902A66" w:rsidRDefault="00E20B96" w:rsidP="007A560F">
            <w:pPr>
              <w:rPr>
                <w:b/>
                <w:bCs/>
              </w:rPr>
            </w:pPr>
            <w:r>
              <w:rPr>
                <w:b/>
                <w:bCs/>
              </w:rPr>
              <w:t>PLWG</w:t>
            </w:r>
          </w:p>
        </w:tc>
      </w:tr>
      <w:tr w:rsidR="001F68E6" w:rsidRPr="00A765CC" w14:paraId="250F016D" w14:textId="77777777" w:rsidTr="0056135A">
        <w:trPr>
          <w:trHeight w:val="630"/>
        </w:trPr>
        <w:tc>
          <w:tcPr>
            <w:tcW w:w="291" w:type="pct"/>
          </w:tcPr>
          <w:p w14:paraId="66F6C040" w14:textId="77777777" w:rsidR="001F68E6" w:rsidRPr="009B00D1" w:rsidRDefault="001F68E6" w:rsidP="00A765CC"/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3B0F4D" w14:textId="6519EE45" w:rsidR="0068519F" w:rsidRDefault="00A446D3" w:rsidP="00A765CC">
            <w:r>
              <w:t>No new comments. Ju</w:t>
            </w:r>
            <w:r w:rsidR="0068519F">
              <w:t xml:space="preserve">lia </w:t>
            </w:r>
            <w:r w:rsidR="00CD24C9">
              <w:t xml:space="preserve">Selker </w:t>
            </w:r>
            <w:r w:rsidR="0068519F">
              <w:t>(WATT coalition)</w:t>
            </w:r>
            <w:r>
              <w:t xml:space="preserve"> had </w:t>
            </w:r>
            <w:proofErr w:type="gramStart"/>
            <w:r>
              <w:t>noted</w:t>
            </w:r>
            <w:proofErr w:type="gramEnd"/>
            <w:r>
              <w:t xml:space="preserve"> last meeting that their group planned to file</w:t>
            </w:r>
            <w:r w:rsidR="00CD24C9">
              <w:t xml:space="preserve"> additional comments.</w:t>
            </w:r>
            <w:r>
              <w:t xml:space="preserve"> </w:t>
            </w:r>
          </w:p>
          <w:p w14:paraId="7BEAA2A8" w14:textId="0A8A39DE" w:rsidR="009C7D29" w:rsidRDefault="00284540" w:rsidP="00A765CC">
            <w:r>
              <w:t xml:space="preserve">Bryn Baker shared - </w:t>
            </w:r>
            <w:r w:rsidR="009C7D29">
              <w:t xml:space="preserve">Working to revise the proposal, file, and discuss </w:t>
            </w:r>
            <w:proofErr w:type="gramStart"/>
            <w:r w:rsidR="009C7D29">
              <w:t>at</w:t>
            </w:r>
            <w:proofErr w:type="gramEnd"/>
            <w:r w:rsidR="009C7D29">
              <w:t xml:space="preserve"> December PLWG.</w:t>
            </w:r>
            <w:r w:rsidR="00CF05CF">
              <w:t xml:space="preserve"> High-level plan </w:t>
            </w:r>
            <w:r w:rsidR="00C1031F">
              <w:t xml:space="preserve">is </w:t>
            </w:r>
            <w:r w:rsidR="00CF05CF">
              <w:t>to move the process from RTP to the RPG.</w:t>
            </w:r>
          </w:p>
          <w:p w14:paraId="233A4133" w14:textId="25D9AF89" w:rsidR="00CD24C9" w:rsidRPr="00171659" w:rsidRDefault="00CD24C9" w:rsidP="00A765CC">
            <w:pPr>
              <w:rPr>
                <w:b/>
                <w:bCs/>
              </w:rPr>
            </w:pPr>
            <w:r w:rsidRPr="00C1031F">
              <w:rPr>
                <w:b/>
                <w:bCs/>
                <w:i/>
                <w:iCs/>
              </w:rPr>
              <w:t xml:space="preserve">Action Taken: Tabled awaiting further comments and </w:t>
            </w:r>
            <w:r w:rsidR="00171659" w:rsidRPr="00C1031F">
              <w:rPr>
                <w:b/>
                <w:bCs/>
                <w:i/>
                <w:iCs/>
              </w:rPr>
              <w:t xml:space="preserve">encourage </w:t>
            </w:r>
            <w:r w:rsidRPr="00C1031F">
              <w:rPr>
                <w:b/>
                <w:bCs/>
                <w:i/>
                <w:iCs/>
              </w:rPr>
              <w:t xml:space="preserve">TEBA to consider offline conversation with </w:t>
            </w:r>
            <w:proofErr w:type="spellStart"/>
            <w:r w:rsidR="00171659" w:rsidRPr="00C1031F">
              <w:rPr>
                <w:b/>
                <w:bCs/>
                <w:i/>
                <w:iCs/>
              </w:rPr>
              <w:t>TSPs</w:t>
            </w:r>
            <w:r w:rsidR="00171659" w:rsidRPr="00171659">
              <w:rPr>
                <w:b/>
                <w:bCs/>
              </w:rPr>
              <w:t>.</w:t>
            </w:r>
            <w:proofErr w:type="spellEnd"/>
          </w:p>
        </w:tc>
        <w:tc>
          <w:tcPr>
            <w:tcW w:w="874" w:type="pct"/>
          </w:tcPr>
          <w:p w14:paraId="0CE4153A" w14:textId="0118336A" w:rsidR="001F68E6" w:rsidRPr="009B00D1" w:rsidRDefault="001F68E6" w:rsidP="00A765CC"/>
        </w:tc>
      </w:tr>
      <w:tr w:rsidR="000E6247" w:rsidRPr="00A765CC" w14:paraId="36FDCACC" w14:textId="77777777" w:rsidTr="0056135A">
        <w:trPr>
          <w:trHeight w:val="630"/>
        </w:trPr>
        <w:tc>
          <w:tcPr>
            <w:tcW w:w="291" w:type="pct"/>
          </w:tcPr>
          <w:p w14:paraId="4996BB3B" w14:textId="3BFCBB6E" w:rsidR="000E6247" w:rsidRDefault="000E6247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85F8115" w14:textId="77777777" w:rsidR="000E6247" w:rsidRDefault="000E6247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PGRR 130 – Related to NPRR1295, GTC Exit Solutions</w:t>
            </w:r>
          </w:p>
          <w:p w14:paraId="2576E977" w14:textId="1A080F5C" w:rsidR="000E6247" w:rsidRDefault="00542545" w:rsidP="000E6247">
            <w:r>
              <w:t xml:space="preserve">No new comments posted after the sponsors’ introduction last month. </w:t>
            </w:r>
          </w:p>
          <w:p w14:paraId="3699B16F" w14:textId="6A204E26" w:rsidR="00705EC8" w:rsidRPr="006564B7" w:rsidRDefault="00105E80" w:rsidP="00D13B3B">
            <w:r>
              <w:lastRenderedPageBreak/>
              <w:t xml:space="preserve">Alex Miller (EDF) – </w:t>
            </w:r>
            <w:r w:rsidR="00C1031F">
              <w:t xml:space="preserve">Sponsors </w:t>
            </w:r>
            <w:r>
              <w:t>plan to have a conversation at upcoming SAWG meeting and hope to have more to discuss at</w:t>
            </w:r>
            <w:r w:rsidR="00D13B3B">
              <w:t xml:space="preserve"> the</w:t>
            </w:r>
            <w:r>
              <w:t xml:space="preserve"> December PLWG meeting.</w:t>
            </w:r>
            <w:r w:rsidR="00C1031F">
              <w:t xml:space="preserve"> </w:t>
            </w:r>
            <w:r w:rsidR="00B90597">
              <w:t xml:space="preserve">A key goal is to </w:t>
            </w:r>
            <w:r w:rsidR="00D13B3B">
              <w:t>look for system</w:t>
            </w:r>
            <w:r w:rsidR="000A35B1">
              <w:t xml:space="preserve"> upgrades </w:t>
            </w:r>
            <w:r w:rsidR="00D13B3B">
              <w:t xml:space="preserve">that </w:t>
            </w:r>
            <w:r w:rsidR="000A35B1">
              <w:t>would help raise the limits so that a GTC is less likely to bind</w:t>
            </w:r>
            <w:r w:rsidR="00D13B3B">
              <w:t>.</w:t>
            </w:r>
            <w:r w:rsidR="00C1031F">
              <w:t xml:space="preserve"> Also noted </w:t>
            </w:r>
            <w:r w:rsidR="00B90597">
              <w:t>the sponsors are</w:t>
            </w:r>
            <w:r w:rsidR="00133434">
              <w:t xml:space="preserve"> open to reducing frequency of the evaluation to every 3 years.</w:t>
            </w:r>
          </w:p>
        </w:tc>
        <w:tc>
          <w:tcPr>
            <w:tcW w:w="874" w:type="pct"/>
          </w:tcPr>
          <w:p w14:paraId="4138B17C" w14:textId="666B0E59" w:rsidR="000E6247" w:rsidRDefault="00E20B96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PLWG</w:t>
            </w:r>
          </w:p>
        </w:tc>
      </w:tr>
      <w:tr w:rsidR="000E6247" w:rsidRPr="00A765CC" w14:paraId="0EA88CFA" w14:textId="77777777" w:rsidTr="00F706CF">
        <w:trPr>
          <w:trHeight w:val="630"/>
        </w:trPr>
        <w:tc>
          <w:tcPr>
            <w:tcW w:w="291" w:type="pct"/>
            <w:hideMark/>
          </w:tcPr>
          <w:p w14:paraId="1D9F2B57" w14:textId="0D814F7D" w:rsidR="000E6247" w:rsidRPr="00634629" w:rsidRDefault="000E6247" w:rsidP="000E6247">
            <w:pPr>
              <w:rPr>
                <w:b/>
                <w:b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D63324B" w14:textId="175594F1" w:rsidR="000E6247" w:rsidRPr="00BD5CC9" w:rsidRDefault="000E6247" w:rsidP="000E6247">
            <w:pPr>
              <w:rPr>
                <w:b/>
                <w:bCs/>
                <w:i/>
                <w:iCs/>
              </w:rPr>
            </w:pPr>
            <w:r w:rsidRPr="00B61C5D">
              <w:rPr>
                <w:b/>
                <w:bCs/>
                <w:i/>
                <w:iCs/>
              </w:rPr>
              <w:t>Action</w:t>
            </w:r>
            <w:r w:rsidR="00F12FA1">
              <w:rPr>
                <w:b/>
                <w:bCs/>
                <w:i/>
                <w:iCs/>
              </w:rPr>
              <w:t xml:space="preserve"> Taken</w:t>
            </w:r>
            <w:r w:rsidRPr="00B61C5D">
              <w:rPr>
                <w:b/>
                <w:bCs/>
                <w:i/>
                <w:iCs/>
              </w:rPr>
              <w:t>:</w:t>
            </w:r>
            <w:r w:rsidR="00F12FA1">
              <w:rPr>
                <w:b/>
                <w:bCs/>
                <w:i/>
                <w:iCs/>
              </w:rPr>
              <w:t xml:space="preserve"> </w:t>
            </w:r>
            <w:r w:rsidR="00F12FA1" w:rsidRPr="00BD5CC9">
              <w:rPr>
                <w:b/>
                <w:bCs/>
                <w:i/>
                <w:iCs/>
              </w:rPr>
              <w:t>Tabled</w:t>
            </w:r>
            <w:r w:rsidR="00BD5CC9" w:rsidRPr="00BD5CC9">
              <w:rPr>
                <w:b/>
                <w:bCs/>
                <w:i/>
                <w:iCs/>
              </w:rPr>
              <w:t xml:space="preserve"> to next PLWG meeting.</w:t>
            </w:r>
          </w:p>
        </w:tc>
        <w:tc>
          <w:tcPr>
            <w:tcW w:w="874" w:type="pct"/>
            <w:hideMark/>
          </w:tcPr>
          <w:p w14:paraId="318D23F0" w14:textId="213E04DB" w:rsidR="000E6247" w:rsidRPr="002D22AD" w:rsidRDefault="000E6247" w:rsidP="000E6247">
            <w:pPr>
              <w:rPr>
                <w:b/>
                <w:bCs/>
              </w:rPr>
            </w:pPr>
          </w:p>
        </w:tc>
      </w:tr>
      <w:tr w:rsidR="00B07212" w:rsidRPr="00A765CC" w14:paraId="77D1550A" w14:textId="77777777" w:rsidTr="0056135A">
        <w:trPr>
          <w:trHeight w:val="630"/>
        </w:trPr>
        <w:tc>
          <w:tcPr>
            <w:tcW w:w="291" w:type="pct"/>
          </w:tcPr>
          <w:p w14:paraId="23A0E321" w14:textId="1D4E08C5" w:rsidR="00B07212" w:rsidRDefault="00E20B96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07212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8637C8" w14:textId="77777777" w:rsidR="00B07212" w:rsidRPr="00B07212" w:rsidRDefault="00B07212" w:rsidP="00B07212">
            <w:pPr>
              <w:rPr>
                <w:b/>
                <w:bCs/>
              </w:rPr>
            </w:pPr>
            <w:r w:rsidRPr="00B07212">
              <w:rPr>
                <w:b/>
                <w:bCs/>
              </w:rPr>
              <w:t>NPRR 1286 – Establish Multi-Value Criteria for Resiliency-Related Transmission Project Evaluation</w:t>
            </w:r>
          </w:p>
          <w:p w14:paraId="2AEDA476" w14:textId="215D8A1B" w:rsidR="00B07212" w:rsidRDefault="00E45CA4" w:rsidP="000E6247">
            <w:r>
              <w:t>No new comments since ERCOT’s 10/20</w:t>
            </w:r>
            <w:r w:rsidR="00B70A5D">
              <w:t xml:space="preserve"> comments that were discussed at the previous PLWG meeting.</w:t>
            </w:r>
          </w:p>
          <w:p w14:paraId="394839C5" w14:textId="4C29C3EF" w:rsidR="00603E5F" w:rsidRPr="006967B2" w:rsidRDefault="00603E5F" w:rsidP="000E6247">
            <w:r>
              <w:t xml:space="preserve">Warren Lasher (TXOGA) – </w:t>
            </w:r>
            <w:r w:rsidR="00B70A5D">
              <w:t>Request the group to consider tabling one</w:t>
            </w:r>
            <w:r>
              <w:t xml:space="preserve"> more month. </w:t>
            </w:r>
            <w:r w:rsidR="00B70A5D">
              <w:t>TXOGA supports LCRA</w:t>
            </w:r>
            <w:r w:rsidR="00F138E1">
              <w:t xml:space="preserve"> / John Russ Hubbard’s comments on this item</w:t>
            </w:r>
            <w:r>
              <w:t xml:space="preserve">. Concerns that the original ERCOT proposal led to arbitrary assignment costs </w:t>
            </w:r>
            <w:r w:rsidR="00043B8F">
              <w:t>from these resilience projects.</w:t>
            </w:r>
          </w:p>
          <w:p w14:paraId="6E3641B3" w14:textId="4EC45EFD" w:rsidR="00CB6B44" w:rsidRPr="006967B2" w:rsidRDefault="00F125EB" w:rsidP="00F15692">
            <w:pPr>
              <w:rPr>
                <w:b/>
                <w:bCs/>
                <w:i/>
                <w:iCs/>
              </w:rPr>
            </w:pPr>
            <w:r w:rsidRPr="006967B2">
              <w:rPr>
                <w:b/>
                <w:bCs/>
                <w:i/>
                <w:iCs/>
              </w:rPr>
              <w:t>Action taken: Tabled</w:t>
            </w:r>
            <w:r w:rsidR="00A80BBF">
              <w:rPr>
                <w:b/>
                <w:bCs/>
                <w:i/>
                <w:iCs/>
              </w:rPr>
              <w:t xml:space="preserve"> </w:t>
            </w:r>
            <w:r w:rsidR="00F138E1">
              <w:rPr>
                <w:b/>
                <w:bCs/>
                <w:i/>
                <w:iCs/>
              </w:rPr>
              <w:t xml:space="preserve">NPRR1286 </w:t>
            </w:r>
            <w:r w:rsidR="00A80BBF">
              <w:rPr>
                <w:b/>
                <w:bCs/>
                <w:i/>
                <w:iCs/>
              </w:rPr>
              <w:t>one more month.</w:t>
            </w:r>
          </w:p>
        </w:tc>
        <w:tc>
          <w:tcPr>
            <w:tcW w:w="874" w:type="pct"/>
          </w:tcPr>
          <w:p w14:paraId="328372A1" w14:textId="4417FA67" w:rsidR="00B07212" w:rsidRDefault="006967B2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PLWG</w:t>
            </w:r>
          </w:p>
        </w:tc>
      </w:tr>
      <w:tr w:rsidR="006967B2" w:rsidRPr="00A765CC" w14:paraId="0F38B0FA" w14:textId="77777777" w:rsidTr="00240829">
        <w:trPr>
          <w:trHeight w:val="345"/>
        </w:trPr>
        <w:tc>
          <w:tcPr>
            <w:tcW w:w="291" w:type="pct"/>
          </w:tcPr>
          <w:p w14:paraId="32ED6411" w14:textId="0FB71C7A" w:rsidR="006967B2" w:rsidRDefault="006967B2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F6936A" w14:textId="77777777" w:rsidR="006967B2" w:rsidRPr="00912DDF" w:rsidRDefault="006967B2" w:rsidP="000E6247">
            <w:pPr>
              <w:rPr>
                <w:b/>
              </w:rPr>
            </w:pPr>
            <w:r w:rsidRPr="00912DDF">
              <w:rPr>
                <w:b/>
              </w:rPr>
              <w:t>PGRR126 – Related to NPRR1284, Guaranteed Reliability Load Process</w:t>
            </w:r>
          </w:p>
          <w:p w14:paraId="5824AA47" w14:textId="0D3E5D53" w:rsidR="00F6110A" w:rsidRPr="00912DDF" w:rsidRDefault="00ED7E1C" w:rsidP="000E6247">
            <w:pPr>
              <w:rPr>
                <w:bCs/>
              </w:rPr>
            </w:pPr>
            <w:r>
              <w:rPr>
                <w:bCs/>
              </w:rPr>
              <w:t xml:space="preserve">Clayton Greer stated </w:t>
            </w:r>
            <w:r w:rsidR="00C060F9">
              <w:rPr>
                <w:bCs/>
              </w:rPr>
              <w:t xml:space="preserve">there was no need to review his presentation, as discussion occurred with </w:t>
            </w:r>
            <w:r w:rsidR="00347FBE" w:rsidRPr="00912DDF">
              <w:rPr>
                <w:bCs/>
              </w:rPr>
              <w:t>Item #9 and not discussed separately.</w:t>
            </w:r>
            <w:r w:rsidR="00403E87">
              <w:rPr>
                <w:bCs/>
              </w:rPr>
              <w:t xml:space="preserve"> No action taken.</w:t>
            </w:r>
          </w:p>
        </w:tc>
        <w:tc>
          <w:tcPr>
            <w:tcW w:w="874" w:type="pct"/>
          </w:tcPr>
          <w:p w14:paraId="11A55849" w14:textId="43C2B03C" w:rsidR="006967B2" w:rsidRPr="007A7EFF" w:rsidRDefault="00BF05CD" w:rsidP="000E6247">
            <w:pPr>
              <w:rPr>
                <w:b/>
                <w:bCs/>
              </w:rPr>
            </w:pPr>
            <w:r w:rsidRPr="007A7EFF">
              <w:rPr>
                <w:b/>
                <w:bCs/>
              </w:rPr>
              <w:t>Clayton Greer</w:t>
            </w:r>
          </w:p>
        </w:tc>
      </w:tr>
      <w:tr w:rsidR="00C102A0" w:rsidRPr="00A765CC" w14:paraId="61C4AFEB" w14:textId="77777777" w:rsidTr="00240829">
        <w:trPr>
          <w:trHeight w:val="345"/>
        </w:trPr>
        <w:tc>
          <w:tcPr>
            <w:tcW w:w="291" w:type="pct"/>
          </w:tcPr>
          <w:p w14:paraId="28F23995" w14:textId="29CB051B" w:rsidR="00C102A0" w:rsidRDefault="00C102A0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F97CE49" w14:textId="0DA41401" w:rsidR="00C102A0" w:rsidRPr="00C102A0" w:rsidRDefault="00C102A0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PGRR134 – Interconnection Studies Reform for Dispatchable Loads</w:t>
            </w:r>
          </w:p>
        </w:tc>
        <w:tc>
          <w:tcPr>
            <w:tcW w:w="874" w:type="pct"/>
          </w:tcPr>
          <w:p w14:paraId="2DD1B976" w14:textId="0F135FDD" w:rsidR="00C102A0" w:rsidRDefault="00C102A0" w:rsidP="000E6247">
            <w:r>
              <w:t>Luminary Strategies</w:t>
            </w:r>
          </w:p>
        </w:tc>
      </w:tr>
      <w:tr w:rsidR="00C102A0" w:rsidRPr="00A765CC" w14:paraId="37CDA1FC" w14:textId="77777777" w:rsidTr="00240829">
        <w:trPr>
          <w:trHeight w:val="345"/>
        </w:trPr>
        <w:tc>
          <w:tcPr>
            <w:tcW w:w="291" w:type="pct"/>
          </w:tcPr>
          <w:p w14:paraId="7512704F" w14:textId="77777777" w:rsidR="00C102A0" w:rsidRDefault="00C102A0" w:rsidP="000E6247">
            <w:pPr>
              <w:rPr>
                <w:b/>
                <w:b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D8102DF" w14:textId="6019B9B2" w:rsidR="00C102A0" w:rsidRDefault="00C102A0" w:rsidP="00C102A0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C102A0">
              <w:rPr>
                <w:b/>
                <w:bCs/>
              </w:rPr>
              <w:t>Agentic Infrastructure comments</w:t>
            </w:r>
            <w:r w:rsidR="004A7E85">
              <w:rPr>
                <w:b/>
                <w:bCs/>
              </w:rPr>
              <w:t xml:space="preserve"> (11/3)</w:t>
            </w:r>
            <w:r w:rsidR="000F27AF">
              <w:rPr>
                <w:b/>
                <w:bCs/>
              </w:rPr>
              <w:t xml:space="preserve"> and presentation</w:t>
            </w:r>
          </w:p>
          <w:p w14:paraId="0D148B7A" w14:textId="62B2E09E" w:rsidR="00C102A0" w:rsidRDefault="00C102A0" w:rsidP="00C102A0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Schaper Energy Consulting comments</w:t>
            </w:r>
            <w:r w:rsidR="004A7E85">
              <w:rPr>
                <w:b/>
                <w:bCs/>
              </w:rPr>
              <w:t xml:space="preserve"> (11/3)</w:t>
            </w:r>
          </w:p>
          <w:p w14:paraId="370A98B1" w14:textId="5A867C61" w:rsidR="00C102A0" w:rsidRDefault="00C102A0" w:rsidP="00C102A0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ERCOT comments</w:t>
            </w:r>
            <w:r w:rsidR="004A7E85">
              <w:rPr>
                <w:b/>
                <w:bCs/>
              </w:rPr>
              <w:t xml:space="preserve"> (11/5)</w:t>
            </w:r>
          </w:p>
          <w:p w14:paraId="656A9F47" w14:textId="552268F8" w:rsidR="00C102A0" w:rsidRDefault="00C102A0" w:rsidP="00C102A0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Cypress Creek Renewable comments</w:t>
            </w:r>
            <w:r w:rsidR="004A7E85">
              <w:rPr>
                <w:b/>
                <w:bCs/>
              </w:rPr>
              <w:t xml:space="preserve"> (11/5)</w:t>
            </w:r>
          </w:p>
          <w:p w14:paraId="5B92D2D9" w14:textId="5CBB8097" w:rsidR="00C102A0" w:rsidRDefault="002C3166" w:rsidP="00C102A0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</w:t>
            </w:r>
            <w:r w:rsidR="00C102A0">
              <w:rPr>
                <w:b/>
                <w:bCs/>
              </w:rPr>
              <w:t>mpactECI</w:t>
            </w:r>
            <w:proofErr w:type="spellEnd"/>
            <w:r w:rsidR="00C102A0">
              <w:rPr>
                <w:b/>
                <w:bCs/>
              </w:rPr>
              <w:t xml:space="preserve"> comments</w:t>
            </w:r>
            <w:r>
              <w:rPr>
                <w:b/>
                <w:bCs/>
              </w:rPr>
              <w:t xml:space="preserve"> (11/5)</w:t>
            </w:r>
          </w:p>
          <w:p w14:paraId="56CFE7C1" w14:textId="58971191" w:rsidR="002C3166" w:rsidRDefault="002C3166" w:rsidP="00C102A0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Joint </w:t>
            </w:r>
            <w:proofErr w:type="gramStart"/>
            <w:r>
              <w:rPr>
                <w:b/>
                <w:bCs/>
              </w:rPr>
              <w:t>Commenters</w:t>
            </w:r>
            <w:proofErr w:type="gramEnd"/>
            <w:r>
              <w:rPr>
                <w:b/>
                <w:bCs/>
              </w:rPr>
              <w:t xml:space="preserve"> comments (11/14)</w:t>
            </w:r>
          </w:p>
          <w:p w14:paraId="1D963891" w14:textId="489677B2" w:rsidR="00C960A7" w:rsidRDefault="00C960A7" w:rsidP="005C28EF">
            <w:pPr>
              <w:pStyle w:val="ListParagraph"/>
              <w:numPr>
                <w:ilvl w:val="1"/>
                <w:numId w:val="11"/>
              </w:numPr>
            </w:pPr>
            <w:r>
              <w:t>Agentic Infrastructure &amp; Luminary Strategies</w:t>
            </w:r>
          </w:p>
          <w:p w14:paraId="458A28E4" w14:textId="2EC02D4A" w:rsidR="005C28EF" w:rsidRPr="00D5755D" w:rsidRDefault="00D5755D" w:rsidP="005C28EF">
            <w:pPr>
              <w:pStyle w:val="ListParagraph"/>
              <w:numPr>
                <w:ilvl w:val="1"/>
                <w:numId w:val="11"/>
              </w:numPr>
            </w:pPr>
            <w:r w:rsidRPr="00D5755D">
              <w:t>Remove the originally</w:t>
            </w:r>
            <w:r>
              <w:t xml:space="preserve"> proposed separate “CLR Election Study” construct</w:t>
            </w:r>
          </w:p>
          <w:p w14:paraId="13FF169D" w14:textId="7CD58EF5" w:rsidR="002C3166" w:rsidRDefault="002C3166" w:rsidP="00C102A0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Emerald AI comments (11/17)</w:t>
            </w:r>
          </w:p>
          <w:p w14:paraId="1F2EB30D" w14:textId="77777777" w:rsidR="002C3166" w:rsidRDefault="002C3166" w:rsidP="00C102A0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Luminary Strategies comments (11/17)</w:t>
            </w:r>
          </w:p>
          <w:p w14:paraId="3A9D01A0" w14:textId="77777777" w:rsidR="00217F34" w:rsidRPr="00DD7AB4" w:rsidRDefault="00217F34" w:rsidP="00217F34">
            <w:pPr>
              <w:pStyle w:val="ListParagraph"/>
              <w:numPr>
                <w:ilvl w:val="1"/>
                <w:numId w:val="11"/>
              </w:numPr>
              <w:rPr>
                <w:b/>
                <w:bCs/>
              </w:rPr>
            </w:pPr>
            <w:r>
              <w:t>Response to ERCOT’s presentation at ROS meeting</w:t>
            </w:r>
          </w:p>
          <w:p w14:paraId="535C9E42" w14:textId="77777777" w:rsidR="00DD7AB4" w:rsidRPr="005C19E5" w:rsidRDefault="00DD7AB4" w:rsidP="00DD7AB4">
            <w:r w:rsidRPr="005C19E5">
              <w:t xml:space="preserve">Arushi </w:t>
            </w:r>
            <w:r w:rsidR="005D2249" w:rsidRPr="005C19E5">
              <w:t>Sharma Frank (</w:t>
            </w:r>
            <w:r w:rsidRPr="005C19E5">
              <w:t>Luminary Strategies</w:t>
            </w:r>
            <w:r w:rsidR="005D2249" w:rsidRPr="005C19E5">
              <w:t xml:space="preserve">) introduced this language with an update on </w:t>
            </w:r>
            <w:proofErr w:type="gramStart"/>
            <w:r w:rsidR="005D2249" w:rsidRPr="005C19E5">
              <w:t>current status</w:t>
            </w:r>
            <w:proofErr w:type="gramEnd"/>
            <w:r w:rsidR="00D6047A" w:rsidRPr="005C19E5">
              <w:t>. Latest language is Nov 14 redline</w:t>
            </w:r>
            <w:r w:rsidRPr="005C19E5">
              <w:t xml:space="preserve">. ERCOT has </w:t>
            </w:r>
            <w:r w:rsidRPr="005C19E5">
              <w:lastRenderedPageBreak/>
              <w:t>a slide deck to facilitate the conversation.</w:t>
            </w:r>
            <w:r w:rsidR="00B31D23" w:rsidRPr="005C19E5">
              <w:t xml:space="preserve"> PGRR134 tries to make </w:t>
            </w:r>
            <w:proofErr w:type="gramStart"/>
            <w:r w:rsidR="00B31D23" w:rsidRPr="005C19E5">
              <w:t>de minimis</w:t>
            </w:r>
            <w:proofErr w:type="gramEnd"/>
            <w:r w:rsidR="00B31D23" w:rsidRPr="005C19E5">
              <w:t xml:space="preserve"> changes to link</w:t>
            </w:r>
            <w:r w:rsidR="00E17553" w:rsidRPr="005C19E5">
              <w:t xml:space="preserve"> CLRs to participate in nodal pricing.</w:t>
            </w:r>
          </w:p>
          <w:p w14:paraId="025CAEE8" w14:textId="5C437A0E" w:rsidR="00450473" w:rsidRDefault="00450473" w:rsidP="00DD7AB4">
            <w:r w:rsidRPr="005C19E5">
              <w:t xml:space="preserve">Martha Henson (Oncor) – </w:t>
            </w:r>
            <w:r w:rsidR="00851312">
              <w:t>W</w:t>
            </w:r>
            <w:r w:rsidRPr="005C19E5">
              <w:t>ould like to better understand rationale for the timeline</w:t>
            </w:r>
            <w:r w:rsidR="005E57C6">
              <w:t xml:space="preserve"> laid out</w:t>
            </w:r>
            <w:r w:rsidRPr="005C19E5">
              <w:t xml:space="preserve"> in the slide and comments posted last night. Broadly understand that the PGRR is tied to implementation of NPRR</w:t>
            </w:r>
            <w:r w:rsidR="005C19E5" w:rsidRPr="005C19E5">
              <w:t>1188</w:t>
            </w:r>
            <w:r w:rsidR="005C19E5">
              <w:t xml:space="preserve"> which should be late 2026. A February 2026 BOD approval </w:t>
            </w:r>
            <w:r w:rsidR="00326A84">
              <w:t>may be overly optimistic? Better use of time than a workshop would be to provide stakeholders with opportunity to provide formal written comments prior to the Dec PLWG.</w:t>
            </w:r>
          </w:p>
          <w:p w14:paraId="6484F52A" w14:textId="5CB44771" w:rsidR="00205B25" w:rsidRPr="00792AFA" w:rsidRDefault="00B03675" w:rsidP="00DD7AB4">
            <w:r w:rsidRPr="00792AFA">
              <w:t>Sam Brandin (Agentic)</w:t>
            </w:r>
            <w:r w:rsidR="005E57C6">
              <w:t xml:space="preserve"> – While NPRR1188 goes into</w:t>
            </w:r>
            <w:r w:rsidR="00BC2AC0" w:rsidRPr="00792AFA">
              <w:t xml:space="preserve"> effect by Q4 2026, then there is a </w:t>
            </w:r>
            <w:r w:rsidR="00C142D7">
              <w:t>significant</w:t>
            </w:r>
            <w:r w:rsidR="00BC2AC0" w:rsidRPr="00792AFA">
              <w:t xml:space="preserve"> amount of load under </w:t>
            </w:r>
            <w:r w:rsidRPr="00792AFA">
              <w:t>study now that could be leveraging that paradigm.</w:t>
            </w:r>
            <w:r w:rsidR="002D1BDD">
              <w:t xml:space="preserve"> </w:t>
            </w:r>
            <w:r w:rsidR="00205B25" w:rsidRPr="00792AFA">
              <w:t>Active projects want to see an official policy in place.</w:t>
            </w:r>
          </w:p>
          <w:p w14:paraId="0540B160" w14:textId="4D9ABCDE" w:rsidR="00CA7ADB" w:rsidRPr="00C142D7" w:rsidRDefault="00792AFA" w:rsidP="00DD7AB4">
            <w:r>
              <w:rPr>
                <w:b/>
                <w:bCs/>
              </w:rPr>
              <w:t>Agee Springer (ERCOT) introduced a presentation</w:t>
            </w:r>
            <w:r w:rsidR="00A14D9F">
              <w:rPr>
                <w:b/>
                <w:bCs/>
              </w:rPr>
              <w:t xml:space="preserve"> (posted to the meeting materials)</w:t>
            </w:r>
            <w:r>
              <w:rPr>
                <w:b/>
                <w:bCs/>
              </w:rPr>
              <w:t>.</w:t>
            </w:r>
            <w:r w:rsidR="00834DA5">
              <w:rPr>
                <w:b/>
                <w:bCs/>
              </w:rPr>
              <w:t xml:space="preserve"> </w:t>
            </w:r>
            <w:r w:rsidR="0098344A">
              <w:t xml:space="preserve">The presentation responds </w:t>
            </w:r>
            <w:r w:rsidR="00834DA5" w:rsidRPr="00C142D7">
              <w:t xml:space="preserve">to the 11/14 comments. Supports the concept in principle and </w:t>
            </w:r>
            <w:r w:rsidR="0098344A">
              <w:t xml:space="preserve">agrees on the need for </w:t>
            </w:r>
            <w:proofErr w:type="gramStart"/>
            <w:r w:rsidR="0098344A">
              <w:t>a fast</w:t>
            </w:r>
            <w:proofErr w:type="gramEnd"/>
            <w:r w:rsidR="00834DA5" w:rsidRPr="00C142D7">
              <w:t xml:space="preserve"> implement</w:t>
            </w:r>
            <w:r w:rsidR="0098344A">
              <w:t>ation</w:t>
            </w:r>
            <w:r w:rsidR="00834DA5" w:rsidRPr="00C142D7">
              <w:t>.</w:t>
            </w:r>
            <w:r w:rsidR="0098344A">
              <w:t xml:space="preserve"> However, ERCOT d</w:t>
            </w:r>
            <w:r w:rsidR="006E2BD8" w:rsidRPr="00C142D7">
              <w:t>isagree</w:t>
            </w:r>
            <w:r w:rsidR="0098344A">
              <w:t>s</w:t>
            </w:r>
            <w:r w:rsidR="006E2BD8" w:rsidRPr="00C142D7">
              <w:t xml:space="preserve"> that this is a “simple” change.</w:t>
            </w:r>
            <w:r w:rsidR="00DC134E">
              <w:t xml:space="preserve"> ERCOT has major concerns regarding the structure of proposed language, unclear points, etc. in the 11/14 version of the PGRR.</w:t>
            </w:r>
            <w:r w:rsidR="00623A92">
              <w:t xml:space="preserve"> A companion NPRR would likely be required. Recommends discussion at the WMS or the WMWG once the PGRR is closer to finalization.</w:t>
            </w:r>
          </w:p>
          <w:p w14:paraId="71EB5662" w14:textId="24028A01" w:rsidR="000C44B5" w:rsidRDefault="000C44B5" w:rsidP="00DD7AB4">
            <w:r>
              <w:rPr>
                <w:b/>
                <w:bCs/>
              </w:rPr>
              <w:t xml:space="preserve">Sam Brandin (Agentic Infrastructure) </w:t>
            </w:r>
            <w:r w:rsidR="00B8557D">
              <w:rPr>
                <w:b/>
                <w:bCs/>
              </w:rPr>
              <w:t>provided a</w:t>
            </w:r>
            <w:r>
              <w:rPr>
                <w:b/>
                <w:bCs/>
              </w:rPr>
              <w:t xml:space="preserve"> presentation.</w:t>
            </w:r>
            <w:r w:rsidR="00B8557D">
              <w:rPr>
                <w:b/>
                <w:bCs/>
              </w:rPr>
              <w:t xml:space="preserve"> </w:t>
            </w:r>
            <w:r w:rsidR="00B8557D">
              <w:t>Discussed the current LLIS process</w:t>
            </w:r>
            <w:r w:rsidR="006626DF">
              <w:t xml:space="preserve"> and an overview of what CLRs are and current treatment.</w:t>
            </w:r>
          </w:p>
          <w:p w14:paraId="62FB769C" w14:textId="77777777" w:rsidR="006954DF" w:rsidRDefault="00E51569" w:rsidP="00DD7AB4">
            <w:r>
              <w:t xml:space="preserve">Significant discussions and Q&amp;A. </w:t>
            </w:r>
          </w:p>
          <w:p w14:paraId="31012B5F" w14:textId="35799FB6" w:rsidR="002D1BDD" w:rsidRDefault="006954DF" w:rsidP="00DD7AB4">
            <w:r>
              <w:t xml:space="preserve">Agee Springer (ERCOT) – ERCOT </w:t>
            </w:r>
            <w:r w:rsidR="00C962E5">
              <w:t xml:space="preserve">open to offline discussion or conducting a workshop, but not on the timeline requested by </w:t>
            </w:r>
            <w:r w:rsidR="00917442">
              <w:t>Luminary.</w:t>
            </w:r>
            <w:r w:rsidR="00D0638E">
              <w:t xml:space="preserve"> Prefers any associated NOGRR or NPRR move concurrently with </w:t>
            </w:r>
            <w:r w:rsidR="00C05608">
              <w:t>this PGRR</w:t>
            </w:r>
            <w:r w:rsidR="00D0638E">
              <w:t>.</w:t>
            </w:r>
          </w:p>
          <w:p w14:paraId="56372323" w14:textId="70A0730D" w:rsidR="00AB7D40" w:rsidRPr="00B8557D" w:rsidRDefault="00AB7D40" w:rsidP="00DD7AB4">
            <w:r>
              <w:t>PLWG group determined to take up PGRR</w:t>
            </w:r>
            <w:r w:rsidR="00EB04B5">
              <w:t xml:space="preserve"> again</w:t>
            </w:r>
            <w:r>
              <w:t xml:space="preserve"> at the December PLWG (no workshop planned</w:t>
            </w:r>
            <w:r w:rsidR="00EB04B5">
              <w:t xml:space="preserve"> at this time</w:t>
            </w:r>
            <w:r>
              <w:t>)</w:t>
            </w:r>
            <w:r w:rsidR="00741EE5">
              <w:t xml:space="preserve">. Chair emphasized </w:t>
            </w:r>
            <w:r w:rsidR="00403E87">
              <w:t>importance for</w:t>
            </w:r>
            <w:r w:rsidR="00741EE5">
              <w:t xml:space="preserve"> materials </w:t>
            </w:r>
            <w:r w:rsidR="00403E87">
              <w:t>t</w:t>
            </w:r>
            <w:r w:rsidR="00741EE5">
              <w:t>o be provided with advance time for stakeholders to review ahead of the meeting.</w:t>
            </w:r>
          </w:p>
          <w:p w14:paraId="5F6B7CB6" w14:textId="0F77469B" w:rsidR="000C44B5" w:rsidRPr="00912DDF" w:rsidRDefault="00F60E5D" w:rsidP="00DD7AB4">
            <w:pPr>
              <w:rPr>
                <w:b/>
                <w:bCs/>
                <w:i/>
                <w:iCs/>
              </w:rPr>
            </w:pPr>
            <w:r w:rsidRPr="00912DDF">
              <w:rPr>
                <w:b/>
                <w:bCs/>
                <w:i/>
                <w:iCs/>
              </w:rPr>
              <w:t>Action Taken: PGRR134 tabled</w:t>
            </w:r>
            <w:r w:rsidR="00912DDF" w:rsidRPr="00912DDF">
              <w:rPr>
                <w:b/>
                <w:bCs/>
                <w:i/>
                <w:iCs/>
              </w:rPr>
              <w:t xml:space="preserve"> until December PLWG.</w:t>
            </w:r>
          </w:p>
        </w:tc>
        <w:tc>
          <w:tcPr>
            <w:tcW w:w="874" w:type="pct"/>
          </w:tcPr>
          <w:p w14:paraId="399C2F41" w14:textId="77777777" w:rsidR="00C102A0" w:rsidRDefault="00C102A0" w:rsidP="000E6247"/>
        </w:tc>
      </w:tr>
      <w:tr w:rsidR="003B7960" w:rsidRPr="00A765CC" w14:paraId="1B550F77" w14:textId="77777777" w:rsidTr="00240829">
        <w:trPr>
          <w:trHeight w:val="345"/>
        </w:trPr>
        <w:tc>
          <w:tcPr>
            <w:tcW w:w="291" w:type="pct"/>
          </w:tcPr>
          <w:p w14:paraId="22886E90" w14:textId="4205D663" w:rsidR="003B7960" w:rsidRDefault="003B7960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7065E01" w14:textId="2437AB81" w:rsidR="003B7960" w:rsidRPr="003B7960" w:rsidRDefault="003B7960" w:rsidP="003B7960">
            <w:pPr>
              <w:rPr>
                <w:b/>
                <w:bCs/>
              </w:rPr>
            </w:pPr>
            <w:r>
              <w:rPr>
                <w:b/>
                <w:bCs/>
              </w:rPr>
              <w:t>PGRR135 – Large Load Interconnection Queue Process Revision</w:t>
            </w:r>
          </w:p>
        </w:tc>
        <w:tc>
          <w:tcPr>
            <w:tcW w:w="874" w:type="pct"/>
          </w:tcPr>
          <w:p w14:paraId="7A514871" w14:textId="29EFC59A" w:rsidR="003B7960" w:rsidRPr="003B7960" w:rsidRDefault="003B7960" w:rsidP="000E6247">
            <w:pPr>
              <w:rPr>
                <w:b/>
                <w:bCs/>
              </w:rPr>
            </w:pPr>
            <w:r w:rsidRPr="003B7960">
              <w:rPr>
                <w:b/>
                <w:bCs/>
              </w:rPr>
              <w:t>Clayton Greer</w:t>
            </w:r>
          </w:p>
        </w:tc>
      </w:tr>
      <w:tr w:rsidR="00396FBA" w:rsidRPr="00A765CC" w14:paraId="5401305E" w14:textId="77777777" w:rsidTr="00240829">
        <w:trPr>
          <w:trHeight w:val="345"/>
        </w:trPr>
        <w:tc>
          <w:tcPr>
            <w:tcW w:w="291" w:type="pct"/>
          </w:tcPr>
          <w:p w14:paraId="2A7C2A0C" w14:textId="77777777" w:rsidR="00396FBA" w:rsidRPr="00396FBA" w:rsidRDefault="00396FBA" w:rsidP="000E6247"/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2D2C193" w14:textId="1945A319" w:rsidR="00396FBA" w:rsidRDefault="00396FBA" w:rsidP="003B7960">
            <w:r w:rsidRPr="00396FBA">
              <w:t>Clayton Greer (Cholla Petroleum) provided presentation</w:t>
            </w:r>
            <w:r>
              <w:t xml:space="preserve"> (posted to meeting materials)</w:t>
            </w:r>
            <w:r w:rsidR="00A80BBF">
              <w:t xml:space="preserve"> to introduce th</w:t>
            </w:r>
            <w:r w:rsidR="00B536EC">
              <w:t>e language.</w:t>
            </w:r>
            <w:r w:rsidR="00E802F5">
              <w:t xml:space="preserve"> Key concern is the potential for discriminatory treatment of various Large Load interconnections due to </w:t>
            </w:r>
            <w:r w:rsidR="00E802F5">
              <w:lastRenderedPageBreak/>
              <w:t>differing practices among TSPs (especially when the interconnection agreement is signed).</w:t>
            </w:r>
          </w:p>
          <w:p w14:paraId="25407843" w14:textId="239CAF37" w:rsidR="0041002C" w:rsidRDefault="00235F24" w:rsidP="003B7960">
            <w:r>
              <w:t xml:space="preserve">After discussion, </w:t>
            </w:r>
            <w:r w:rsidR="004469A6">
              <w:t xml:space="preserve">Clayton </w:t>
            </w:r>
            <w:r w:rsidR="001A3E4F">
              <w:t xml:space="preserve">Greer ultimately stated he </w:t>
            </w:r>
            <w:r w:rsidR="004469A6">
              <w:t xml:space="preserve">plans to </w:t>
            </w:r>
            <w:proofErr w:type="gramStart"/>
            <w:r w:rsidR="004469A6">
              <w:t>withdraw</w:t>
            </w:r>
            <w:proofErr w:type="gramEnd"/>
            <w:r w:rsidR="004469A6">
              <w:t xml:space="preserve"> the PGRR</w:t>
            </w:r>
            <w:r w:rsidR="001A3E4F">
              <w:t>.</w:t>
            </w:r>
          </w:p>
          <w:p w14:paraId="7865CF52" w14:textId="154F4EA3" w:rsidR="00B536EC" w:rsidRPr="002B4F18" w:rsidRDefault="00B536EC" w:rsidP="003B7960">
            <w:pPr>
              <w:rPr>
                <w:b/>
                <w:bCs/>
                <w:i/>
                <w:iCs/>
              </w:rPr>
            </w:pPr>
            <w:r w:rsidRPr="002B4F18">
              <w:rPr>
                <w:b/>
                <w:bCs/>
                <w:i/>
                <w:iCs/>
              </w:rPr>
              <w:t xml:space="preserve">Action Taken: This item has not yet been formally referred </w:t>
            </w:r>
            <w:proofErr w:type="gramStart"/>
            <w:r w:rsidRPr="002B4F18">
              <w:rPr>
                <w:b/>
                <w:bCs/>
                <w:i/>
                <w:iCs/>
              </w:rPr>
              <w:t>from</w:t>
            </w:r>
            <w:proofErr w:type="gramEnd"/>
            <w:r w:rsidRPr="002B4F18">
              <w:rPr>
                <w:b/>
                <w:bCs/>
                <w:i/>
                <w:iCs/>
              </w:rPr>
              <w:t xml:space="preserve"> ROS.</w:t>
            </w:r>
            <w:r w:rsidR="004469A6">
              <w:rPr>
                <w:b/>
                <w:bCs/>
                <w:i/>
                <w:iCs/>
              </w:rPr>
              <w:t xml:space="preserve"> No action taken.</w:t>
            </w:r>
            <w:r w:rsidR="001A3E4F">
              <w:rPr>
                <w:b/>
                <w:bCs/>
                <w:i/>
                <w:iCs/>
              </w:rPr>
              <w:t xml:space="preserve"> Sponsor </w:t>
            </w:r>
            <w:proofErr w:type="gramStart"/>
            <w:r w:rsidR="001A3E4F">
              <w:rPr>
                <w:b/>
                <w:bCs/>
                <w:i/>
                <w:iCs/>
              </w:rPr>
              <w:t>verbalized</w:t>
            </w:r>
            <w:proofErr w:type="gramEnd"/>
            <w:r w:rsidR="001A3E4F">
              <w:rPr>
                <w:b/>
                <w:bCs/>
                <w:i/>
                <w:iCs/>
              </w:rPr>
              <w:t xml:space="preserve"> intent to withdraw PGRR135.</w:t>
            </w:r>
          </w:p>
        </w:tc>
        <w:tc>
          <w:tcPr>
            <w:tcW w:w="874" w:type="pct"/>
          </w:tcPr>
          <w:p w14:paraId="74CF6922" w14:textId="77777777" w:rsidR="00396FBA" w:rsidRPr="003B7960" w:rsidRDefault="00396FBA" w:rsidP="000E6247">
            <w:pPr>
              <w:rPr>
                <w:b/>
                <w:bCs/>
              </w:rPr>
            </w:pPr>
          </w:p>
        </w:tc>
      </w:tr>
      <w:tr w:rsidR="00396FBA" w:rsidRPr="00A765CC" w14:paraId="2152DDB9" w14:textId="77777777" w:rsidTr="00240829">
        <w:trPr>
          <w:trHeight w:val="345"/>
        </w:trPr>
        <w:tc>
          <w:tcPr>
            <w:tcW w:w="291" w:type="pct"/>
          </w:tcPr>
          <w:p w14:paraId="04FC229D" w14:textId="4F9FD97B" w:rsidR="00396FBA" w:rsidRPr="00396FBA" w:rsidRDefault="00396FBA" w:rsidP="000E6247">
            <w:pPr>
              <w:rPr>
                <w:b/>
                <w:bCs/>
              </w:rPr>
            </w:pPr>
            <w:r w:rsidRPr="00396FBA">
              <w:rPr>
                <w:b/>
                <w:bCs/>
              </w:rPr>
              <w:t>11.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7C88F31" w14:textId="60A118FE" w:rsidR="00396FBA" w:rsidRPr="00396FBA" w:rsidRDefault="00396FBA" w:rsidP="003B7960">
            <w:pPr>
              <w:rPr>
                <w:b/>
                <w:bCs/>
              </w:rPr>
            </w:pPr>
            <w:r w:rsidRPr="00396FBA">
              <w:rPr>
                <w:b/>
                <w:bCs/>
              </w:rPr>
              <w:t>PGRR132 – Update to Standard Generation Interconnection Agreement (SGIA) Requirement</w:t>
            </w:r>
          </w:p>
        </w:tc>
        <w:tc>
          <w:tcPr>
            <w:tcW w:w="874" w:type="pct"/>
          </w:tcPr>
          <w:p w14:paraId="442A2ED1" w14:textId="14202701" w:rsidR="00396FBA" w:rsidRPr="003B7960" w:rsidRDefault="00396FBA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ERCOT</w:t>
            </w:r>
          </w:p>
        </w:tc>
      </w:tr>
      <w:tr w:rsidR="00396FBA" w:rsidRPr="00A765CC" w14:paraId="442D0614" w14:textId="77777777" w:rsidTr="00240829">
        <w:trPr>
          <w:trHeight w:val="345"/>
        </w:trPr>
        <w:tc>
          <w:tcPr>
            <w:tcW w:w="291" w:type="pct"/>
          </w:tcPr>
          <w:p w14:paraId="28B4B1F6" w14:textId="77777777" w:rsidR="00396FBA" w:rsidRDefault="00396FBA" w:rsidP="000E6247"/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3FA974B" w14:textId="77777777" w:rsidR="00396FBA" w:rsidRDefault="00396FBA" w:rsidP="00396FBA">
            <w:pPr>
              <w:pStyle w:val="ListParagraph"/>
              <w:numPr>
                <w:ilvl w:val="0"/>
                <w:numId w:val="12"/>
              </w:numPr>
            </w:pPr>
            <w:r>
              <w:t>Pattern comments</w:t>
            </w:r>
          </w:p>
          <w:p w14:paraId="5B5F2240" w14:textId="77777777" w:rsidR="00396FBA" w:rsidRDefault="00396FBA" w:rsidP="00396FBA">
            <w:pPr>
              <w:pStyle w:val="ListParagraph"/>
              <w:numPr>
                <w:ilvl w:val="0"/>
                <w:numId w:val="12"/>
              </w:numPr>
            </w:pPr>
            <w:r>
              <w:t>Southern Power comments</w:t>
            </w:r>
          </w:p>
          <w:p w14:paraId="3172B675" w14:textId="77777777" w:rsidR="00396FBA" w:rsidRDefault="00396FBA" w:rsidP="00396FBA">
            <w:pPr>
              <w:pStyle w:val="ListParagraph"/>
              <w:numPr>
                <w:ilvl w:val="0"/>
                <w:numId w:val="12"/>
              </w:numPr>
            </w:pPr>
            <w:r>
              <w:t>ERCOT comments</w:t>
            </w:r>
          </w:p>
          <w:p w14:paraId="24FC9BE1" w14:textId="77777777" w:rsidR="00396FBA" w:rsidRDefault="00396FBA" w:rsidP="00396FBA">
            <w:pPr>
              <w:pStyle w:val="ListParagraph"/>
              <w:numPr>
                <w:ilvl w:val="0"/>
                <w:numId w:val="12"/>
              </w:numPr>
            </w:pPr>
            <w:r>
              <w:t>Commenters Alliance comments</w:t>
            </w:r>
          </w:p>
          <w:p w14:paraId="1A6D48F1" w14:textId="69784B2C" w:rsidR="004401C3" w:rsidRDefault="004401C3" w:rsidP="004401C3">
            <w:r>
              <w:t xml:space="preserve">Mark Bruce </w:t>
            </w:r>
            <w:r w:rsidR="007B0B3A">
              <w:t xml:space="preserve">stated that the Pattern Energy comments had been </w:t>
            </w:r>
            <w:r w:rsidR="00727B21">
              <w:t>f</w:t>
            </w:r>
            <w:r>
              <w:t>ully</w:t>
            </w:r>
            <w:r w:rsidR="007B0B3A">
              <w:t xml:space="preserve"> considered</w:t>
            </w:r>
            <w:r>
              <w:t xml:space="preserve"> at ROS</w:t>
            </w:r>
            <w:r w:rsidR="00727B21">
              <w:t xml:space="preserve"> and addressed the</w:t>
            </w:r>
            <w:r w:rsidR="00E900C4">
              <w:t xml:space="preserve"> question of urgency. </w:t>
            </w:r>
            <w:r w:rsidR="00727B21">
              <w:t>Defer</w:t>
            </w:r>
            <w:r w:rsidR="007B0B3A">
              <w:t>red</w:t>
            </w:r>
            <w:r w:rsidR="00727B21">
              <w:t xml:space="preserve"> to subsequent </w:t>
            </w:r>
            <w:r w:rsidR="00E900C4">
              <w:t xml:space="preserve">Comments </w:t>
            </w:r>
            <w:r w:rsidR="00727B21">
              <w:t>that ha</w:t>
            </w:r>
            <w:r w:rsidR="00E900C4">
              <w:t>ve advanced the issue.</w:t>
            </w:r>
          </w:p>
          <w:p w14:paraId="06D67B74" w14:textId="01EBDA10" w:rsidR="00E900C4" w:rsidRDefault="0084254E" w:rsidP="004401C3">
            <w:r>
              <w:t>Chase Smith (Southern Power)</w:t>
            </w:r>
            <w:r w:rsidR="007C34E1">
              <w:t xml:space="preserve"> can similarly skip the earlier Southern Power comments which are outdated. Can speak to the Commenters Alliance comments posted on 11/17. Following the November ROS meeting, the group continued to engage in conversations with ERCOT</w:t>
            </w:r>
            <w:r w:rsidR="00DD257B">
              <w:t>. Will highlight key changes made in this redline comments</w:t>
            </w:r>
            <w:r w:rsidR="002600E0">
              <w:t xml:space="preserve"> and are written on top of ERCOT’s most recent comments.</w:t>
            </w:r>
            <w:r w:rsidR="001B076A">
              <w:t xml:space="preserve"> Trying to tailor appropriately to situations such as adding a new co-located resource</w:t>
            </w:r>
            <w:r w:rsidR="000D51C3">
              <w:t xml:space="preserve"> while preserving the status quo for unaltered, underlying existing resource.</w:t>
            </w:r>
            <w:r w:rsidR="00E13AC0">
              <w:t xml:space="preserve"> Rather than trying to make an exhaustive list of all technical requirements across the Protocols, make a general reference</w:t>
            </w:r>
            <w:r w:rsidR="00365F8D">
              <w:t xml:space="preserve"> to one pertaining to operational requirements.</w:t>
            </w:r>
          </w:p>
          <w:p w14:paraId="0EB65EDA" w14:textId="17C2C9AE" w:rsidR="00B13DC1" w:rsidRDefault="00B13DC1" w:rsidP="004401C3">
            <w:r>
              <w:t>Monica (</w:t>
            </w:r>
            <w:proofErr w:type="spellStart"/>
            <w:r>
              <w:t>Vistra</w:t>
            </w:r>
            <w:proofErr w:type="spellEnd"/>
            <w:r>
              <w:t xml:space="preserve">) </w:t>
            </w:r>
            <w:r w:rsidR="003B0BE6">
              <w:t>–</w:t>
            </w:r>
            <w:r>
              <w:t xml:space="preserve"> </w:t>
            </w:r>
            <w:r w:rsidR="003B0BE6">
              <w:t>request to table for one month to give stakeholders time to digest changes. Does appear to address concerns with IAs and repowering.</w:t>
            </w:r>
          </w:p>
          <w:p w14:paraId="09752110" w14:textId="445247ED" w:rsidR="006F3154" w:rsidRDefault="004372C8" w:rsidP="004401C3">
            <w:r>
              <w:t xml:space="preserve">Jenifer Fernandes (ERCOT) – ERCOT </w:t>
            </w:r>
            <w:proofErr w:type="gramStart"/>
            <w:r>
              <w:t>is in agreement</w:t>
            </w:r>
            <w:proofErr w:type="gramEnd"/>
            <w:r>
              <w:t xml:space="preserve"> with</w:t>
            </w:r>
            <w:r w:rsidR="00987469">
              <w:t xml:space="preserve"> Commenters Alliance’s</w:t>
            </w:r>
            <w:r>
              <w:t xml:space="preserve"> proposed redlined language. </w:t>
            </w:r>
            <w:r w:rsidR="00987469">
              <w:t>ERCOT does</w:t>
            </w:r>
            <w:r>
              <w:t xml:space="preserve"> </w:t>
            </w:r>
            <w:r w:rsidR="00826BF0">
              <w:t>plan to provide edits to the justification portion. Would request not tabl</w:t>
            </w:r>
            <w:r w:rsidR="00987469">
              <w:t>ing</w:t>
            </w:r>
            <w:r w:rsidR="00826BF0">
              <w:t xml:space="preserve"> for longer than one more month.</w:t>
            </w:r>
          </w:p>
          <w:p w14:paraId="5542DD0F" w14:textId="72F007AC" w:rsidR="00013462" w:rsidRDefault="00013462" w:rsidP="004401C3">
            <w:r>
              <w:t>Commitment from PLWG stakeholders to file appropriate comments ahead of December meeting to plan to forward report to ROS with Urgent status</w:t>
            </w:r>
            <w:r w:rsidR="00D4549F">
              <w:t xml:space="preserve"> </w:t>
            </w:r>
            <w:proofErr w:type="gramStart"/>
            <w:r w:rsidR="00D4549F">
              <w:t>in order to</w:t>
            </w:r>
            <w:proofErr w:type="gramEnd"/>
            <w:r w:rsidR="00D4549F">
              <w:t xml:space="preserve"> make ERCOT’s desired timeline of presenting at the February Board meeting.</w:t>
            </w:r>
          </w:p>
          <w:p w14:paraId="371BE02B" w14:textId="06EF8825" w:rsidR="004401C3" w:rsidRPr="00DC2136" w:rsidRDefault="00826BF0" w:rsidP="00DC2136">
            <w:pPr>
              <w:rPr>
                <w:b/>
                <w:bCs/>
                <w:i/>
                <w:iCs/>
              </w:rPr>
            </w:pPr>
            <w:r w:rsidRPr="00DC2136">
              <w:rPr>
                <w:b/>
                <w:bCs/>
                <w:i/>
                <w:iCs/>
              </w:rPr>
              <w:t>Action Taken:</w:t>
            </w:r>
            <w:r w:rsidR="00DC2136" w:rsidRPr="00DC2136">
              <w:rPr>
                <w:b/>
                <w:bCs/>
                <w:i/>
                <w:iCs/>
              </w:rPr>
              <w:t xml:space="preserve"> Tabled until December PLWG meeting.</w:t>
            </w:r>
          </w:p>
        </w:tc>
        <w:tc>
          <w:tcPr>
            <w:tcW w:w="874" w:type="pct"/>
          </w:tcPr>
          <w:p w14:paraId="43739522" w14:textId="77777777" w:rsidR="00396FBA" w:rsidRDefault="00396FBA" w:rsidP="000E6247">
            <w:pPr>
              <w:rPr>
                <w:b/>
                <w:bCs/>
              </w:rPr>
            </w:pPr>
          </w:p>
        </w:tc>
      </w:tr>
      <w:tr w:rsidR="000E6247" w:rsidRPr="00A765CC" w14:paraId="0FD7E72D" w14:textId="77777777" w:rsidTr="00240829">
        <w:trPr>
          <w:trHeight w:val="345"/>
        </w:trPr>
        <w:tc>
          <w:tcPr>
            <w:tcW w:w="291" w:type="pct"/>
            <w:hideMark/>
          </w:tcPr>
          <w:p w14:paraId="66C479BD" w14:textId="62C55CD2" w:rsidR="000E6247" w:rsidRPr="00A765CC" w:rsidRDefault="00396FBA" w:rsidP="000E6247">
            <w:r>
              <w:rPr>
                <w:b/>
                <w:bCs/>
              </w:rPr>
              <w:lastRenderedPageBreak/>
              <w:t>12</w:t>
            </w:r>
            <w:r w:rsidR="000E6247" w:rsidRPr="00A765CC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A7F28EB" w14:textId="6E113856" w:rsidR="000E6247" w:rsidRPr="00D82DD9" w:rsidRDefault="000E6247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Tabled Items</w:t>
            </w:r>
          </w:p>
        </w:tc>
        <w:tc>
          <w:tcPr>
            <w:tcW w:w="874" w:type="pct"/>
            <w:hideMark/>
          </w:tcPr>
          <w:p w14:paraId="1B51905F" w14:textId="26FD24B7" w:rsidR="000E6247" w:rsidRPr="00A765CC" w:rsidRDefault="000E6247" w:rsidP="000E6247"/>
        </w:tc>
      </w:tr>
      <w:tr w:rsidR="000E6247" w:rsidRPr="00A765CC" w14:paraId="028401F1" w14:textId="77777777" w:rsidTr="00240829">
        <w:trPr>
          <w:trHeight w:val="990"/>
        </w:trPr>
        <w:tc>
          <w:tcPr>
            <w:tcW w:w="291" w:type="pct"/>
          </w:tcPr>
          <w:p w14:paraId="58CA2D1A" w14:textId="2F21FB06" w:rsidR="000E6247" w:rsidRPr="00A765CC" w:rsidRDefault="000E6247" w:rsidP="000E6247">
            <w:pPr>
              <w:rPr>
                <w:b/>
                <w:b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9044B0" w14:textId="58C6B698" w:rsidR="000E6247" w:rsidRDefault="000E6247" w:rsidP="000E6247">
            <w:pPr>
              <w:pStyle w:val="ListParagraph"/>
              <w:ind w:left="73" w:hanging="73"/>
            </w:pPr>
            <w:r>
              <w:t>The following items were not taken up for discussion.</w:t>
            </w:r>
          </w:p>
          <w:p w14:paraId="5F31332F" w14:textId="422AAF34" w:rsidR="000E6247" w:rsidRPr="00717207" w:rsidRDefault="000E6247" w:rsidP="000E6247">
            <w:pPr>
              <w:pStyle w:val="ListParagraph"/>
              <w:numPr>
                <w:ilvl w:val="0"/>
                <w:numId w:val="9"/>
              </w:numPr>
            </w:pPr>
            <w:r>
              <w:t>PGRR 122 – Reliability Performance Criteria for Loss of Load</w:t>
            </w:r>
          </w:p>
        </w:tc>
        <w:tc>
          <w:tcPr>
            <w:tcW w:w="874" w:type="pct"/>
          </w:tcPr>
          <w:p w14:paraId="7D856BC3" w14:textId="40FC0A55" w:rsidR="000E6247" w:rsidRDefault="000E6247" w:rsidP="000E6247">
            <w:pPr>
              <w:rPr>
                <w:b/>
                <w:bCs/>
              </w:rPr>
            </w:pPr>
          </w:p>
        </w:tc>
      </w:tr>
      <w:tr w:rsidR="000E6247" w:rsidRPr="00A765CC" w14:paraId="30044883" w14:textId="77777777" w:rsidTr="00240829">
        <w:trPr>
          <w:trHeight w:val="990"/>
        </w:trPr>
        <w:tc>
          <w:tcPr>
            <w:tcW w:w="291" w:type="pct"/>
          </w:tcPr>
          <w:p w14:paraId="5F556E7D" w14:textId="77777777" w:rsidR="000E6247" w:rsidRPr="00A765CC" w:rsidRDefault="000E6247" w:rsidP="000E6247">
            <w:pPr>
              <w:rPr>
                <w:b/>
                <w:b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B7CA672" w14:textId="2CA8CF11" w:rsidR="000E6247" w:rsidRDefault="000E6247" w:rsidP="000E6247">
            <w:pPr>
              <w:pStyle w:val="ListParagraph"/>
              <w:numPr>
                <w:ilvl w:val="0"/>
                <w:numId w:val="9"/>
              </w:numPr>
            </w:pPr>
            <w:r>
              <w:t>PGRR 124 – ESR Maintenance Exception to Modifications</w:t>
            </w:r>
          </w:p>
        </w:tc>
        <w:tc>
          <w:tcPr>
            <w:tcW w:w="874" w:type="pct"/>
          </w:tcPr>
          <w:p w14:paraId="280A58FA" w14:textId="371054A1" w:rsidR="000E6247" w:rsidRDefault="000E6247" w:rsidP="000E6247">
            <w:pPr>
              <w:rPr>
                <w:b/>
                <w:bCs/>
              </w:rPr>
            </w:pPr>
          </w:p>
        </w:tc>
      </w:tr>
      <w:tr w:rsidR="000E6247" w:rsidRPr="00A765CC" w14:paraId="02F0A2F1" w14:textId="77777777" w:rsidTr="00240829">
        <w:trPr>
          <w:trHeight w:val="990"/>
        </w:trPr>
        <w:tc>
          <w:tcPr>
            <w:tcW w:w="291" w:type="pct"/>
          </w:tcPr>
          <w:p w14:paraId="35817397" w14:textId="3754095A" w:rsidR="000E6247" w:rsidRPr="00D82DD9" w:rsidRDefault="000E6247" w:rsidP="000E6247">
            <w:pPr>
              <w:rPr>
                <w:b/>
                <w:bCs/>
              </w:rPr>
            </w:pPr>
            <w:r w:rsidRPr="00D82DD9">
              <w:rPr>
                <w:b/>
                <w:bCs/>
              </w:rPr>
              <w:t>1</w:t>
            </w:r>
            <w:r w:rsidR="00396FBA">
              <w:rPr>
                <w:b/>
                <w:bCs/>
              </w:rPr>
              <w:t>3</w:t>
            </w:r>
            <w:r w:rsidRPr="00D82DD9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8A10FA5" w14:textId="77777777" w:rsidR="000E6247" w:rsidRDefault="000E6247" w:rsidP="000E6247">
            <w:pPr>
              <w:rPr>
                <w:b/>
                <w:bCs/>
              </w:rPr>
            </w:pPr>
            <w:r w:rsidRPr="00D82DD9">
              <w:rPr>
                <w:b/>
                <w:bCs/>
              </w:rPr>
              <w:t>Other Business</w:t>
            </w:r>
          </w:p>
          <w:p w14:paraId="512C9032" w14:textId="77777777" w:rsidR="000E6247" w:rsidRDefault="00396FBA" w:rsidP="000E6247">
            <w:r>
              <w:t>PLWG Leadership 2026</w:t>
            </w:r>
          </w:p>
          <w:p w14:paraId="423C3734" w14:textId="741355DD" w:rsidR="00DF3DFB" w:rsidRPr="006F4339" w:rsidRDefault="00DF3DFB" w:rsidP="000E6247">
            <w:r>
              <w:t xml:space="preserve">Mina advised the group that accepting nominations for PLWG Chair and Vice-Chair positions. Will </w:t>
            </w:r>
            <w:r w:rsidR="004F64ED">
              <w:t xml:space="preserve">review nominations </w:t>
            </w:r>
            <w:proofErr w:type="gramStart"/>
            <w:r w:rsidR="004F64ED">
              <w:t>at</w:t>
            </w:r>
            <w:proofErr w:type="gramEnd"/>
            <w:r w:rsidR="004F64ED">
              <w:t xml:space="preserve"> December PLWG meeting.</w:t>
            </w:r>
          </w:p>
        </w:tc>
        <w:tc>
          <w:tcPr>
            <w:tcW w:w="874" w:type="pct"/>
          </w:tcPr>
          <w:p w14:paraId="1B1EAD72" w14:textId="4BB0395A" w:rsidR="000E6247" w:rsidRDefault="00396FBA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Chair</w:t>
            </w:r>
          </w:p>
        </w:tc>
      </w:tr>
      <w:tr w:rsidR="000E6247" w:rsidRPr="00A765CC" w14:paraId="5AFFCF84" w14:textId="77777777" w:rsidTr="0056135A">
        <w:trPr>
          <w:trHeight w:val="630"/>
        </w:trPr>
        <w:tc>
          <w:tcPr>
            <w:tcW w:w="291" w:type="pct"/>
            <w:hideMark/>
          </w:tcPr>
          <w:p w14:paraId="49254981" w14:textId="61488B2E" w:rsidR="000E6247" w:rsidRPr="00A765CC" w:rsidRDefault="000E6247" w:rsidP="000E6247">
            <w:r w:rsidRPr="00A765CC">
              <w:rPr>
                <w:b/>
                <w:bCs/>
              </w:rPr>
              <w:t>1</w:t>
            </w:r>
            <w:r w:rsidR="00396FBA">
              <w:rPr>
                <w:b/>
                <w:bCs/>
              </w:rPr>
              <w:t>4</w:t>
            </w:r>
            <w:r w:rsidRPr="00A765CC">
              <w:rPr>
                <w:b/>
                <w:bCs/>
              </w:rPr>
              <w:t>.</w:t>
            </w:r>
            <w:r w:rsidRPr="00A765CC">
              <w:t> 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350C123" w14:textId="77777777" w:rsidR="000E6247" w:rsidRDefault="000E6247" w:rsidP="000E6247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Adjourn</w:t>
            </w:r>
          </w:p>
          <w:p w14:paraId="3681AE4F" w14:textId="792D8D48" w:rsidR="000E6247" w:rsidRPr="00A765CC" w:rsidRDefault="000E6247" w:rsidP="000E6247">
            <w:r>
              <w:t xml:space="preserve">Meeting adjourned at </w:t>
            </w:r>
            <w:r w:rsidR="00DF3DFB">
              <w:t>2:45 pm</w:t>
            </w:r>
            <w:r>
              <w:t xml:space="preserve">. The next PLWG meeting will </w:t>
            </w:r>
            <w:r w:rsidR="00396FBA">
              <w:t>be on December 16.</w:t>
            </w:r>
          </w:p>
        </w:tc>
        <w:tc>
          <w:tcPr>
            <w:tcW w:w="874" w:type="pct"/>
            <w:hideMark/>
          </w:tcPr>
          <w:p w14:paraId="2808DB60" w14:textId="77777777" w:rsidR="000E6247" w:rsidRPr="00A765CC" w:rsidRDefault="000E6247" w:rsidP="000E6247">
            <w:r w:rsidRPr="00A765CC">
              <w:rPr>
                <w:b/>
                <w:bCs/>
              </w:rPr>
              <w:t>Chair </w:t>
            </w:r>
          </w:p>
        </w:tc>
      </w:tr>
    </w:tbl>
    <w:p w14:paraId="1B3E5208" w14:textId="77777777" w:rsidR="008D4CFB" w:rsidRDefault="008D4CFB"/>
    <w:sectPr w:rsidR="008D4C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4CF5" w14:textId="77777777" w:rsidR="002E03B7" w:rsidRDefault="002E03B7" w:rsidP="00701AAE">
      <w:pPr>
        <w:spacing w:after="0" w:line="240" w:lineRule="auto"/>
      </w:pPr>
      <w:r>
        <w:separator/>
      </w:r>
    </w:p>
  </w:endnote>
  <w:endnote w:type="continuationSeparator" w:id="0">
    <w:p w14:paraId="7706AF97" w14:textId="77777777" w:rsidR="002E03B7" w:rsidRDefault="002E03B7" w:rsidP="0070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941C" w14:textId="4ED3D72C" w:rsidR="00701AAE" w:rsidRDefault="00701AAE" w:rsidP="00701AAE">
    <w:pPr>
      <w:pStyle w:val="Footer"/>
      <w:tabs>
        <w:tab w:val="clear" w:pos="4680"/>
        <w:tab w:val="clear" w:pos="9360"/>
        <w:tab w:val="left" w:pos="3586"/>
      </w:tabs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B8241" w14:textId="77777777" w:rsidR="002E03B7" w:rsidRDefault="002E03B7" w:rsidP="00701AAE">
      <w:pPr>
        <w:spacing w:after="0" w:line="240" w:lineRule="auto"/>
      </w:pPr>
      <w:r>
        <w:separator/>
      </w:r>
    </w:p>
  </w:footnote>
  <w:footnote w:type="continuationSeparator" w:id="0">
    <w:p w14:paraId="771CFA79" w14:textId="77777777" w:rsidR="002E03B7" w:rsidRDefault="002E03B7" w:rsidP="00701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E84"/>
    <w:multiLevelType w:val="hybridMultilevel"/>
    <w:tmpl w:val="B0B4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54C6"/>
    <w:multiLevelType w:val="multilevel"/>
    <w:tmpl w:val="0E4A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631DC"/>
    <w:multiLevelType w:val="multilevel"/>
    <w:tmpl w:val="F7E8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17857"/>
    <w:multiLevelType w:val="multilevel"/>
    <w:tmpl w:val="C1B4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A54B9"/>
    <w:multiLevelType w:val="multilevel"/>
    <w:tmpl w:val="FAC6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6392B"/>
    <w:multiLevelType w:val="hybridMultilevel"/>
    <w:tmpl w:val="C878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A1D34"/>
    <w:multiLevelType w:val="hybridMultilevel"/>
    <w:tmpl w:val="0332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430CF"/>
    <w:multiLevelType w:val="hybridMultilevel"/>
    <w:tmpl w:val="4276FF8A"/>
    <w:lvl w:ilvl="0" w:tplc="592C6BC0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496733"/>
    <w:multiLevelType w:val="hybridMultilevel"/>
    <w:tmpl w:val="C32A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E7543"/>
    <w:multiLevelType w:val="multilevel"/>
    <w:tmpl w:val="C27E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05CDE"/>
    <w:multiLevelType w:val="multilevel"/>
    <w:tmpl w:val="D8D2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A5E38"/>
    <w:multiLevelType w:val="hybridMultilevel"/>
    <w:tmpl w:val="FAA4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744098">
    <w:abstractNumId w:val="4"/>
  </w:num>
  <w:num w:numId="2" w16cid:durableId="542834862">
    <w:abstractNumId w:val="2"/>
  </w:num>
  <w:num w:numId="3" w16cid:durableId="1979676816">
    <w:abstractNumId w:val="10"/>
  </w:num>
  <w:num w:numId="4" w16cid:durableId="911700180">
    <w:abstractNumId w:val="1"/>
  </w:num>
  <w:num w:numId="5" w16cid:durableId="54398409">
    <w:abstractNumId w:val="9"/>
  </w:num>
  <w:num w:numId="6" w16cid:durableId="173692088">
    <w:abstractNumId w:val="3"/>
  </w:num>
  <w:num w:numId="7" w16cid:durableId="133527217">
    <w:abstractNumId w:val="5"/>
  </w:num>
  <w:num w:numId="8" w16cid:durableId="738481879">
    <w:abstractNumId w:val="8"/>
  </w:num>
  <w:num w:numId="9" w16cid:durableId="1012343052">
    <w:abstractNumId w:val="11"/>
  </w:num>
  <w:num w:numId="10" w16cid:durableId="502473757">
    <w:abstractNumId w:val="7"/>
  </w:num>
  <w:num w:numId="11" w16cid:durableId="1213887352">
    <w:abstractNumId w:val="0"/>
  </w:num>
  <w:num w:numId="12" w16cid:durableId="2023388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CC"/>
    <w:rsid w:val="0000009A"/>
    <w:rsid w:val="0000095B"/>
    <w:rsid w:val="00004735"/>
    <w:rsid w:val="00011B31"/>
    <w:rsid w:val="000126BB"/>
    <w:rsid w:val="00013462"/>
    <w:rsid w:val="00013E2F"/>
    <w:rsid w:val="00014FFE"/>
    <w:rsid w:val="0001526F"/>
    <w:rsid w:val="000160D3"/>
    <w:rsid w:val="00017743"/>
    <w:rsid w:val="00020392"/>
    <w:rsid w:val="0002118D"/>
    <w:rsid w:val="00021734"/>
    <w:rsid w:val="00025B03"/>
    <w:rsid w:val="00026FAB"/>
    <w:rsid w:val="00027C1E"/>
    <w:rsid w:val="00031B2A"/>
    <w:rsid w:val="000327AC"/>
    <w:rsid w:val="000334CF"/>
    <w:rsid w:val="00033842"/>
    <w:rsid w:val="00034273"/>
    <w:rsid w:val="00035287"/>
    <w:rsid w:val="00035FC7"/>
    <w:rsid w:val="00037898"/>
    <w:rsid w:val="00043B8F"/>
    <w:rsid w:val="000449A0"/>
    <w:rsid w:val="00046FC1"/>
    <w:rsid w:val="00050568"/>
    <w:rsid w:val="0005082D"/>
    <w:rsid w:val="00051512"/>
    <w:rsid w:val="00051E13"/>
    <w:rsid w:val="000538F3"/>
    <w:rsid w:val="000539D4"/>
    <w:rsid w:val="00056A74"/>
    <w:rsid w:val="00057904"/>
    <w:rsid w:val="00060FD0"/>
    <w:rsid w:val="00061164"/>
    <w:rsid w:val="00064D14"/>
    <w:rsid w:val="00066567"/>
    <w:rsid w:val="00067199"/>
    <w:rsid w:val="000676FC"/>
    <w:rsid w:val="00070686"/>
    <w:rsid w:val="0007069A"/>
    <w:rsid w:val="00071722"/>
    <w:rsid w:val="0007180D"/>
    <w:rsid w:val="000720AB"/>
    <w:rsid w:val="00074BF9"/>
    <w:rsid w:val="00077827"/>
    <w:rsid w:val="00080683"/>
    <w:rsid w:val="000818CE"/>
    <w:rsid w:val="00083EEB"/>
    <w:rsid w:val="000849EC"/>
    <w:rsid w:val="00084DDC"/>
    <w:rsid w:val="00086AAB"/>
    <w:rsid w:val="00086D21"/>
    <w:rsid w:val="000950F1"/>
    <w:rsid w:val="00097266"/>
    <w:rsid w:val="000A2567"/>
    <w:rsid w:val="000A295C"/>
    <w:rsid w:val="000A35B1"/>
    <w:rsid w:val="000A3627"/>
    <w:rsid w:val="000A3629"/>
    <w:rsid w:val="000A38F4"/>
    <w:rsid w:val="000A4BA8"/>
    <w:rsid w:val="000A513F"/>
    <w:rsid w:val="000A5FD2"/>
    <w:rsid w:val="000A605D"/>
    <w:rsid w:val="000A79C3"/>
    <w:rsid w:val="000B21C6"/>
    <w:rsid w:val="000B5D99"/>
    <w:rsid w:val="000B6FDD"/>
    <w:rsid w:val="000B7BB3"/>
    <w:rsid w:val="000C2A7C"/>
    <w:rsid w:val="000C3E15"/>
    <w:rsid w:val="000C409B"/>
    <w:rsid w:val="000C44B5"/>
    <w:rsid w:val="000C681F"/>
    <w:rsid w:val="000D1D6E"/>
    <w:rsid w:val="000D2AA6"/>
    <w:rsid w:val="000D2DD4"/>
    <w:rsid w:val="000D31A9"/>
    <w:rsid w:val="000D3D9F"/>
    <w:rsid w:val="000D40DF"/>
    <w:rsid w:val="000D42BC"/>
    <w:rsid w:val="000D4E42"/>
    <w:rsid w:val="000D4F61"/>
    <w:rsid w:val="000D51C3"/>
    <w:rsid w:val="000D76BE"/>
    <w:rsid w:val="000E005A"/>
    <w:rsid w:val="000E058B"/>
    <w:rsid w:val="000E090B"/>
    <w:rsid w:val="000E3830"/>
    <w:rsid w:val="000E5FAD"/>
    <w:rsid w:val="000E6247"/>
    <w:rsid w:val="000E62CA"/>
    <w:rsid w:val="000F0944"/>
    <w:rsid w:val="000F27AF"/>
    <w:rsid w:val="000F2858"/>
    <w:rsid w:val="000F3777"/>
    <w:rsid w:val="000F52EF"/>
    <w:rsid w:val="000F5377"/>
    <w:rsid w:val="000F58C1"/>
    <w:rsid w:val="000F64AA"/>
    <w:rsid w:val="000F70C5"/>
    <w:rsid w:val="00100AAA"/>
    <w:rsid w:val="0010261B"/>
    <w:rsid w:val="0010298F"/>
    <w:rsid w:val="00105E80"/>
    <w:rsid w:val="00110771"/>
    <w:rsid w:val="00116235"/>
    <w:rsid w:val="00120156"/>
    <w:rsid w:val="0012134C"/>
    <w:rsid w:val="00127DC3"/>
    <w:rsid w:val="00132B60"/>
    <w:rsid w:val="00133434"/>
    <w:rsid w:val="001336D5"/>
    <w:rsid w:val="00134CED"/>
    <w:rsid w:val="0013518E"/>
    <w:rsid w:val="00137847"/>
    <w:rsid w:val="0014037D"/>
    <w:rsid w:val="00140C27"/>
    <w:rsid w:val="00142093"/>
    <w:rsid w:val="00145738"/>
    <w:rsid w:val="001461EE"/>
    <w:rsid w:val="00147697"/>
    <w:rsid w:val="00150214"/>
    <w:rsid w:val="001516C2"/>
    <w:rsid w:val="00152146"/>
    <w:rsid w:val="00154703"/>
    <w:rsid w:val="0015628A"/>
    <w:rsid w:val="00156453"/>
    <w:rsid w:val="00160004"/>
    <w:rsid w:val="001605F1"/>
    <w:rsid w:val="001606CD"/>
    <w:rsid w:val="00160DC5"/>
    <w:rsid w:val="00162845"/>
    <w:rsid w:val="00167D02"/>
    <w:rsid w:val="00171659"/>
    <w:rsid w:val="00172DFC"/>
    <w:rsid w:val="00174AAE"/>
    <w:rsid w:val="00177F77"/>
    <w:rsid w:val="0018164B"/>
    <w:rsid w:val="00183A54"/>
    <w:rsid w:val="00185A3F"/>
    <w:rsid w:val="001916D6"/>
    <w:rsid w:val="001945DF"/>
    <w:rsid w:val="001961AB"/>
    <w:rsid w:val="00197670"/>
    <w:rsid w:val="00197DE6"/>
    <w:rsid w:val="001A0DA0"/>
    <w:rsid w:val="001A1101"/>
    <w:rsid w:val="001A3E4F"/>
    <w:rsid w:val="001A47FB"/>
    <w:rsid w:val="001A6E6D"/>
    <w:rsid w:val="001B076A"/>
    <w:rsid w:val="001B0DFA"/>
    <w:rsid w:val="001B0E0D"/>
    <w:rsid w:val="001B2EE5"/>
    <w:rsid w:val="001B3E50"/>
    <w:rsid w:val="001B6919"/>
    <w:rsid w:val="001C0CC7"/>
    <w:rsid w:val="001C1FD7"/>
    <w:rsid w:val="001C55C4"/>
    <w:rsid w:val="001C7ECC"/>
    <w:rsid w:val="001E0620"/>
    <w:rsid w:val="001E095D"/>
    <w:rsid w:val="001E1300"/>
    <w:rsid w:val="001E1E53"/>
    <w:rsid w:val="001E2DA7"/>
    <w:rsid w:val="001E484D"/>
    <w:rsid w:val="001E6E50"/>
    <w:rsid w:val="001E6EB0"/>
    <w:rsid w:val="001E7120"/>
    <w:rsid w:val="001F2CAC"/>
    <w:rsid w:val="001F49E7"/>
    <w:rsid w:val="001F55DD"/>
    <w:rsid w:val="001F628E"/>
    <w:rsid w:val="001F68E6"/>
    <w:rsid w:val="002018C9"/>
    <w:rsid w:val="00202485"/>
    <w:rsid w:val="00202ABA"/>
    <w:rsid w:val="002032B5"/>
    <w:rsid w:val="00205B25"/>
    <w:rsid w:val="0021054E"/>
    <w:rsid w:val="00210DB5"/>
    <w:rsid w:val="002144AE"/>
    <w:rsid w:val="002148E2"/>
    <w:rsid w:val="00217F34"/>
    <w:rsid w:val="00223659"/>
    <w:rsid w:val="002236BE"/>
    <w:rsid w:val="002236E4"/>
    <w:rsid w:val="0022624C"/>
    <w:rsid w:val="00226934"/>
    <w:rsid w:val="00226B64"/>
    <w:rsid w:val="00226F76"/>
    <w:rsid w:val="0022768B"/>
    <w:rsid w:val="0023302B"/>
    <w:rsid w:val="002357C9"/>
    <w:rsid w:val="00235F24"/>
    <w:rsid w:val="00240054"/>
    <w:rsid w:val="00240829"/>
    <w:rsid w:val="002423CC"/>
    <w:rsid w:val="0024273C"/>
    <w:rsid w:val="00250E9B"/>
    <w:rsid w:val="0025482D"/>
    <w:rsid w:val="00255796"/>
    <w:rsid w:val="002600E0"/>
    <w:rsid w:val="00261595"/>
    <w:rsid w:val="00262FFC"/>
    <w:rsid w:val="002636A3"/>
    <w:rsid w:val="00263B29"/>
    <w:rsid w:val="00270EA4"/>
    <w:rsid w:val="002714D4"/>
    <w:rsid w:val="002737FC"/>
    <w:rsid w:val="0027507E"/>
    <w:rsid w:val="0028124F"/>
    <w:rsid w:val="00284540"/>
    <w:rsid w:val="00284C7B"/>
    <w:rsid w:val="00287C66"/>
    <w:rsid w:val="0029156C"/>
    <w:rsid w:val="00292B1D"/>
    <w:rsid w:val="0029388E"/>
    <w:rsid w:val="00294F53"/>
    <w:rsid w:val="0029592A"/>
    <w:rsid w:val="002A06F1"/>
    <w:rsid w:val="002A1E26"/>
    <w:rsid w:val="002A2B5E"/>
    <w:rsid w:val="002A4F3D"/>
    <w:rsid w:val="002A51AD"/>
    <w:rsid w:val="002A6321"/>
    <w:rsid w:val="002A72EA"/>
    <w:rsid w:val="002B1C34"/>
    <w:rsid w:val="002B22B1"/>
    <w:rsid w:val="002B4F18"/>
    <w:rsid w:val="002C1C51"/>
    <w:rsid w:val="002C3166"/>
    <w:rsid w:val="002D135C"/>
    <w:rsid w:val="002D1BDD"/>
    <w:rsid w:val="002D22AD"/>
    <w:rsid w:val="002D27E4"/>
    <w:rsid w:val="002D4682"/>
    <w:rsid w:val="002D72B3"/>
    <w:rsid w:val="002E03B7"/>
    <w:rsid w:val="002E0E68"/>
    <w:rsid w:val="002F4621"/>
    <w:rsid w:val="002F4CC1"/>
    <w:rsid w:val="002F4F85"/>
    <w:rsid w:val="002F73A8"/>
    <w:rsid w:val="002F777B"/>
    <w:rsid w:val="00301D43"/>
    <w:rsid w:val="00302CC0"/>
    <w:rsid w:val="00304158"/>
    <w:rsid w:val="00307040"/>
    <w:rsid w:val="003079B9"/>
    <w:rsid w:val="00310042"/>
    <w:rsid w:val="00312322"/>
    <w:rsid w:val="00314A61"/>
    <w:rsid w:val="0032192A"/>
    <w:rsid w:val="0032256B"/>
    <w:rsid w:val="0032404E"/>
    <w:rsid w:val="00325FAF"/>
    <w:rsid w:val="00326A84"/>
    <w:rsid w:val="003309F6"/>
    <w:rsid w:val="0033156B"/>
    <w:rsid w:val="00332907"/>
    <w:rsid w:val="00332C56"/>
    <w:rsid w:val="003330E7"/>
    <w:rsid w:val="00334648"/>
    <w:rsid w:val="00336744"/>
    <w:rsid w:val="00340E3B"/>
    <w:rsid w:val="00347FBE"/>
    <w:rsid w:val="003506FA"/>
    <w:rsid w:val="00354F7A"/>
    <w:rsid w:val="00360A01"/>
    <w:rsid w:val="003644E0"/>
    <w:rsid w:val="00365F8D"/>
    <w:rsid w:val="00367A81"/>
    <w:rsid w:val="00370753"/>
    <w:rsid w:val="00371379"/>
    <w:rsid w:val="00372075"/>
    <w:rsid w:val="00372584"/>
    <w:rsid w:val="00372AD2"/>
    <w:rsid w:val="00372D8C"/>
    <w:rsid w:val="00375A26"/>
    <w:rsid w:val="003767ED"/>
    <w:rsid w:val="00383734"/>
    <w:rsid w:val="003921B3"/>
    <w:rsid w:val="00392459"/>
    <w:rsid w:val="003948E8"/>
    <w:rsid w:val="00396FBA"/>
    <w:rsid w:val="003979F5"/>
    <w:rsid w:val="003A01F9"/>
    <w:rsid w:val="003A110E"/>
    <w:rsid w:val="003B0210"/>
    <w:rsid w:val="003B065C"/>
    <w:rsid w:val="003B086D"/>
    <w:rsid w:val="003B0BE6"/>
    <w:rsid w:val="003B0DDC"/>
    <w:rsid w:val="003B2498"/>
    <w:rsid w:val="003B3843"/>
    <w:rsid w:val="003B50BF"/>
    <w:rsid w:val="003B50FC"/>
    <w:rsid w:val="003B5A7A"/>
    <w:rsid w:val="003B5F4F"/>
    <w:rsid w:val="003B6210"/>
    <w:rsid w:val="003B66B9"/>
    <w:rsid w:val="003B6C94"/>
    <w:rsid w:val="003B6F79"/>
    <w:rsid w:val="003B7960"/>
    <w:rsid w:val="003C314D"/>
    <w:rsid w:val="003C3DF4"/>
    <w:rsid w:val="003C50B1"/>
    <w:rsid w:val="003D07B0"/>
    <w:rsid w:val="003D314F"/>
    <w:rsid w:val="003D6194"/>
    <w:rsid w:val="003D7964"/>
    <w:rsid w:val="003E0837"/>
    <w:rsid w:val="003E2A8F"/>
    <w:rsid w:val="003E3C80"/>
    <w:rsid w:val="003E7955"/>
    <w:rsid w:val="003F1A3E"/>
    <w:rsid w:val="003F266F"/>
    <w:rsid w:val="003F498B"/>
    <w:rsid w:val="003F53F5"/>
    <w:rsid w:val="003F5F06"/>
    <w:rsid w:val="003F631D"/>
    <w:rsid w:val="0040036D"/>
    <w:rsid w:val="00403E87"/>
    <w:rsid w:val="00404657"/>
    <w:rsid w:val="0040574A"/>
    <w:rsid w:val="00407275"/>
    <w:rsid w:val="00407AF6"/>
    <w:rsid w:val="0041002C"/>
    <w:rsid w:val="00411E9F"/>
    <w:rsid w:val="00414574"/>
    <w:rsid w:val="004158FC"/>
    <w:rsid w:val="00417D21"/>
    <w:rsid w:val="00420E37"/>
    <w:rsid w:val="0042242A"/>
    <w:rsid w:val="004224DC"/>
    <w:rsid w:val="00424B33"/>
    <w:rsid w:val="00426298"/>
    <w:rsid w:val="00426D39"/>
    <w:rsid w:val="00427CF8"/>
    <w:rsid w:val="004348F5"/>
    <w:rsid w:val="004372C8"/>
    <w:rsid w:val="00437B10"/>
    <w:rsid w:val="004401C3"/>
    <w:rsid w:val="004412DB"/>
    <w:rsid w:val="0044245C"/>
    <w:rsid w:val="0044278E"/>
    <w:rsid w:val="004469A6"/>
    <w:rsid w:val="00446F0B"/>
    <w:rsid w:val="004476A8"/>
    <w:rsid w:val="00450473"/>
    <w:rsid w:val="00450A6D"/>
    <w:rsid w:val="00450D31"/>
    <w:rsid w:val="00451EE9"/>
    <w:rsid w:val="0045353A"/>
    <w:rsid w:val="00453B7F"/>
    <w:rsid w:val="00456245"/>
    <w:rsid w:val="004633B2"/>
    <w:rsid w:val="004634FA"/>
    <w:rsid w:val="00465649"/>
    <w:rsid w:val="00472C92"/>
    <w:rsid w:val="00472ECE"/>
    <w:rsid w:val="004760CE"/>
    <w:rsid w:val="0047745F"/>
    <w:rsid w:val="00480803"/>
    <w:rsid w:val="00481527"/>
    <w:rsid w:val="004818BA"/>
    <w:rsid w:val="00481F56"/>
    <w:rsid w:val="0048355A"/>
    <w:rsid w:val="00484111"/>
    <w:rsid w:val="00487504"/>
    <w:rsid w:val="004875F9"/>
    <w:rsid w:val="00491AEA"/>
    <w:rsid w:val="00491AFD"/>
    <w:rsid w:val="00493B0E"/>
    <w:rsid w:val="00495337"/>
    <w:rsid w:val="004A3071"/>
    <w:rsid w:val="004A339E"/>
    <w:rsid w:val="004A362C"/>
    <w:rsid w:val="004A3C89"/>
    <w:rsid w:val="004A51CE"/>
    <w:rsid w:val="004A57BD"/>
    <w:rsid w:val="004A5F21"/>
    <w:rsid w:val="004A7E85"/>
    <w:rsid w:val="004B027E"/>
    <w:rsid w:val="004B2994"/>
    <w:rsid w:val="004B3626"/>
    <w:rsid w:val="004B3EC7"/>
    <w:rsid w:val="004B4821"/>
    <w:rsid w:val="004B5320"/>
    <w:rsid w:val="004B570D"/>
    <w:rsid w:val="004B65F1"/>
    <w:rsid w:val="004B734C"/>
    <w:rsid w:val="004C1898"/>
    <w:rsid w:val="004C1FD5"/>
    <w:rsid w:val="004C3110"/>
    <w:rsid w:val="004C3D86"/>
    <w:rsid w:val="004D14E0"/>
    <w:rsid w:val="004D202C"/>
    <w:rsid w:val="004D2159"/>
    <w:rsid w:val="004D4259"/>
    <w:rsid w:val="004E0BBD"/>
    <w:rsid w:val="004E2A55"/>
    <w:rsid w:val="004F094E"/>
    <w:rsid w:val="004F097A"/>
    <w:rsid w:val="004F0ADE"/>
    <w:rsid w:val="004F3C75"/>
    <w:rsid w:val="004F4333"/>
    <w:rsid w:val="004F50B0"/>
    <w:rsid w:val="004F5AFB"/>
    <w:rsid w:val="004F64ED"/>
    <w:rsid w:val="004F6DD4"/>
    <w:rsid w:val="004F768A"/>
    <w:rsid w:val="00501CE0"/>
    <w:rsid w:val="005036B8"/>
    <w:rsid w:val="00505B9F"/>
    <w:rsid w:val="00505CAF"/>
    <w:rsid w:val="00511659"/>
    <w:rsid w:val="0051172D"/>
    <w:rsid w:val="0051393D"/>
    <w:rsid w:val="00515007"/>
    <w:rsid w:val="005151A7"/>
    <w:rsid w:val="005221D4"/>
    <w:rsid w:val="00522B5D"/>
    <w:rsid w:val="00524E80"/>
    <w:rsid w:val="00525E4A"/>
    <w:rsid w:val="00527D10"/>
    <w:rsid w:val="00533054"/>
    <w:rsid w:val="00536386"/>
    <w:rsid w:val="00542545"/>
    <w:rsid w:val="0054265B"/>
    <w:rsid w:val="005432F3"/>
    <w:rsid w:val="005436E5"/>
    <w:rsid w:val="00545B83"/>
    <w:rsid w:val="00546810"/>
    <w:rsid w:val="005559E3"/>
    <w:rsid w:val="00557FC1"/>
    <w:rsid w:val="005603CD"/>
    <w:rsid w:val="005606EF"/>
    <w:rsid w:val="0056135A"/>
    <w:rsid w:val="00561D53"/>
    <w:rsid w:val="00562075"/>
    <w:rsid w:val="00564F76"/>
    <w:rsid w:val="00571EE8"/>
    <w:rsid w:val="0057374A"/>
    <w:rsid w:val="00575A11"/>
    <w:rsid w:val="00575B8D"/>
    <w:rsid w:val="00580ABD"/>
    <w:rsid w:val="00584F84"/>
    <w:rsid w:val="005873AC"/>
    <w:rsid w:val="00591B75"/>
    <w:rsid w:val="005945B9"/>
    <w:rsid w:val="00596F6A"/>
    <w:rsid w:val="005A03E3"/>
    <w:rsid w:val="005A6957"/>
    <w:rsid w:val="005A6C2E"/>
    <w:rsid w:val="005B2589"/>
    <w:rsid w:val="005B2C53"/>
    <w:rsid w:val="005B3CD0"/>
    <w:rsid w:val="005B414D"/>
    <w:rsid w:val="005B42CC"/>
    <w:rsid w:val="005B46AA"/>
    <w:rsid w:val="005B55BD"/>
    <w:rsid w:val="005B704E"/>
    <w:rsid w:val="005B75FC"/>
    <w:rsid w:val="005B7D3B"/>
    <w:rsid w:val="005C19E5"/>
    <w:rsid w:val="005C26D9"/>
    <w:rsid w:val="005C28EF"/>
    <w:rsid w:val="005C60DB"/>
    <w:rsid w:val="005C7DCF"/>
    <w:rsid w:val="005D2249"/>
    <w:rsid w:val="005D32BB"/>
    <w:rsid w:val="005D45C9"/>
    <w:rsid w:val="005E2714"/>
    <w:rsid w:val="005E57C6"/>
    <w:rsid w:val="005E59BE"/>
    <w:rsid w:val="005E5A04"/>
    <w:rsid w:val="005E67ED"/>
    <w:rsid w:val="005F09BE"/>
    <w:rsid w:val="005F0D4D"/>
    <w:rsid w:val="005F1452"/>
    <w:rsid w:val="005F2349"/>
    <w:rsid w:val="005F312E"/>
    <w:rsid w:val="005F32D8"/>
    <w:rsid w:val="005F6CE0"/>
    <w:rsid w:val="005F7756"/>
    <w:rsid w:val="0060249F"/>
    <w:rsid w:val="00602883"/>
    <w:rsid w:val="00603E5F"/>
    <w:rsid w:val="006046C2"/>
    <w:rsid w:val="006072F0"/>
    <w:rsid w:val="00607D45"/>
    <w:rsid w:val="006135A2"/>
    <w:rsid w:val="00613833"/>
    <w:rsid w:val="00615801"/>
    <w:rsid w:val="0061659F"/>
    <w:rsid w:val="00617077"/>
    <w:rsid w:val="00617574"/>
    <w:rsid w:val="00617FE4"/>
    <w:rsid w:val="006206F0"/>
    <w:rsid w:val="006217DA"/>
    <w:rsid w:val="00623A92"/>
    <w:rsid w:val="00625047"/>
    <w:rsid w:val="006254EB"/>
    <w:rsid w:val="006258CE"/>
    <w:rsid w:val="0062599C"/>
    <w:rsid w:val="006327E8"/>
    <w:rsid w:val="00633799"/>
    <w:rsid w:val="00634629"/>
    <w:rsid w:val="00641B78"/>
    <w:rsid w:val="0064282F"/>
    <w:rsid w:val="00643010"/>
    <w:rsid w:val="006439BA"/>
    <w:rsid w:val="006504CD"/>
    <w:rsid w:val="0065074A"/>
    <w:rsid w:val="0065171B"/>
    <w:rsid w:val="00652DA0"/>
    <w:rsid w:val="00653A36"/>
    <w:rsid w:val="006550CE"/>
    <w:rsid w:val="0065597F"/>
    <w:rsid w:val="006564B7"/>
    <w:rsid w:val="00661915"/>
    <w:rsid w:val="0066223B"/>
    <w:rsid w:val="006626DF"/>
    <w:rsid w:val="006628D9"/>
    <w:rsid w:val="0066389B"/>
    <w:rsid w:val="00664F51"/>
    <w:rsid w:val="00666146"/>
    <w:rsid w:val="00667A16"/>
    <w:rsid w:val="006701DF"/>
    <w:rsid w:val="006737F7"/>
    <w:rsid w:val="00675C1E"/>
    <w:rsid w:val="006762FD"/>
    <w:rsid w:val="00676F39"/>
    <w:rsid w:val="00677082"/>
    <w:rsid w:val="00682E48"/>
    <w:rsid w:val="0068519F"/>
    <w:rsid w:val="00685443"/>
    <w:rsid w:val="006947FE"/>
    <w:rsid w:val="00695351"/>
    <w:rsid w:val="006954DF"/>
    <w:rsid w:val="006967B2"/>
    <w:rsid w:val="00696B1C"/>
    <w:rsid w:val="00696FC8"/>
    <w:rsid w:val="006A194A"/>
    <w:rsid w:val="006B0ED7"/>
    <w:rsid w:val="006B15DB"/>
    <w:rsid w:val="006B2A88"/>
    <w:rsid w:val="006B445C"/>
    <w:rsid w:val="006C1690"/>
    <w:rsid w:val="006C33D7"/>
    <w:rsid w:val="006C3684"/>
    <w:rsid w:val="006C430A"/>
    <w:rsid w:val="006C639D"/>
    <w:rsid w:val="006C7475"/>
    <w:rsid w:val="006D0CD0"/>
    <w:rsid w:val="006D27AB"/>
    <w:rsid w:val="006D296C"/>
    <w:rsid w:val="006E2BD8"/>
    <w:rsid w:val="006E4957"/>
    <w:rsid w:val="006E510B"/>
    <w:rsid w:val="006E5CCB"/>
    <w:rsid w:val="006E5E1F"/>
    <w:rsid w:val="006E7458"/>
    <w:rsid w:val="006F0E55"/>
    <w:rsid w:val="006F1409"/>
    <w:rsid w:val="006F1F5D"/>
    <w:rsid w:val="006F3154"/>
    <w:rsid w:val="006F4339"/>
    <w:rsid w:val="006F4888"/>
    <w:rsid w:val="006F4BF8"/>
    <w:rsid w:val="006F63E4"/>
    <w:rsid w:val="006F69E7"/>
    <w:rsid w:val="006F6DAC"/>
    <w:rsid w:val="006F7CBE"/>
    <w:rsid w:val="007006BC"/>
    <w:rsid w:val="00700D26"/>
    <w:rsid w:val="00701AAE"/>
    <w:rsid w:val="00704F48"/>
    <w:rsid w:val="00705DDB"/>
    <w:rsid w:val="00705EC8"/>
    <w:rsid w:val="007102CB"/>
    <w:rsid w:val="007104C5"/>
    <w:rsid w:val="00711954"/>
    <w:rsid w:val="00712452"/>
    <w:rsid w:val="00717207"/>
    <w:rsid w:val="00720868"/>
    <w:rsid w:val="00720E78"/>
    <w:rsid w:val="00725854"/>
    <w:rsid w:val="00726DB7"/>
    <w:rsid w:val="00727B21"/>
    <w:rsid w:val="00727CC5"/>
    <w:rsid w:val="00731A72"/>
    <w:rsid w:val="00731C58"/>
    <w:rsid w:val="00740121"/>
    <w:rsid w:val="00741EE5"/>
    <w:rsid w:val="00750ACE"/>
    <w:rsid w:val="00750FEE"/>
    <w:rsid w:val="0075108E"/>
    <w:rsid w:val="0075338D"/>
    <w:rsid w:val="00753B19"/>
    <w:rsid w:val="00756428"/>
    <w:rsid w:val="007568E8"/>
    <w:rsid w:val="00756E42"/>
    <w:rsid w:val="00760299"/>
    <w:rsid w:val="0076236C"/>
    <w:rsid w:val="00763C10"/>
    <w:rsid w:val="00766CED"/>
    <w:rsid w:val="00770A8F"/>
    <w:rsid w:val="00776BD1"/>
    <w:rsid w:val="00781353"/>
    <w:rsid w:val="0078333D"/>
    <w:rsid w:val="00783682"/>
    <w:rsid w:val="00784C58"/>
    <w:rsid w:val="00790B75"/>
    <w:rsid w:val="00790B92"/>
    <w:rsid w:val="00791332"/>
    <w:rsid w:val="00792AFA"/>
    <w:rsid w:val="0079440F"/>
    <w:rsid w:val="00796137"/>
    <w:rsid w:val="007A2208"/>
    <w:rsid w:val="007A47F9"/>
    <w:rsid w:val="007A5C05"/>
    <w:rsid w:val="007A6538"/>
    <w:rsid w:val="007A7EFF"/>
    <w:rsid w:val="007B0B3A"/>
    <w:rsid w:val="007B19E4"/>
    <w:rsid w:val="007B2189"/>
    <w:rsid w:val="007B72EE"/>
    <w:rsid w:val="007B7AAD"/>
    <w:rsid w:val="007B7E9D"/>
    <w:rsid w:val="007C027C"/>
    <w:rsid w:val="007C236E"/>
    <w:rsid w:val="007C3171"/>
    <w:rsid w:val="007C34E1"/>
    <w:rsid w:val="007C424D"/>
    <w:rsid w:val="007C4819"/>
    <w:rsid w:val="007C7776"/>
    <w:rsid w:val="007D0E92"/>
    <w:rsid w:val="007D28A9"/>
    <w:rsid w:val="007D298E"/>
    <w:rsid w:val="007D479F"/>
    <w:rsid w:val="007E1D4E"/>
    <w:rsid w:val="007E4362"/>
    <w:rsid w:val="007E79DD"/>
    <w:rsid w:val="007F12E6"/>
    <w:rsid w:val="007F18D2"/>
    <w:rsid w:val="007F25D5"/>
    <w:rsid w:val="007F26AD"/>
    <w:rsid w:val="007F3003"/>
    <w:rsid w:val="007F597E"/>
    <w:rsid w:val="007F6580"/>
    <w:rsid w:val="0080034B"/>
    <w:rsid w:val="00800C68"/>
    <w:rsid w:val="00800FEF"/>
    <w:rsid w:val="0080136D"/>
    <w:rsid w:val="00802EEB"/>
    <w:rsid w:val="00803490"/>
    <w:rsid w:val="00804808"/>
    <w:rsid w:val="00820FF5"/>
    <w:rsid w:val="00821F80"/>
    <w:rsid w:val="008221AC"/>
    <w:rsid w:val="00824A7E"/>
    <w:rsid w:val="00825A00"/>
    <w:rsid w:val="0082642A"/>
    <w:rsid w:val="008266C5"/>
    <w:rsid w:val="008269AF"/>
    <w:rsid w:val="00826BF0"/>
    <w:rsid w:val="00832336"/>
    <w:rsid w:val="00833B37"/>
    <w:rsid w:val="008344A2"/>
    <w:rsid w:val="00834AEF"/>
    <w:rsid w:val="00834DA5"/>
    <w:rsid w:val="00835ADD"/>
    <w:rsid w:val="008372D0"/>
    <w:rsid w:val="00837C18"/>
    <w:rsid w:val="00841C62"/>
    <w:rsid w:val="0084254E"/>
    <w:rsid w:val="008430A1"/>
    <w:rsid w:val="00844502"/>
    <w:rsid w:val="00844D0B"/>
    <w:rsid w:val="00851030"/>
    <w:rsid w:val="00851312"/>
    <w:rsid w:val="00853EAD"/>
    <w:rsid w:val="0085612E"/>
    <w:rsid w:val="008564F2"/>
    <w:rsid w:val="008565F1"/>
    <w:rsid w:val="00861ECF"/>
    <w:rsid w:val="0086347B"/>
    <w:rsid w:val="0086542D"/>
    <w:rsid w:val="008658C2"/>
    <w:rsid w:val="008670DC"/>
    <w:rsid w:val="008672C2"/>
    <w:rsid w:val="0086794C"/>
    <w:rsid w:val="008727E4"/>
    <w:rsid w:val="00882831"/>
    <w:rsid w:val="00885737"/>
    <w:rsid w:val="00886B0A"/>
    <w:rsid w:val="0088789C"/>
    <w:rsid w:val="00896A81"/>
    <w:rsid w:val="00897583"/>
    <w:rsid w:val="008B14E4"/>
    <w:rsid w:val="008B271E"/>
    <w:rsid w:val="008B75F5"/>
    <w:rsid w:val="008C1315"/>
    <w:rsid w:val="008C16E3"/>
    <w:rsid w:val="008C1864"/>
    <w:rsid w:val="008C25A6"/>
    <w:rsid w:val="008C508C"/>
    <w:rsid w:val="008C5CC4"/>
    <w:rsid w:val="008C798E"/>
    <w:rsid w:val="008D035F"/>
    <w:rsid w:val="008D23E7"/>
    <w:rsid w:val="008D3628"/>
    <w:rsid w:val="008D38DD"/>
    <w:rsid w:val="008D4CFB"/>
    <w:rsid w:val="008D5A7F"/>
    <w:rsid w:val="008D7691"/>
    <w:rsid w:val="008D798D"/>
    <w:rsid w:val="008E118F"/>
    <w:rsid w:val="008E150D"/>
    <w:rsid w:val="008E3328"/>
    <w:rsid w:val="008E4F6B"/>
    <w:rsid w:val="008E6290"/>
    <w:rsid w:val="008E7BB6"/>
    <w:rsid w:val="008F0D11"/>
    <w:rsid w:val="008F35FE"/>
    <w:rsid w:val="008F3AFB"/>
    <w:rsid w:val="008F465F"/>
    <w:rsid w:val="008F6AC5"/>
    <w:rsid w:val="00900960"/>
    <w:rsid w:val="00902A66"/>
    <w:rsid w:val="00904060"/>
    <w:rsid w:val="009047E7"/>
    <w:rsid w:val="00905205"/>
    <w:rsid w:val="009077C0"/>
    <w:rsid w:val="00912DDF"/>
    <w:rsid w:val="0091583D"/>
    <w:rsid w:val="00917442"/>
    <w:rsid w:val="009177CC"/>
    <w:rsid w:val="00920104"/>
    <w:rsid w:val="00923C08"/>
    <w:rsid w:val="009260B6"/>
    <w:rsid w:val="00932EE5"/>
    <w:rsid w:val="009362E9"/>
    <w:rsid w:val="00937AAA"/>
    <w:rsid w:val="009407F3"/>
    <w:rsid w:val="00941BEA"/>
    <w:rsid w:val="00941EDF"/>
    <w:rsid w:val="0094317D"/>
    <w:rsid w:val="00945144"/>
    <w:rsid w:val="00946B43"/>
    <w:rsid w:val="009502AA"/>
    <w:rsid w:val="009512BE"/>
    <w:rsid w:val="00954399"/>
    <w:rsid w:val="0095459B"/>
    <w:rsid w:val="00954ABB"/>
    <w:rsid w:val="00957031"/>
    <w:rsid w:val="00961A60"/>
    <w:rsid w:val="00962844"/>
    <w:rsid w:val="009648CF"/>
    <w:rsid w:val="00964C0C"/>
    <w:rsid w:val="00965CF6"/>
    <w:rsid w:val="00966C26"/>
    <w:rsid w:val="00974764"/>
    <w:rsid w:val="00975E8A"/>
    <w:rsid w:val="00976457"/>
    <w:rsid w:val="0098096C"/>
    <w:rsid w:val="00982DED"/>
    <w:rsid w:val="0098344A"/>
    <w:rsid w:val="0098365C"/>
    <w:rsid w:val="00984C84"/>
    <w:rsid w:val="00986A4D"/>
    <w:rsid w:val="00986CCF"/>
    <w:rsid w:val="0098737F"/>
    <w:rsid w:val="00987469"/>
    <w:rsid w:val="0099163C"/>
    <w:rsid w:val="00992835"/>
    <w:rsid w:val="00997698"/>
    <w:rsid w:val="00997E80"/>
    <w:rsid w:val="009A4868"/>
    <w:rsid w:val="009A626F"/>
    <w:rsid w:val="009B00D1"/>
    <w:rsid w:val="009B0996"/>
    <w:rsid w:val="009B165E"/>
    <w:rsid w:val="009B1692"/>
    <w:rsid w:val="009B1D2F"/>
    <w:rsid w:val="009B2FBA"/>
    <w:rsid w:val="009B4CD4"/>
    <w:rsid w:val="009B7F04"/>
    <w:rsid w:val="009C0A7B"/>
    <w:rsid w:val="009C0AFC"/>
    <w:rsid w:val="009C26E4"/>
    <w:rsid w:val="009C2E8F"/>
    <w:rsid w:val="009C7D29"/>
    <w:rsid w:val="009D03C0"/>
    <w:rsid w:val="009D0839"/>
    <w:rsid w:val="009D1329"/>
    <w:rsid w:val="009D2313"/>
    <w:rsid w:val="009D4D7E"/>
    <w:rsid w:val="009E161E"/>
    <w:rsid w:val="009E189A"/>
    <w:rsid w:val="009F0303"/>
    <w:rsid w:val="009F2324"/>
    <w:rsid w:val="009F4328"/>
    <w:rsid w:val="009F5856"/>
    <w:rsid w:val="009F6C3E"/>
    <w:rsid w:val="009F7154"/>
    <w:rsid w:val="009F7950"/>
    <w:rsid w:val="00A0305B"/>
    <w:rsid w:val="00A10503"/>
    <w:rsid w:val="00A12AEE"/>
    <w:rsid w:val="00A141C7"/>
    <w:rsid w:val="00A14D9F"/>
    <w:rsid w:val="00A153B9"/>
    <w:rsid w:val="00A15972"/>
    <w:rsid w:val="00A2072B"/>
    <w:rsid w:val="00A22E59"/>
    <w:rsid w:val="00A260CC"/>
    <w:rsid w:val="00A27D79"/>
    <w:rsid w:val="00A30276"/>
    <w:rsid w:val="00A32604"/>
    <w:rsid w:val="00A36AF4"/>
    <w:rsid w:val="00A36EB7"/>
    <w:rsid w:val="00A37BB3"/>
    <w:rsid w:val="00A4030C"/>
    <w:rsid w:val="00A405F7"/>
    <w:rsid w:val="00A408F0"/>
    <w:rsid w:val="00A443B9"/>
    <w:rsid w:val="00A446D3"/>
    <w:rsid w:val="00A4489E"/>
    <w:rsid w:val="00A4756E"/>
    <w:rsid w:val="00A5232D"/>
    <w:rsid w:val="00A53C81"/>
    <w:rsid w:val="00A5799D"/>
    <w:rsid w:val="00A618CF"/>
    <w:rsid w:val="00A61D4D"/>
    <w:rsid w:val="00A63BA7"/>
    <w:rsid w:val="00A6492B"/>
    <w:rsid w:val="00A64A4D"/>
    <w:rsid w:val="00A7009C"/>
    <w:rsid w:val="00A722DB"/>
    <w:rsid w:val="00A72642"/>
    <w:rsid w:val="00A7599B"/>
    <w:rsid w:val="00A765CC"/>
    <w:rsid w:val="00A77571"/>
    <w:rsid w:val="00A80BBF"/>
    <w:rsid w:val="00A80F45"/>
    <w:rsid w:val="00A81458"/>
    <w:rsid w:val="00A81FC2"/>
    <w:rsid w:val="00A83D86"/>
    <w:rsid w:val="00A84911"/>
    <w:rsid w:val="00A86551"/>
    <w:rsid w:val="00A86F68"/>
    <w:rsid w:val="00A9053C"/>
    <w:rsid w:val="00A90618"/>
    <w:rsid w:val="00A926C4"/>
    <w:rsid w:val="00A94992"/>
    <w:rsid w:val="00A95893"/>
    <w:rsid w:val="00A95F61"/>
    <w:rsid w:val="00A962AD"/>
    <w:rsid w:val="00AA1BA3"/>
    <w:rsid w:val="00AA2E52"/>
    <w:rsid w:val="00AA3E1A"/>
    <w:rsid w:val="00AA7DCB"/>
    <w:rsid w:val="00AB2937"/>
    <w:rsid w:val="00AB66C5"/>
    <w:rsid w:val="00AB7D40"/>
    <w:rsid w:val="00AC0571"/>
    <w:rsid w:val="00AC0FBC"/>
    <w:rsid w:val="00AC1416"/>
    <w:rsid w:val="00AC2A7F"/>
    <w:rsid w:val="00AC2C89"/>
    <w:rsid w:val="00AC30A8"/>
    <w:rsid w:val="00AC6BD7"/>
    <w:rsid w:val="00AC7223"/>
    <w:rsid w:val="00AD252D"/>
    <w:rsid w:val="00AD3477"/>
    <w:rsid w:val="00AD3B6A"/>
    <w:rsid w:val="00AD4B5C"/>
    <w:rsid w:val="00AD5F8E"/>
    <w:rsid w:val="00AE2B8B"/>
    <w:rsid w:val="00AE32CD"/>
    <w:rsid w:val="00AE4E16"/>
    <w:rsid w:val="00AF37D3"/>
    <w:rsid w:val="00AF46DF"/>
    <w:rsid w:val="00AF52D5"/>
    <w:rsid w:val="00AF6564"/>
    <w:rsid w:val="00AF76CC"/>
    <w:rsid w:val="00B03675"/>
    <w:rsid w:val="00B04B28"/>
    <w:rsid w:val="00B06181"/>
    <w:rsid w:val="00B07212"/>
    <w:rsid w:val="00B07705"/>
    <w:rsid w:val="00B11F9F"/>
    <w:rsid w:val="00B13022"/>
    <w:rsid w:val="00B13DC1"/>
    <w:rsid w:val="00B1427B"/>
    <w:rsid w:val="00B15AC2"/>
    <w:rsid w:val="00B24967"/>
    <w:rsid w:val="00B255EF"/>
    <w:rsid w:val="00B301B3"/>
    <w:rsid w:val="00B3038E"/>
    <w:rsid w:val="00B31D23"/>
    <w:rsid w:val="00B33AA2"/>
    <w:rsid w:val="00B347C7"/>
    <w:rsid w:val="00B3521D"/>
    <w:rsid w:val="00B357A9"/>
    <w:rsid w:val="00B36C83"/>
    <w:rsid w:val="00B401C9"/>
    <w:rsid w:val="00B44F59"/>
    <w:rsid w:val="00B4536A"/>
    <w:rsid w:val="00B46FAF"/>
    <w:rsid w:val="00B536EC"/>
    <w:rsid w:val="00B53E60"/>
    <w:rsid w:val="00B54238"/>
    <w:rsid w:val="00B56CD7"/>
    <w:rsid w:val="00B61C5D"/>
    <w:rsid w:val="00B63F6B"/>
    <w:rsid w:val="00B70A5D"/>
    <w:rsid w:val="00B7228B"/>
    <w:rsid w:val="00B753D1"/>
    <w:rsid w:val="00B76E7B"/>
    <w:rsid w:val="00B8330B"/>
    <w:rsid w:val="00B83690"/>
    <w:rsid w:val="00B836CC"/>
    <w:rsid w:val="00B8557D"/>
    <w:rsid w:val="00B876A9"/>
    <w:rsid w:val="00B90597"/>
    <w:rsid w:val="00B91B76"/>
    <w:rsid w:val="00B91BB9"/>
    <w:rsid w:val="00B925F6"/>
    <w:rsid w:val="00B92A47"/>
    <w:rsid w:val="00B94E56"/>
    <w:rsid w:val="00B952AE"/>
    <w:rsid w:val="00B95A49"/>
    <w:rsid w:val="00B95E24"/>
    <w:rsid w:val="00B95FE5"/>
    <w:rsid w:val="00B9650A"/>
    <w:rsid w:val="00B96879"/>
    <w:rsid w:val="00BA50EE"/>
    <w:rsid w:val="00BA52FD"/>
    <w:rsid w:val="00BA6F80"/>
    <w:rsid w:val="00BB139A"/>
    <w:rsid w:val="00BB1437"/>
    <w:rsid w:val="00BB213A"/>
    <w:rsid w:val="00BB24C4"/>
    <w:rsid w:val="00BB3660"/>
    <w:rsid w:val="00BB4C48"/>
    <w:rsid w:val="00BB527F"/>
    <w:rsid w:val="00BC2AC0"/>
    <w:rsid w:val="00BC74B0"/>
    <w:rsid w:val="00BD0663"/>
    <w:rsid w:val="00BD27C1"/>
    <w:rsid w:val="00BD43B0"/>
    <w:rsid w:val="00BD454A"/>
    <w:rsid w:val="00BD5CC9"/>
    <w:rsid w:val="00BD6115"/>
    <w:rsid w:val="00BE0710"/>
    <w:rsid w:val="00BE0B34"/>
    <w:rsid w:val="00BE467F"/>
    <w:rsid w:val="00BE66C1"/>
    <w:rsid w:val="00BE6745"/>
    <w:rsid w:val="00BF05CD"/>
    <w:rsid w:val="00BF2A84"/>
    <w:rsid w:val="00BF3DEB"/>
    <w:rsid w:val="00BF6BDF"/>
    <w:rsid w:val="00BF7CD4"/>
    <w:rsid w:val="00C007AE"/>
    <w:rsid w:val="00C00B45"/>
    <w:rsid w:val="00C020F5"/>
    <w:rsid w:val="00C04EA0"/>
    <w:rsid w:val="00C05608"/>
    <w:rsid w:val="00C060F9"/>
    <w:rsid w:val="00C102A0"/>
    <w:rsid w:val="00C1031F"/>
    <w:rsid w:val="00C11C9B"/>
    <w:rsid w:val="00C142D7"/>
    <w:rsid w:val="00C14DDC"/>
    <w:rsid w:val="00C16B9F"/>
    <w:rsid w:val="00C177E5"/>
    <w:rsid w:val="00C21032"/>
    <w:rsid w:val="00C240CC"/>
    <w:rsid w:val="00C24126"/>
    <w:rsid w:val="00C2575D"/>
    <w:rsid w:val="00C26055"/>
    <w:rsid w:val="00C307BF"/>
    <w:rsid w:val="00C30BD1"/>
    <w:rsid w:val="00C3637D"/>
    <w:rsid w:val="00C37078"/>
    <w:rsid w:val="00C4067B"/>
    <w:rsid w:val="00C44966"/>
    <w:rsid w:val="00C454FA"/>
    <w:rsid w:val="00C47EDF"/>
    <w:rsid w:val="00C51BE6"/>
    <w:rsid w:val="00C51D74"/>
    <w:rsid w:val="00C6026A"/>
    <w:rsid w:val="00C65074"/>
    <w:rsid w:val="00C666C7"/>
    <w:rsid w:val="00C673BA"/>
    <w:rsid w:val="00C67940"/>
    <w:rsid w:val="00C700C1"/>
    <w:rsid w:val="00C7044E"/>
    <w:rsid w:val="00C713AA"/>
    <w:rsid w:val="00C71A68"/>
    <w:rsid w:val="00C71DEC"/>
    <w:rsid w:val="00C7304D"/>
    <w:rsid w:val="00C7413A"/>
    <w:rsid w:val="00C75292"/>
    <w:rsid w:val="00C75B63"/>
    <w:rsid w:val="00C76712"/>
    <w:rsid w:val="00C82359"/>
    <w:rsid w:val="00C8240C"/>
    <w:rsid w:val="00C83B73"/>
    <w:rsid w:val="00C84B93"/>
    <w:rsid w:val="00C84D72"/>
    <w:rsid w:val="00C90849"/>
    <w:rsid w:val="00C95B83"/>
    <w:rsid w:val="00C960A7"/>
    <w:rsid w:val="00C962E5"/>
    <w:rsid w:val="00C96AA8"/>
    <w:rsid w:val="00C97EDE"/>
    <w:rsid w:val="00CA03FD"/>
    <w:rsid w:val="00CA2FC5"/>
    <w:rsid w:val="00CA44A4"/>
    <w:rsid w:val="00CA71DA"/>
    <w:rsid w:val="00CA79AA"/>
    <w:rsid w:val="00CA7ADB"/>
    <w:rsid w:val="00CB2FC7"/>
    <w:rsid w:val="00CB4D61"/>
    <w:rsid w:val="00CB6B44"/>
    <w:rsid w:val="00CB7145"/>
    <w:rsid w:val="00CB7AEA"/>
    <w:rsid w:val="00CC12CB"/>
    <w:rsid w:val="00CC1C1A"/>
    <w:rsid w:val="00CC5409"/>
    <w:rsid w:val="00CC57FE"/>
    <w:rsid w:val="00CC59B0"/>
    <w:rsid w:val="00CD1AD6"/>
    <w:rsid w:val="00CD24C9"/>
    <w:rsid w:val="00CD6C60"/>
    <w:rsid w:val="00CE25D0"/>
    <w:rsid w:val="00CE5667"/>
    <w:rsid w:val="00CE6260"/>
    <w:rsid w:val="00CF05CF"/>
    <w:rsid w:val="00CF1FE2"/>
    <w:rsid w:val="00CF23D7"/>
    <w:rsid w:val="00CF3375"/>
    <w:rsid w:val="00CF6259"/>
    <w:rsid w:val="00CF6CBA"/>
    <w:rsid w:val="00D0069D"/>
    <w:rsid w:val="00D01CCE"/>
    <w:rsid w:val="00D058AD"/>
    <w:rsid w:val="00D05C38"/>
    <w:rsid w:val="00D0638E"/>
    <w:rsid w:val="00D10D2A"/>
    <w:rsid w:val="00D13B3B"/>
    <w:rsid w:val="00D2235E"/>
    <w:rsid w:val="00D22DC5"/>
    <w:rsid w:val="00D2353D"/>
    <w:rsid w:val="00D238A7"/>
    <w:rsid w:val="00D23CFF"/>
    <w:rsid w:val="00D24235"/>
    <w:rsid w:val="00D242BD"/>
    <w:rsid w:val="00D3048F"/>
    <w:rsid w:val="00D3147E"/>
    <w:rsid w:val="00D3419F"/>
    <w:rsid w:val="00D373D9"/>
    <w:rsid w:val="00D40C3E"/>
    <w:rsid w:val="00D415A4"/>
    <w:rsid w:val="00D41EC5"/>
    <w:rsid w:val="00D43B8B"/>
    <w:rsid w:val="00D43EAD"/>
    <w:rsid w:val="00D441F1"/>
    <w:rsid w:val="00D4549F"/>
    <w:rsid w:val="00D45808"/>
    <w:rsid w:val="00D56E44"/>
    <w:rsid w:val="00D5755D"/>
    <w:rsid w:val="00D6047A"/>
    <w:rsid w:val="00D64544"/>
    <w:rsid w:val="00D724A0"/>
    <w:rsid w:val="00D767FA"/>
    <w:rsid w:val="00D777FC"/>
    <w:rsid w:val="00D81A4E"/>
    <w:rsid w:val="00D82DD9"/>
    <w:rsid w:val="00D83937"/>
    <w:rsid w:val="00D83C49"/>
    <w:rsid w:val="00D85555"/>
    <w:rsid w:val="00D8562E"/>
    <w:rsid w:val="00D85676"/>
    <w:rsid w:val="00D85FD4"/>
    <w:rsid w:val="00D92670"/>
    <w:rsid w:val="00D96247"/>
    <w:rsid w:val="00D965BA"/>
    <w:rsid w:val="00D9725C"/>
    <w:rsid w:val="00DA03DA"/>
    <w:rsid w:val="00DA2ED3"/>
    <w:rsid w:val="00DA3397"/>
    <w:rsid w:val="00DA3F05"/>
    <w:rsid w:val="00DA624C"/>
    <w:rsid w:val="00DA6C87"/>
    <w:rsid w:val="00DA7B35"/>
    <w:rsid w:val="00DA7F42"/>
    <w:rsid w:val="00DB01D8"/>
    <w:rsid w:val="00DB19BE"/>
    <w:rsid w:val="00DB452E"/>
    <w:rsid w:val="00DB5442"/>
    <w:rsid w:val="00DB5921"/>
    <w:rsid w:val="00DB5C56"/>
    <w:rsid w:val="00DB663A"/>
    <w:rsid w:val="00DB71C5"/>
    <w:rsid w:val="00DC134E"/>
    <w:rsid w:val="00DC207C"/>
    <w:rsid w:val="00DC2136"/>
    <w:rsid w:val="00DC3765"/>
    <w:rsid w:val="00DC3A04"/>
    <w:rsid w:val="00DC77BD"/>
    <w:rsid w:val="00DC7FCA"/>
    <w:rsid w:val="00DD116F"/>
    <w:rsid w:val="00DD136D"/>
    <w:rsid w:val="00DD257B"/>
    <w:rsid w:val="00DD2B2B"/>
    <w:rsid w:val="00DD7AB4"/>
    <w:rsid w:val="00DF0AF2"/>
    <w:rsid w:val="00DF1802"/>
    <w:rsid w:val="00DF1F36"/>
    <w:rsid w:val="00DF349A"/>
    <w:rsid w:val="00DF3DFB"/>
    <w:rsid w:val="00DF516D"/>
    <w:rsid w:val="00DF7554"/>
    <w:rsid w:val="00DF7EB9"/>
    <w:rsid w:val="00E109BD"/>
    <w:rsid w:val="00E119C4"/>
    <w:rsid w:val="00E139C9"/>
    <w:rsid w:val="00E13AC0"/>
    <w:rsid w:val="00E14858"/>
    <w:rsid w:val="00E14F6D"/>
    <w:rsid w:val="00E150FE"/>
    <w:rsid w:val="00E17553"/>
    <w:rsid w:val="00E20B96"/>
    <w:rsid w:val="00E21157"/>
    <w:rsid w:val="00E216D6"/>
    <w:rsid w:val="00E225FA"/>
    <w:rsid w:val="00E2642F"/>
    <w:rsid w:val="00E26CCC"/>
    <w:rsid w:val="00E3158A"/>
    <w:rsid w:val="00E32595"/>
    <w:rsid w:val="00E33633"/>
    <w:rsid w:val="00E4141A"/>
    <w:rsid w:val="00E4273B"/>
    <w:rsid w:val="00E45CA4"/>
    <w:rsid w:val="00E46C13"/>
    <w:rsid w:val="00E51569"/>
    <w:rsid w:val="00E51A57"/>
    <w:rsid w:val="00E54449"/>
    <w:rsid w:val="00E55441"/>
    <w:rsid w:val="00E565EE"/>
    <w:rsid w:val="00E572E3"/>
    <w:rsid w:val="00E57A9B"/>
    <w:rsid w:val="00E623B2"/>
    <w:rsid w:val="00E65E91"/>
    <w:rsid w:val="00E669C8"/>
    <w:rsid w:val="00E67353"/>
    <w:rsid w:val="00E71314"/>
    <w:rsid w:val="00E741C8"/>
    <w:rsid w:val="00E772FC"/>
    <w:rsid w:val="00E77D3C"/>
    <w:rsid w:val="00E77F8B"/>
    <w:rsid w:val="00E802F5"/>
    <w:rsid w:val="00E81159"/>
    <w:rsid w:val="00E81A4A"/>
    <w:rsid w:val="00E83006"/>
    <w:rsid w:val="00E854AD"/>
    <w:rsid w:val="00E85766"/>
    <w:rsid w:val="00E900C4"/>
    <w:rsid w:val="00E90298"/>
    <w:rsid w:val="00E90319"/>
    <w:rsid w:val="00E91CB2"/>
    <w:rsid w:val="00E94349"/>
    <w:rsid w:val="00E972AE"/>
    <w:rsid w:val="00EA021D"/>
    <w:rsid w:val="00EA5B9D"/>
    <w:rsid w:val="00EA5F83"/>
    <w:rsid w:val="00EB04B5"/>
    <w:rsid w:val="00EB265C"/>
    <w:rsid w:val="00EB4DBD"/>
    <w:rsid w:val="00EB7897"/>
    <w:rsid w:val="00EC014C"/>
    <w:rsid w:val="00EC12E8"/>
    <w:rsid w:val="00EC1FAB"/>
    <w:rsid w:val="00ED1987"/>
    <w:rsid w:val="00ED2EBF"/>
    <w:rsid w:val="00ED3D5D"/>
    <w:rsid w:val="00ED5BCA"/>
    <w:rsid w:val="00ED7E1C"/>
    <w:rsid w:val="00EE0EC9"/>
    <w:rsid w:val="00EE1203"/>
    <w:rsid w:val="00EE3DB5"/>
    <w:rsid w:val="00EE6C8F"/>
    <w:rsid w:val="00EF15B4"/>
    <w:rsid w:val="00EF4CB0"/>
    <w:rsid w:val="00EF5F01"/>
    <w:rsid w:val="00EF6187"/>
    <w:rsid w:val="00F00685"/>
    <w:rsid w:val="00F00DBB"/>
    <w:rsid w:val="00F01B54"/>
    <w:rsid w:val="00F110F0"/>
    <w:rsid w:val="00F12154"/>
    <w:rsid w:val="00F125EB"/>
    <w:rsid w:val="00F12FA1"/>
    <w:rsid w:val="00F138E1"/>
    <w:rsid w:val="00F15692"/>
    <w:rsid w:val="00F231D6"/>
    <w:rsid w:val="00F23B37"/>
    <w:rsid w:val="00F256C6"/>
    <w:rsid w:val="00F26190"/>
    <w:rsid w:val="00F27AF0"/>
    <w:rsid w:val="00F30425"/>
    <w:rsid w:val="00F335CA"/>
    <w:rsid w:val="00F34545"/>
    <w:rsid w:val="00F378CB"/>
    <w:rsid w:val="00F41387"/>
    <w:rsid w:val="00F415BE"/>
    <w:rsid w:val="00F42E7B"/>
    <w:rsid w:val="00F44532"/>
    <w:rsid w:val="00F4501E"/>
    <w:rsid w:val="00F508CD"/>
    <w:rsid w:val="00F52B07"/>
    <w:rsid w:val="00F54A71"/>
    <w:rsid w:val="00F60E5D"/>
    <w:rsid w:val="00F6110A"/>
    <w:rsid w:val="00F640E1"/>
    <w:rsid w:val="00F64815"/>
    <w:rsid w:val="00F704FD"/>
    <w:rsid w:val="00F71252"/>
    <w:rsid w:val="00F71B8F"/>
    <w:rsid w:val="00F7270A"/>
    <w:rsid w:val="00F7407C"/>
    <w:rsid w:val="00F76A9D"/>
    <w:rsid w:val="00F83F3C"/>
    <w:rsid w:val="00F844FB"/>
    <w:rsid w:val="00F85181"/>
    <w:rsid w:val="00F87807"/>
    <w:rsid w:val="00F91924"/>
    <w:rsid w:val="00F92A37"/>
    <w:rsid w:val="00F95066"/>
    <w:rsid w:val="00FA152C"/>
    <w:rsid w:val="00FA2886"/>
    <w:rsid w:val="00FA4774"/>
    <w:rsid w:val="00FA5036"/>
    <w:rsid w:val="00FA5326"/>
    <w:rsid w:val="00FA6F48"/>
    <w:rsid w:val="00FA7D72"/>
    <w:rsid w:val="00FB0160"/>
    <w:rsid w:val="00FB0BE9"/>
    <w:rsid w:val="00FC12BE"/>
    <w:rsid w:val="00FC23BF"/>
    <w:rsid w:val="00FC49E6"/>
    <w:rsid w:val="00FD0EDF"/>
    <w:rsid w:val="00FD3130"/>
    <w:rsid w:val="00FD6C32"/>
    <w:rsid w:val="00FE07F6"/>
    <w:rsid w:val="00FE2FDA"/>
    <w:rsid w:val="00FE7513"/>
    <w:rsid w:val="00FF01C4"/>
    <w:rsid w:val="00FF0EDF"/>
    <w:rsid w:val="00FF4763"/>
    <w:rsid w:val="00FF493E"/>
    <w:rsid w:val="00FF4AF2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1E01"/>
  <w15:chartTrackingRefBased/>
  <w15:docId w15:val="{1E95B631-4425-4DC2-895C-F6766BEA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5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3C7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1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AE"/>
  </w:style>
  <w:style w:type="paragraph" w:styleId="Footer">
    <w:name w:val="footer"/>
    <w:basedOn w:val="Normal"/>
    <w:link w:val="FooterChar"/>
    <w:uiPriority w:val="99"/>
    <w:unhideWhenUsed/>
    <w:rsid w:val="00701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5187-4D48-4980-AF9F-7805B845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Company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Kristin (SPC)</dc:creator>
  <cp:keywords/>
  <dc:description/>
  <cp:lastModifiedBy>Cook, Kristin (SPC)</cp:lastModifiedBy>
  <cp:revision>265</cp:revision>
  <dcterms:created xsi:type="dcterms:W3CDTF">2025-10-27T18:53:00Z</dcterms:created>
  <dcterms:modified xsi:type="dcterms:W3CDTF">2025-12-12T19:36:00Z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3826ce-7c18-471d-9596-93de5bae332e_Enabled">
    <vt:lpwstr>true</vt:lpwstr>
  </property>
  <property fmtid="{D5CDD505-2E9C-101B-9397-08002B2CF9AE}" pid="3" name="MSIP_Label_ed3826ce-7c18-471d-9596-93de5bae332e_SetDate">
    <vt:lpwstr>2025-02-24T17:29:16Z</vt:lpwstr>
  </property>
  <property fmtid="{D5CDD505-2E9C-101B-9397-08002B2CF9AE}" pid="4" name="MSIP_Label_ed3826ce-7c18-471d-9596-93de5bae332e_Method">
    <vt:lpwstr>Standard</vt:lpwstr>
  </property>
  <property fmtid="{D5CDD505-2E9C-101B-9397-08002B2CF9AE}" pid="5" name="MSIP_Label_ed3826ce-7c18-471d-9596-93de5bae332e_Name">
    <vt:lpwstr>Internal</vt:lpwstr>
  </property>
  <property fmtid="{D5CDD505-2E9C-101B-9397-08002B2CF9AE}" pid="6" name="MSIP_Label_ed3826ce-7c18-471d-9596-93de5bae332e_SiteId">
    <vt:lpwstr>c0a02e2d-1186-410a-8895-0a4a252ebf17</vt:lpwstr>
  </property>
  <property fmtid="{D5CDD505-2E9C-101B-9397-08002B2CF9AE}" pid="7" name="MSIP_Label_ed3826ce-7c18-471d-9596-93de5bae332e_ActionId">
    <vt:lpwstr>1b50d964-291c-4e9f-a23b-8baf8ad65ef5</vt:lpwstr>
  </property>
  <property fmtid="{D5CDD505-2E9C-101B-9397-08002B2CF9AE}" pid="8" name="MSIP_Label_ed3826ce-7c18-471d-9596-93de5bae332e_ContentBits">
    <vt:lpwstr>0</vt:lpwstr>
  </property>
</Properties>
</file>