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8528" w14:textId="452462DC" w:rsidR="000D2AA6" w:rsidRDefault="00844D0B" w:rsidP="00287C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87C66" w:rsidRPr="00287C66">
        <w:rPr>
          <w:b/>
          <w:bCs/>
          <w:sz w:val="28"/>
          <w:szCs w:val="28"/>
        </w:rPr>
        <w:t>Planning Working Group (PLWG) Meeting Minutes</w:t>
      </w:r>
    </w:p>
    <w:p w14:paraId="1EE0C269" w14:textId="1A3E3FCD" w:rsidR="00A765CC" w:rsidRPr="00A765CC" w:rsidRDefault="00197670" w:rsidP="00287C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October 28</w:t>
      </w:r>
      <w:r w:rsidR="00287C66" w:rsidRPr="00287C66">
        <w:rPr>
          <w:b/>
          <w:bCs/>
          <w:sz w:val="28"/>
          <w:szCs w:val="28"/>
        </w:rPr>
        <w:t>, 2025 (</w:t>
      </w:r>
      <w:r w:rsidR="00B24967">
        <w:rPr>
          <w:b/>
          <w:bCs/>
          <w:sz w:val="28"/>
          <w:szCs w:val="28"/>
        </w:rPr>
        <w:t xml:space="preserve">In Person + </w:t>
      </w:r>
      <w:r w:rsidR="00287C66" w:rsidRPr="00287C66">
        <w:rPr>
          <w:b/>
          <w:bCs/>
          <w:sz w:val="28"/>
          <w:szCs w:val="28"/>
        </w:rPr>
        <w:t>WebEx)</w:t>
      </w:r>
    </w:p>
    <w:tbl>
      <w:tblPr>
        <w:tblW w:w="495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7110"/>
        <w:gridCol w:w="1620"/>
      </w:tblGrid>
      <w:tr w:rsidR="0056135A" w:rsidRPr="00A765CC" w14:paraId="2C1C752A" w14:textId="77777777" w:rsidTr="0056135A">
        <w:trPr>
          <w:trHeight w:val="630"/>
        </w:trPr>
        <w:tc>
          <w:tcPr>
            <w:tcW w:w="291" w:type="pct"/>
            <w:hideMark/>
          </w:tcPr>
          <w:p w14:paraId="2F8EFA68" w14:textId="77777777" w:rsidR="0056135A" w:rsidRPr="00A765CC" w:rsidRDefault="0056135A" w:rsidP="00A765CC">
            <w:r w:rsidRPr="00A765CC">
              <w:rPr>
                <w:b/>
                <w:bCs/>
              </w:rPr>
              <w:t>1.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23D7672" w14:textId="77777777" w:rsidR="0056135A" w:rsidRDefault="0056135A" w:rsidP="00A765CC">
            <w:pPr>
              <w:rPr>
                <w:b/>
                <w:bCs/>
              </w:rPr>
            </w:pPr>
            <w:r w:rsidRPr="00A765CC">
              <w:rPr>
                <w:b/>
                <w:bCs/>
              </w:rPr>
              <w:t>Antitrust Admonition</w:t>
            </w:r>
          </w:p>
          <w:p w14:paraId="1B292D78" w14:textId="3D6E7901" w:rsidR="0056135A" w:rsidRPr="00A765CC" w:rsidRDefault="00DC7FCA" w:rsidP="00A765CC">
            <w:r>
              <w:t xml:space="preserve">Meeting </w:t>
            </w:r>
            <w:r w:rsidR="007B7E9D">
              <w:t xml:space="preserve">started </w:t>
            </w:r>
            <w:r>
              <w:t xml:space="preserve">at </w:t>
            </w:r>
            <w:r w:rsidR="00B3038E">
              <w:t>1:00 pm</w:t>
            </w:r>
            <w:r>
              <w:t xml:space="preserve">. </w:t>
            </w:r>
            <w:r w:rsidR="0056135A">
              <w:t>Antitrust admonition was given.</w:t>
            </w:r>
          </w:p>
        </w:tc>
        <w:tc>
          <w:tcPr>
            <w:tcW w:w="874" w:type="pct"/>
            <w:hideMark/>
          </w:tcPr>
          <w:p w14:paraId="15C2053A" w14:textId="77777777" w:rsidR="0056135A" w:rsidRPr="00A765CC" w:rsidRDefault="0056135A" w:rsidP="00A765CC">
            <w:r w:rsidRPr="00A765CC">
              <w:rPr>
                <w:b/>
                <w:bCs/>
              </w:rPr>
              <w:t>Chair</w:t>
            </w:r>
          </w:p>
        </w:tc>
      </w:tr>
      <w:tr w:rsidR="0056135A" w:rsidRPr="00A765CC" w14:paraId="4A04B9CE" w14:textId="77777777" w:rsidTr="0056135A">
        <w:trPr>
          <w:trHeight w:val="630"/>
        </w:trPr>
        <w:tc>
          <w:tcPr>
            <w:tcW w:w="291" w:type="pct"/>
            <w:hideMark/>
          </w:tcPr>
          <w:p w14:paraId="5AC78C3F" w14:textId="77777777" w:rsidR="0056135A" w:rsidRPr="00A765CC" w:rsidRDefault="0056135A" w:rsidP="00A765CC">
            <w:r w:rsidRPr="00A765CC">
              <w:rPr>
                <w:b/>
                <w:bCs/>
              </w:rPr>
              <w:t>2.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D6A44C6" w14:textId="77777777" w:rsidR="0056135A" w:rsidRDefault="0056135A" w:rsidP="00A765CC">
            <w:pPr>
              <w:rPr>
                <w:b/>
                <w:bCs/>
              </w:rPr>
            </w:pPr>
            <w:r w:rsidRPr="00A765CC">
              <w:rPr>
                <w:b/>
                <w:bCs/>
              </w:rPr>
              <w:t>Agenda Review</w:t>
            </w:r>
          </w:p>
          <w:p w14:paraId="345C2B5F" w14:textId="03AFE6BC" w:rsidR="0056135A" w:rsidRPr="00A765CC" w:rsidRDefault="0056135A" w:rsidP="00A765CC">
            <w:r>
              <w:t>Agenda was reviewed.</w:t>
            </w:r>
          </w:p>
        </w:tc>
        <w:tc>
          <w:tcPr>
            <w:tcW w:w="874" w:type="pct"/>
            <w:hideMark/>
          </w:tcPr>
          <w:p w14:paraId="4EF8B739" w14:textId="77777777" w:rsidR="0056135A" w:rsidRPr="00A765CC" w:rsidRDefault="0056135A" w:rsidP="00A765CC">
            <w:r w:rsidRPr="00A765CC">
              <w:rPr>
                <w:b/>
                <w:bCs/>
              </w:rPr>
              <w:t>Chair</w:t>
            </w:r>
          </w:p>
        </w:tc>
      </w:tr>
      <w:tr w:rsidR="0056135A" w:rsidRPr="00A765CC" w14:paraId="7FD5B6DD" w14:textId="77777777" w:rsidTr="0056135A">
        <w:trPr>
          <w:trHeight w:val="630"/>
        </w:trPr>
        <w:tc>
          <w:tcPr>
            <w:tcW w:w="291" w:type="pct"/>
            <w:hideMark/>
          </w:tcPr>
          <w:p w14:paraId="3258EB6E" w14:textId="77777777" w:rsidR="0056135A" w:rsidRPr="00A765CC" w:rsidRDefault="0056135A" w:rsidP="00A765CC">
            <w:r w:rsidRPr="00A765CC">
              <w:rPr>
                <w:b/>
                <w:bCs/>
              </w:rPr>
              <w:t>3.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418ACD8" w14:textId="429C76E1" w:rsidR="0056135A" w:rsidRDefault="0056135A" w:rsidP="00A765CC">
            <w:pPr>
              <w:rPr>
                <w:b/>
                <w:bCs/>
              </w:rPr>
            </w:pPr>
            <w:r w:rsidRPr="00A765CC">
              <w:rPr>
                <w:b/>
                <w:bCs/>
              </w:rPr>
              <w:t>Review of PLWG Meeting Minutes (</w:t>
            </w:r>
            <w:r w:rsidR="00197670">
              <w:rPr>
                <w:b/>
                <w:bCs/>
              </w:rPr>
              <w:t>September 25th</w:t>
            </w:r>
            <w:r w:rsidRPr="00A765CC">
              <w:rPr>
                <w:b/>
                <w:bCs/>
              </w:rPr>
              <w:t>)</w:t>
            </w:r>
          </w:p>
          <w:p w14:paraId="184C9B67" w14:textId="75E1CCFB" w:rsidR="0056135A" w:rsidRPr="00A765CC" w:rsidRDefault="00197670" w:rsidP="00A765CC">
            <w:r>
              <w:t>Note materials are posted to the September 25 meeting page.</w:t>
            </w:r>
            <w:r w:rsidR="0029592A">
              <w:t xml:space="preserve"> Meeting materials reviewed.</w:t>
            </w:r>
            <w:r w:rsidR="0056135A">
              <w:t xml:space="preserve"> No feedback received.</w:t>
            </w:r>
          </w:p>
        </w:tc>
        <w:tc>
          <w:tcPr>
            <w:tcW w:w="874" w:type="pct"/>
            <w:hideMark/>
          </w:tcPr>
          <w:p w14:paraId="4DF279FC" w14:textId="77777777" w:rsidR="0056135A" w:rsidRPr="00A765CC" w:rsidRDefault="0056135A" w:rsidP="00A765CC">
            <w:r w:rsidRPr="00A765CC">
              <w:rPr>
                <w:b/>
                <w:bCs/>
              </w:rPr>
              <w:t>Chair</w:t>
            </w:r>
          </w:p>
        </w:tc>
      </w:tr>
      <w:tr w:rsidR="00D2235E" w:rsidRPr="00A765CC" w14:paraId="2D614973" w14:textId="77777777" w:rsidTr="007A560F">
        <w:trPr>
          <w:trHeight w:val="630"/>
        </w:trPr>
        <w:tc>
          <w:tcPr>
            <w:tcW w:w="291" w:type="pct"/>
          </w:tcPr>
          <w:p w14:paraId="13765B9D" w14:textId="7094BA63" w:rsidR="00D2235E" w:rsidRDefault="00D2235E" w:rsidP="007A560F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BA0B5DD" w14:textId="04956C16" w:rsidR="00D2235E" w:rsidRPr="00D2235E" w:rsidRDefault="00D2235E" w:rsidP="007A560F">
            <w:pPr>
              <w:rPr>
                <w:b/>
                <w:bCs/>
              </w:rPr>
            </w:pPr>
            <w:r w:rsidRPr="00134CED">
              <w:rPr>
                <w:b/>
                <w:bCs/>
              </w:rPr>
              <w:t>PGRR 127</w:t>
            </w:r>
            <w:r>
              <w:rPr>
                <w:b/>
                <w:bCs/>
              </w:rPr>
              <w:t xml:space="preserve"> – </w:t>
            </w:r>
            <w:r w:rsidRPr="008269AF">
              <w:rPr>
                <w:b/>
                <w:bCs/>
              </w:rPr>
              <w:t>Addition</w:t>
            </w:r>
            <w:r>
              <w:rPr>
                <w:b/>
                <w:bCs/>
              </w:rPr>
              <w:t xml:space="preserve"> </w:t>
            </w:r>
            <w:r w:rsidRPr="008269AF">
              <w:rPr>
                <w:b/>
                <w:bCs/>
              </w:rPr>
              <w:t>of Proposed Generation to the Planning Models</w:t>
            </w:r>
          </w:p>
        </w:tc>
        <w:tc>
          <w:tcPr>
            <w:tcW w:w="874" w:type="pct"/>
          </w:tcPr>
          <w:p w14:paraId="7F6DABB5" w14:textId="77777777" w:rsidR="00D2235E" w:rsidRDefault="00D2235E" w:rsidP="007A560F">
            <w:pPr>
              <w:rPr>
                <w:b/>
                <w:bCs/>
              </w:rPr>
            </w:pPr>
            <w:r>
              <w:rPr>
                <w:b/>
                <w:bCs/>
              </w:rPr>
              <w:t>ERCOT</w:t>
            </w:r>
          </w:p>
        </w:tc>
      </w:tr>
      <w:tr w:rsidR="00D2235E" w:rsidRPr="00A765CC" w14:paraId="30C512FE" w14:textId="77777777" w:rsidTr="0056135A">
        <w:trPr>
          <w:trHeight w:val="630"/>
        </w:trPr>
        <w:tc>
          <w:tcPr>
            <w:tcW w:w="291" w:type="pct"/>
          </w:tcPr>
          <w:p w14:paraId="0C983027" w14:textId="77777777" w:rsidR="00D2235E" w:rsidRPr="009B00D1" w:rsidRDefault="00D2235E" w:rsidP="00A765CC"/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37CFDA0" w14:textId="79804316" w:rsidR="00D2235E" w:rsidRPr="00A12AEE" w:rsidRDefault="00D2235E" w:rsidP="00A765CC">
            <w:pPr>
              <w:rPr>
                <w:b/>
                <w:bCs/>
              </w:rPr>
            </w:pPr>
            <w:r w:rsidRPr="00A12AEE">
              <w:rPr>
                <w:b/>
                <w:bCs/>
              </w:rPr>
              <w:t>Oncor Comments</w:t>
            </w:r>
            <w:r w:rsidR="00EE6C8F" w:rsidRPr="00A12AEE">
              <w:rPr>
                <w:b/>
                <w:bCs/>
              </w:rPr>
              <w:t xml:space="preserve"> (</w:t>
            </w:r>
            <w:r w:rsidR="00172DAB">
              <w:rPr>
                <w:b/>
                <w:bCs/>
              </w:rPr>
              <w:t xml:space="preserve">posted </w:t>
            </w:r>
            <w:r w:rsidR="00EE6C8F" w:rsidRPr="00A12AEE">
              <w:rPr>
                <w:b/>
                <w:bCs/>
              </w:rPr>
              <w:t>10/15)</w:t>
            </w:r>
          </w:p>
          <w:p w14:paraId="457C00BD" w14:textId="3914E0B7" w:rsidR="000C409B" w:rsidRPr="009B00D1" w:rsidRDefault="0000009A" w:rsidP="00A765CC">
            <w:r>
              <w:t xml:space="preserve">Martha Henson – </w:t>
            </w:r>
            <w:r w:rsidR="00172DAB">
              <w:t xml:space="preserve">Oncor </w:t>
            </w:r>
            <w:r>
              <w:t>overall support</w:t>
            </w:r>
            <w:r w:rsidR="00172DAB">
              <w:t>s</w:t>
            </w:r>
            <w:r>
              <w:t xml:space="preserve"> the revision</w:t>
            </w:r>
            <w:r w:rsidR="00172DAB">
              <w:t xml:space="preserve"> request</w:t>
            </w:r>
            <w:r>
              <w:t xml:space="preserve"> and </w:t>
            </w:r>
            <w:r w:rsidR="005B2589">
              <w:t>offers redlines to suggest</w:t>
            </w:r>
            <w:r>
              <w:t xml:space="preserve"> several clarifications</w:t>
            </w:r>
            <w:r w:rsidR="005B2589">
              <w:t>.</w:t>
            </w:r>
          </w:p>
        </w:tc>
        <w:tc>
          <w:tcPr>
            <w:tcW w:w="874" w:type="pct"/>
          </w:tcPr>
          <w:p w14:paraId="413531D2" w14:textId="6636BE4E" w:rsidR="00D2235E" w:rsidRPr="009B00D1" w:rsidRDefault="00D2235E" w:rsidP="00A765CC">
            <w:r w:rsidRPr="009B00D1">
              <w:t>Martha Henson</w:t>
            </w:r>
          </w:p>
        </w:tc>
      </w:tr>
      <w:tr w:rsidR="00D2235E" w:rsidRPr="00A765CC" w14:paraId="0D472DFB" w14:textId="77777777" w:rsidTr="0056135A">
        <w:trPr>
          <w:trHeight w:val="630"/>
        </w:trPr>
        <w:tc>
          <w:tcPr>
            <w:tcW w:w="291" w:type="pct"/>
          </w:tcPr>
          <w:p w14:paraId="34EDBA40" w14:textId="77777777" w:rsidR="00D2235E" w:rsidRPr="009B00D1" w:rsidRDefault="00D2235E" w:rsidP="00A765CC"/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B669790" w14:textId="4200F138" w:rsidR="00D2235E" w:rsidRPr="00A12AEE" w:rsidRDefault="00D2235E" w:rsidP="00A765CC">
            <w:pPr>
              <w:rPr>
                <w:b/>
                <w:bCs/>
              </w:rPr>
            </w:pPr>
            <w:r w:rsidRPr="00A12AEE">
              <w:rPr>
                <w:b/>
                <w:bCs/>
              </w:rPr>
              <w:t>ERCOT Comments</w:t>
            </w:r>
            <w:r w:rsidR="00EE6C8F" w:rsidRPr="00A12AEE">
              <w:rPr>
                <w:b/>
                <w:bCs/>
              </w:rPr>
              <w:t xml:space="preserve"> (</w:t>
            </w:r>
            <w:r w:rsidR="00172DAB">
              <w:rPr>
                <w:b/>
                <w:bCs/>
              </w:rPr>
              <w:t xml:space="preserve">posted </w:t>
            </w:r>
            <w:r w:rsidR="00EE6C8F" w:rsidRPr="00A12AEE">
              <w:rPr>
                <w:b/>
                <w:bCs/>
              </w:rPr>
              <w:t>10/21)</w:t>
            </w:r>
          </w:p>
          <w:p w14:paraId="3D3AE796" w14:textId="68261562" w:rsidR="00F52B07" w:rsidRDefault="00545B83" w:rsidP="00A765CC">
            <w:r>
              <w:t xml:space="preserve">Ping </w:t>
            </w:r>
            <w:r w:rsidR="00172DAB">
              <w:t xml:space="preserve">Yan (ERCOT) </w:t>
            </w:r>
            <w:r>
              <w:t>– ERCOT comments are built on top of the Oncor redlines. ERCOT agrees with the Oncor comments and clarifications.</w:t>
            </w:r>
            <w:r w:rsidR="00263B29">
              <w:t xml:space="preserve"> </w:t>
            </w:r>
            <w:r w:rsidR="00172DAB">
              <w:t>This set of comments a</w:t>
            </w:r>
            <w:r w:rsidR="00263B29">
              <w:t>lso incorporates changes from discussions held with LCRA</w:t>
            </w:r>
            <w:r w:rsidR="00172DAB">
              <w:t>, specifically regarding the</w:t>
            </w:r>
            <w:r w:rsidR="00263B29">
              <w:t xml:space="preserve"> sub-categories in (5)(c)</w:t>
            </w:r>
            <w:r w:rsidR="0051393D">
              <w:t>. Still in discussion</w:t>
            </w:r>
            <w:r w:rsidR="00172DAB">
              <w:t>s</w:t>
            </w:r>
            <w:r w:rsidR="0051393D">
              <w:t xml:space="preserve"> with LCRA.</w:t>
            </w:r>
          </w:p>
          <w:p w14:paraId="5FF686AA" w14:textId="07CCCD9C" w:rsidR="0051393D" w:rsidRDefault="0051393D" w:rsidP="00A765CC">
            <w:r>
              <w:t>Raja Kakarla (CenterPoint Energy) – Some TSPs sign the SGIA prior to completing</w:t>
            </w:r>
            <w:r w:rsidR="00D56E44">
              <w:t xml:space="preserve"> FIS – such as (c)(i). </w:t>
            </w:r>
            <w:r w:rsidR="00172DAB">
              <w:t>How will ERCOT handle these scenarios?</w:t>
            </w:r>
          </w:p>
          <w:p w14:paraId="1F0EFB86" w14:textId="51EA856B" w:rsidR="00D56E44" w:rsidRPr="009B00D1" w:rsidRDefault="00D56E44" w:rsidP="00A765CC">
            <w:r>
              <w:t xml:space="preserve">ERCOT does plan to include </w:t>
            </w:r>
            <w:r w:rsidR="00172DAB">
              <w:t xml:space="preserve">projects with a signed </w:t>
            </w:r>
            <w:r w:rsidR="000F5377">
              <w:t>SGIA first</w:t>
            </w:r>
            <w:r w:rsidR="00172DAB">
              <w:t xml:space="preserve"> regardless of FIS status</w:t>
            </w:r>
            <w:r w:rsidR="000F5377">
              <w:t>.</w:t>
            </w:r>
          </w:p>
        </w:tc>
        <w:tc>
          <w:tcPr>
            <w:tcW w:w="874" w:type="pct"/>
          </w:tcPr>
          <w:p w14:paraId="1CD40817" w14:textId="57DA6D7D" w:rsidR="00D2235E" w:rsidRPr="009B00D1" w:rsidRDefault="00D2235E" w:rsidP="00A765CC">
            <w:r w:rsidRPr="009B00D1">
              <w:t>Ping Yan</w:t>
            </w:r>
          </w:p>
        </w:tc>
      </w:tr>
      <w:tr w:rsidR="00D2235E" w:rsidRPr="00A765CC" w14:paraId="01C10FF9" w14:textId="77777777" w:rsidTr="0056135A">
        <w:trPr>
          <w:trHeight w:val="630"/>
        </w:trPr>
        <w:tc>
          <w:tcPr>
            <w:tcW w:w="291" w:type="pct"/>
          </w:tcPr>
          <w:p w14:paraId="7D245CBA" w14:textId="77777777" w:rsidR="00D2235E" w:rsidRPr="009B00D1" w:rsidRDefault="00D2235E" w:rsidP="00A765CC"/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2CCA308" w14:textId="6D539215" w:rsidR="00D2235E" w:rsidRPr="00A12AEE" w:rsidRDefault="00D2235E" w:rsidP="00A765CC">
            <w:pPr>
              <w:rPr>
                <w:b/>
                <w:bCs/>
              </w:rPr>
            </w:pPr>
            <w:r w:rsidRPr="00A12AEE">
              <w:rPr>
                <w:b/>
                <w:bCs/>
              </w:rPr>
              <w:t>LCRA Comments</w:t>
            </w:r>
            <w:r w:rsidR="00EE6C8F" w:rsidRPr="00A12AEE">
              <w:rPr>
                <w:b/>
                <w:bCs/>
              </w:rPr>
              <w:t xml:space="preserve"> </w:t>
            </w:r>
            <w:r w:rsidR="000449A0" w:rsidRPr="00A12AEE">
              <w:rPr>
                <w:b/>
                <w:bCs/>
              </w:rPr>
              <w:t>– draft</w:t>
            </w:r>
            <w:r w:rsidR="00172DAB">
              <w:rPr>
                <w:b/>
                <w:bCs/>
              </w:rPr>
              <w:t xml:space="preserve"> comments</w:t>
            </w:r>
          </w:p>
          <w:p w14:paraId="75639383" w14:textId="304152C8" w:rsidR="00A12AEE" w:rsidRDefault="0029388E" w:rsidP="00A765CC">
            <w:r>
              <w:t xml:space="preserve">Blake Holt (LCRA) – </w:t>
            </w:r>
            <w:r w:rsidR="00172DAB">
              <w:t>Presented a discussion draft (</w:t>
            </w:r>
            <w:r>
              <w:t xml:space="preserve">attached </w:t>
            </w:r>
            <w:r w:rsidR="00172DAB">
              <w:t xml:space="preserve">to </w:t>
            </w:r>
            <w:r>
              <w:t>the meeting page</w:t>
            </w:r>
            <w:r w:rsidR="00172DAB">
              <w:t>)</w:t>
            </w:r>
            <w:r>
              <w:t xml:space="preserve"> that is built on top of the Oncor/ERCOT comments.</w:t>
            </w:r>
            <w:r w:rsidR="00B347C7">
              <w:t xml:space="preserve"> </w:t>
            </w:r>
          </w:p>
          <w:p w14:paraId="686CB599" w14:textId="6F863D67" w:rsidR="0029388E" w:rsidRDefault="00A12AEE" w:rsidP="00A765CC">
            <w:r>
              <w:t>Andrew Hamann (LCRA) spoke to the redline edits. LCRA proposed adding</w:t>
            </w:r>
            <w:r w:rsidR="00B347C7">
              <w:t xml:space="preserve"> new paragraph (7) to 6.2</w:t>
            </w:r>
            <w:r w:rsidR="00E77D3C">
              <w:t xml:space="preserve">. </w:t>
            </w:r>
            <w:r w:rsidR="00172DAB">
              <w:t>LCRA’s key c</w:t>
            </w:r>
            <w:r w:rsidR="00E77D3C">
              <w:t xml:space="preserve">oncern is that the modeling philosophy could change </w:t>
            </w:r>
            <w:r w:rsidR="00172DAB">
              <w:t>from one year to the next, and there</w:t>
            </w:r>
            <w:r w:rsidR="00E77D3C">
              <w:t xml:space="preserve"> could be disagreement in terms of how RTP models the generators.</w:t>
            </w:r>
            <w:r w:rsidR="00992835">
              <w:t xml:space="preserve"> For example, 100 generators in a bucket but ERCOT only needs 10 of those generators to </w:t>
            </w:r>
            <w:r w:rsidR="00992835">
              <w:lastRenderedPageBreak/>
              <w:t>satisfy the case, then wants to ensure that the generators are spread across</w:t>
            </w:r>
            <w:r w:rsidR="00375A26">
              <w:t xml:space="preserve"> the system to avoid biasing the case.</w:t>
            </w:r>
          </w:p>
          <w:p w14:paraId="0B740076" w14:textId="4436447F" w:rsidR="00B83690" w:rsidRDefault="00B83690" w:rsidP="00A765CC">
            <w:r>
              <w:t>Kristin Cook</w:t>
            </w:r>
            <w:r w:rsidR="00172DAB">
              <w:t xml:space="preserve"> (Southern Power)</w:t>
            </w:r>
            <w:r>
              <w:t xml:space="preserve"> </w:t>
            </w:r>
            <w:r w:rsidR="0054265B">
              <w:t>–</w:t>
            </w:r>
            <w:r>
              <w:t xml:space="preserve"> </w:t>
            </w:r>
            <w:r w:rsidR="0054265B">
              <w:t>What “dispatch characteristics” in addition to geographic representation?</w:t>
            </w:r>
          </w:p>
          <w:p w14:paraId="5A6273C0" w14:textId="2C694913" w:rsidR="00E91CB2" w:rsidRDefault="00172DAB" w:rsidP="00A765CC">
            <w:r>
              <w:t xml:space="preserve">LCRA – The </w:t>
            </w:r>
            <w:r w:rsidR="003F631D">
              <w:t xml:space="preserve">Resource type </w:t>
            </w:r>
            <w:r>
              <w:t>will be used (e.g.</w:t>
            </w:r>
            <w:r w:rsidR="003F631D">
              <w:t xml:space="preserve"> solar, wind, dispatchable</w:t>
            </w:r>
            <w:r>
              <w:t>, etc.)</w:t>
            </w:r>
          </w:p>
          <w:p w14:paraId="1ACB8224" w14:textId="7414802B" w:rsidR="00304158" w:rsidRDefault="00304158" w:rsidP="00A765CC">
            <w:r>
              <w:t>Raja Kakarla (CenterPoint) – How detailed i</w:t>
            </w:r>
            <w:r w:rsidR="00172DAB">
              <w:t>s</w:t>
            </w:r>
            <w:r>
              <w:t xml:space="preserve"> the geographic distinction?</w:t>
            </w:r>
          </w:p>
          <w:p w14:paraId="2C5752B9" w14:textId="1D46F110" w:rsidR="00050568" w:rsidRDefault="00304158" w:rsidP="00A765CC">
            <w:r>
              <w:t>Andrew</w:t>
            </w:r>
            <w:r w:rsidR="00172DAB">
              <w:t xml:space="preserve"> Hamann (LCRA)</w:t>
            </w:r>
            <w:r>
              <w:t xml:space="preserve"> - </w:t>
            </w:r>
            <w:r w:rsidR="00050568">
              <w:t>Want to keep it at weather zone level (rather than bus)</w:t>
            </w:r>
            <w:r w:rsidR="00B83690">
              <w:t>.</w:t>
            </w:r>
          </w:p>
          <w:p w14:paraId="1A41F0D5" w14:textId="25265B58" w:rsidR="0054265B" w:rsidRDefault="0054265B" w:rsidP="00A765CC">
            <w:r>
              <w:t xml:space="preserve">Ping </w:t>
            </w:r>
            <w:r w:rsidR="00172DAB">
              <w:t xml:space="preserve">Yan </w:t>
            </w:r>
            <w:r>
              <w:t xml:space="preserve">(ERCOT) </w:t>
            </w:r>
            <w:r w:rsidR="005F2349">
              <w:t>–</w:t>
            </w:r>
            <w:r>
              <w:t xml:space="preserve"> </w:t>
            </w:r>
            <w:r w:rsidR="005F2349">
              <w:t xml:space="preserve">Need to balance whether it’s practical against the certainty gained – e.g. will never get to the point where stakeholders can anticipate which individual generators will be added but will have insight into </w:t>
            </w:r>
            <w:r w:rsidR="00505B9F">
              <w:t>types of generators that are added to solve the case.</w:t>
            </w:r>
          </w:p>
          <w:p w14:paraId="05562DBA" w14:textId="750D7485" w:rsidR="00061164" w:rsidRDefault="00432C77" w:rsidP="00A765CC">
            <w:r>
              <w:t>Discussion of how cases are built in SSWG</w:t>
            </w:r>
            <w:r w:rsidR="00CE25D0">
              <w:t>.</w:t>
            </w:r>
            <w:r>
              <w:t xml:space="preserve"> </w:t>
            </w:r>
            <w:r w:rsidR="00061164">
              <w:t>Ping advised that further questions could be addressed to Eric Meyer about the SSWG</w:t>
            </w:r>
            <w:r w:rsidR="000B5D99">
              <w:t xml:space="preserve"> concern.</w:t>
            </w:r>
          </w:p>
          <w:p w14:paraId="54355685" w14:textId="546203BE" w:rsidR="000B5D99" w:rsidRDefault="00AF6564" w:rsidP="00A765CC">
            <w:r>
              <w:t xml:space="preserve">Harsh Naik (Oncor) – </w:t>
            </w:r>
            <w:r w:rsidR="00432C77">
              <w:t>D</w:t>
            </w:r>
            <w:r>
              <w:t xml:space="preserve">oes “dispatch characteristics” simply mean dispatchable </w:t>
            </w:r>
            <w:r w:rsidR="00432C77">
              <w:t>versus</w:t>
            </w:r>
            <w:r>
              <w:t xml:space="preserve"> non</w:t>
            </w:r>
            <w:r w:rsidR="00432C77">
              <w:t>-</w:t>
            </w:r>
            <w:r>
              <w:t>dispatchable? Or will there be more buckets?</w:t>
            </w:r>
          </w:p>
          <w:p w14:paraId="42F581C0" w14:textId="4E9CE83C" w:rsidR="00AF6564" w:rsidRDefault="00AF6564" w:rsidP="00A765CC">
            <w:r>
              <w:t xml:space="preserve">Ping </w:t>
            </w:r>
            <w:r w:rsidR="00172DAB">
              <w:t xml:space="preserve">Yan (ERCOT) </w:t>
            </w:r>
            <w:r>
              <w:t xml:space="preserve">– </w:t>
            </w:r>
            <w:r w:rsidR="00172DAB">
              <w:t>T</w:t>
            </w:r>
            <w:r>
              <w:t>here may be more aspects. Wanted to see wind vs solar based on capacity factor contribution rather than installed capacity.</w:t>
            </w:r>
          </w:p>
          <w:p w14:paraId="0D328009" w14:textId="77777777" w:rsidR="00E91CB2" w:rsidRDefault="00E91CB2" w:rsidP="00A765CC">
            <w:r>
              <w:t xml:space="preserve">Kevin Hanson (Invenergy) </w:t>
            </w:r>
            <w:r w:rsidR="003F631D">
              <w:t>–</w:t>
            </w:r>
            <w:r>
              <w:t xml:space="preserve"> </w:t>
            </w:r>
            <w:r w:rsidR="003F631D">
              <w:t>How are we currently handling large loads? SAWG had 95% curtailment</w:t>
            </w:r>
            <w:r w:rsidR="00677082">
              <w:t>.</w:t>
            </w:r>
          </w:p>
          <w:p w14:paraId="4CE1D6DC" w14:textId="1143D343" w:rsidR="00677082" w:rsidRDefault="00677082" w:rsidP="00A765CC">
            <w:r>
              <w:t xml:space="preserve">Ping </w:t>
            </w:r>
            <w:r w:rsidR="00432C77">
              <w:t>–</w:t>
            </w:r>
            <w:r>
              <w:t xml:space="preserve"> </w:t>
            </w:r>
            <w:r w:rsidR="00432C77">
              <w:t>In the p</w:t>
            </w:r>
            <w:r>
              <w:t>lanning studies</w:t>
            </w:r>
            <w:r w:rsidR="00432C77">
              <w:t>, ERCOT</w:t>
            </w:r>
            <w:r>
              <w:t xml:space="preserve"> assume</w:t>
            </w:r>
            <w:r w:rsidR="00432C77">
              <w:t>s</w:t>
            </w:r>
            <w:r>
              <w:t xml:space="preserve"> all load is firm but not curtailed. For economic analysis, </w:t>
            </w:r>
            <w:r w:rsidR="00432C77">
              <w:t xml:space="preserve">the cases </w:t>
            </w:r>
            <w:r>
              <w:t>do model price response.</w:t>
            </w:r>
          </w:p>
          <w:p w14:paraId="77064CAB" w14:textId="5E60A562" w:rsidR="00564F76" w:rsidRPr="009B00D1" w:rsidRDefault="00C007AE" w:rsidP="00A765CC">
            <w:r>
              <w:t>When Chair queried the room, no concerns were raised by PLWG stakeholders.</w:t>
            </w:r>
            <w:r w:rsidR="00432C77">
              <w:t xml:space="preserve"> General agreement to move forward with LCRA’s proposed language.</w:t>
            </w:r>
          </w:p>
        </w:tc>
        <w:tc>
          <w:tcPr>
            <w:tcW w:w="874" w:type="pct"/>
          </w:tcPr>
          <w:p w14:paraId="47B83B20" w14:textId="53BEA68D" w:rsidR="00D2235E" w:rsidRPr="009B00D1" w:rsidRDefault="00D2235E" w:rsidP="00A765CC">
            <w:r w:rsidRPr="009B00D1">
              <w:lastRenderedPageBreak/>
              <w:t>Blake Holt / Trevor Safko</w:t>
            </w:r>
          </w:p>
        </w:tc>
      </w:tr>
      <w:tr w:rsidR="00975E8A" w:rsidRPr="00A765CC" w14:paraId="14DB2C52" w14:textId="77777777" w:rsidTr="0056135A">
        <w:trPr>
          <w:trHeight w:val="630"/>
        </w:trPr>
        <w:tc>
          <w:tcPr>
            <w:tcW w:w="291" w:type="pct"/>
          </w:tcPr>
          <w:p w14:paraId="2BC7D8A9" w14:textId="77777777" w:rsidR="00975E8A" w:rsidRPr="003B6C94" w:rsidRDefault="00975E8A" w:rsidP="00A765CC">
            <w:pPr>
              <w:rPr>
                <w:b/>
                <w:bCs/>
                <w:i/>
                <w:iCs/>
              </w:rPr>
            </w:pP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CCF9281" w14:textId="06B8A4F2" w:rsidR="00975E8A" w:rsidRPr="003B6C94" w:rsidRDefault="00975E8A" w:rsidP="00A765CC">
            <w:pPr>
              <w:rPr>
                <w:b/>
                <w:bCs/>
                <w:i/>
                <w:iCs/>
              </w:rPr>
            </w:pPr>
            <w:r w:rsidRPr="003B6C94">
              <w:rPr>
                <w:b/>
                <w:bCs/>
                <w:i/>
                <w:iCs/>
              </w:rPr>
              <w:t xml:space="preserve">Action Taken: </w:t>
            </w:r>
            <w:r w:rsidR="006217DA" w:rsidRPr="003B6C94">
              <w:rPr>
                <w:b/>
                <w:bCs/>
                <w:i/>
                <w:iCs/>
              </w:rPr>
              <w:t>Tabled for one more month</w:t>
            </w:r>
            <w:r w:rsidR="00172DAB">
              <w:rPr>
                <w:b/>
                <w:bCs/>
                <w:i/>
                <w:iCs/>
              </w:rPr>
              <w:t xml:space="preserve"> to allow</w:t>
            </w:r>
            <w:r w:rsidR="00EF15B4" w:rsidRPr="003B6C94">
              <w:rPr>
                <w:b/>
                <w:bCs/>
                <w:i/>
                <w:iCs/>
              </w:rPr>
              <w:t xml:space="preserve"> LCRA </w:t>
            </w:r>
            <w:r w:rsidR="00172DAB">
              <w:rPr>
                <w:b/>
                <w:bCs/>
                <w:i/>
                <w:iCs/>
              </w:rPr>
              <w:t>to formally</w:t>
            </w:r>
            <w:r w:rsidR="00EF15B4" w:rsidRPr="003B6C94">
              <w:rPr>
                <w:b/>
                <w:bCs/>
                <w:i/>
                <w:iCs/>
              </w:rPr>
              <w:t xml:space="preserve"> file their comments </w:t>
            </w:r>
            <w:r w:rsidR="00DA2ED3" w:rsidRPr="003B6C94">
              <w:rPr>
                <w:b/>
                <w:bCs/>
                <w:i/>
                <w:iCs/>
              </w:rPr>
              <w:t>so that PLWG can review</w:t>
            </w:r>
            <w:r w:rsidR="00897583" w:rsidRPr="003B6C94">
              <w:rPr>
                <w:b/>
                <w:bCs/>
                <w:i/>
                <w:iCs/>
              </w:rPr>
              <w:t xml:space="preserve"> and forward to ROS.</w:t>
            </w:r>
          </w:p>
        </w:tc>
        <w:tc>
          <w:tcPr>
            <w:tcW w:w="874" w:type="pct"/>
          </w:tcPr>
          <w:p w14:paraId="323420CD" w14:textId="77777777" w:rsidR="00975E8A" w:rsidRPr="009B00D1" w:rsidRDefault="00975E8A" w:rsidP="00A765CC"/>
        </w:tc>
      </w:tr>
      <w:tr w:rsidR="00902A66" w:rsidRPr="00A765CC" w14:paraId="4FC69B35" w14:textId="77777777" w:rsidTr="007A560F">
        <w:trPr>
          <w:trHeight w:val="630"/>
        </w:trPr>
        <w:tc>
          <w:tcPr>
            <w:tcW w:w="291" w:type="pct"/>
          </w:tcPr>
          <w:p w14:paraId="08868242" w14:textId="34B988B2" w:rsidR="00902A66" w:rsidRDefault="00902A66" w:rsidP="007A560F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DFA214E" w14:textId="67231D43" w:rsidR="00902A66" w:rsidRPr="00902A66" w:rsidRDefault="00902A66" w:rsidP="007A560F">
            <w:pPr>
              <w:rPr>
                <w:b/>
                <w:bCs/>
              </w:rPr>
            </w:pPr>
            <w:r w:rsidRPr="00134CED">
              <w:rPr>
                <w:b/>
                <w:bCs/>
              </w:rPr>
              <w:t>PGRR 128</w:t>
            </w:r>
            <w:r>
              <w:rPr>
                <w:b/>
                <w:bCs/>
              </w:rPr>
              <w:t xml:space="preserve"> - </w:t>
            </w:r>
            <w:r w:rsidRPr="00D724A0">
              <w:rPr>
                <w:b/>
                <w:bCs/>
              </w:rPr>
              <w:t>Regional Transmission Plan Review of Grid Enhancing Technologies</w:t>
            </w:r>
          </w:p>
        </w:tc>
        <w:tc>
          <w:tcPr>
            <w:tcW w:w="874" w:type="pct"/>
          </w:tcPr>
          <w:p w14:paraId="7FDCAC30" w14:textId="77777777" w:rsidR="00902A66" w:rsidRDefault="00902A66" w:rsidP="007A560F">
            <w:pPr>
              <w:rPr>
                <w:b/>
                <w:bCs/>
              </w:rPr>
            </w:pPr>
            <w:r>
              <w:rPr>
                <w:b/>
                <w:bCs/>
              </w:rPr>
              <w:t>ERCOT</w:t>
            </w:r>
          </w:p>
        </w:tc>
      </w:tr>
      <w:tr w:rsidR="00902A66" w:rsidRPr="00A765CC" w14:paraId="660330A6" w14:textId="77777777" w:rsidTr="0056135A">
        <w:trPr>
          <w:trHeight w:val="630"/>
        </w:trPr>
        <w:tc>
          <w:tcPr>
            <w:tcW w:w="291" w:type="pct"/>
          </w:tcPr>
          <w:p w14:paraId="0AE3E349" w14:textId="77777777" w:rsidR="00902A66" w:rsidRPr="009B00D1" w:rsidRDefault="00902A66" w:rsidP="00A765CC"/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11EFA4B" w14:textId="77777777" w:rsidR="00902A66" w:rsidRPr="00432C77" w:rsidRDefault="00902A66" w:rsidP="00A765CC">
            <w:pPr>
              <w:rPr>
                <w:b/>
                <w:bCs/>
              </w:rPr>
            </w:pPr>
            <w:r w:rsidRPr="00432C77">
              <w:rPr>
                <w:b/>
                <w:bCs/>
              </w:rPr>
              <w:t>Joint Comment</w:t>
            </w:r>
            <w:r w:rsidR="00A81FC2" w:rsidRPr="00432C77">
              <w:rPr>
                <w:b/>
                <w:bCs/>
              </w:rPr>
              <w:t>e</w:t>
            </w:r>
            <w:r w:rsidR="001F68E6" w:rsidRPr="00432C77">
              <w:rPr>
                <w:b/>
                <w:bCs/>
              </w:rPr>
              <w:t>r comments</w:t>
            </w:r>
            <w:r w:rsidR="00A81FC2" w:rsidRPr="00432C77">
              <w:rPr>
                <w:b/>
                <w:bCs/>
              </w:rPr>
              <w:t xml:space="preserve"> (AEP, CenterPoint)</w:t>
            </w:r>
            <w:r w:rsidR="009648CF" w:rsidRPr="00432C77">
              <w:rPr>
                <w:b/>
                <w:bCs/>
              </w:rPr>
              <w:t xml:space="preserve"> (10/15)</w:t>
            </w:r>
          </w:p>
          <w:p w14:paraId="1D7D22EE" w14:textId="73E3CEB3" w:rsidR="007E79DD" w:rsidRDefault="007E79DD" w:rsidP="00A765CC">
            <w:r>
              <w:t>Jim Lee</w:t>
            </w:r>
            <w:r w:rsidR="00432C77">
              <w:t xml:space="preserve"> (CenterPoint)</w:t>
            </w:r>
            <w:r>
              <w:t xml:space="preserve"> spoke on behalf of the Joint Commenters</w:t>
            </w:r>
            <w:r w:rsidR="001C55C4">
              <w:t>. Three key points: (1) GETs are specialized assets</w:t>
            </w:r>
            <w:r w:rsidR="00432C77">
              <w:t xml:space="preserve"> and</w:t>
            </w:r>
            <w:r w:rsidR="001C55C4">
              <w:t xml:space="preserve"> not applicable to every use</w:t>
            </w:r>
            <w:r w:rsidR="00432C77">
              <w:t>-</w:t>
            </w:r>
            <w:r w:rsidR="001C55C4">
              <w:t>case</w:t>
            </w:r>
            <w:r w:rsidR="008F6AC5">
              <w:t xml:space="preserve">; (2) Many TSPs already consider these technologies and utilize as appropriate and where </w:t>
            </w:r>
            <w:r w:rsidR="00432C77">
              <w:t>they make</w:t>
            </w:r>
            <w:r w:rsidR="008F6AC5">
              <w:t xml:space="preserve"> cost-effective sense; (3) The RPG stakeholder process is the ideal venue to review GETs for specific projects.</w:t>
            </w:r>
          </w:p>
          <w:p w14:paraId="6393167F" w14:textId="176192F2" w:rsidR="000D4F61" w:rsidRPr="009B00D1" w:rsidRDefault="00432C77" w:rsidP="00A765CC">
            <w:r>
              <w:lastRenderedPageBreak/>
              <w:t>Joint commenters r</w:t>
            </w:r>
            <w:r w:rsidR="000D4F61">
              <w:t>ecommend withdrawal of the comments.</w:t>
            </w:r>
          </w:p>
        </w:tc>
        <w:tc>
          <w:tcPr>
            <w:tcW w:w="874" w:type="pct"/>
          </w:tcPr>
          <w:p w14:paraId="1CD30212" w14:textId="6E547084" w:rsidR="00902A66" w:rsidRPr="009B00D1" w:rsidRDefault="001F68E6" w:rsidP="00A765CC">
            <w:r w:rsidRPr="009B00D1">
              <w:lastRenderedPageBreak/>
              <w:t>Jim Lee</w:t>
            </w:r>
          </w:p>
        </w:tc>
      </w:tr>
      <w:tr w:rsidR="001F68E6" w:rsidRPr="00A765CC" w14:paraId="250F016D" w14:textId="77777777" w:rsidTr="0056135A">
        <w:trPr>
          <w:trHeight w:val="630"/>
        </w:trPr>
        <w:tc>
          <w:tcPr>
            <w:tcW w:w="291" w:type="pct"/>
          </w:tcPr>
          <w:p w14:paraId="66F6C040" w14:textId="77777777" w:rsidR="001F68E6" w:rsidRPr="009B00D1" w:rsidRDefault="001F68E6" w:rsidP="00A765CC"/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CF6D4D2" w14:textId="77777777" w:rsidR="001F68E6" w:rsidRPr="00432C77" w:rsidRDefault="001F68E6" w:rsidP="00A765CC">
            <w:pPr>
              <w:rPr>
                <w:b/>
                <w:bCs/>
              </w:rPr>
            </w:pPr>
            <w:r w:rsidRPr="00432C77">
              <w:rPr>
                <w:b/>
                <w:bCs/>
              </w:rPr>
              <w:t>Google comments</w:t>
            </w:r>
            <w:r w:rsidR="009648CF" w:rsidRPr="00432C77">
              <w:rPr>
                <w:b/>
                <w:bCs/>
              </w:rPr>
              <w:t xml:space="preserve"> (10/23)</w:t>
            </w:r>
          </w:p>
          <w:p w14:paraId="3C8BF9EA" w14:textId="73F0A804" w:rsidR="00250E9B" w:rsidRDefault="00250E9B" w:rsidP="00A765CC">
            <w:r>
              <w:t xml:space="preserve">Chris Matos </w:t>
            </w:r>
            <w:r w:rsidR="00432C77">
              <w:t xml:space="preserve">(Google) </w:t>
            </w:r>
            <w:r>
              <w:t>–</w:t>
            </w:r>
            <w:r w:rsidR="00432C77">
              <w:t xml:space="preserve"> Believes there are opportunities to improve integration of GETS assessments. One</w:t>
            </w:r>
            <w:r>
              <w:t xml:space="preserve"> frustration with the </w:t>
            </w:r>
            <w:r w:rsidR="00432C77">
              <w:t xml:space="preserve">recommendation to use the </w:t>
            </w:r>
            <w:r>
              <w:t>RPG</w:t>
            </w:r>
            <w:r w:rsidR="00432C77">
              <w:t xml:space="preserve"> process i</w:t>
            </w:r>
            <w:r>
              <w:t xml:space="preserve">s that it would not yield consistency in application of the GETs. </w:t>
            </w:r>
            <w:r w:rsidR="00432C77">
              <w:t>Google b</w:t>
            </w:r>
            <w:r>
              <w:t>elieves there is some education gap</w:t>
            </w:r>
            <w:r w:rsidR="0045353A">
              <w:t xml:space="preserve">. If the PGRR is withdrawn, </w:t>
            </w:r>
            <w:r w:rsidR="00432C77">
              <w:t xml:space="preserve">Google </w:t>
            </w:r>
            <w:r w:rsidR="0045353A">
              <w:t xml:space="preserve">would like to have conversations with TSPs and ERCOT to discuss how to better integrate review of </w:t>
            </w:r>
            <w:r w:rsidR="006504CD">
              <w:t>GETs in the process.</w:t>
            </w:r>
          </w:p>
          <w:p w14:paraId="1210C69D" w14:textId="3990269E" w:rsidR="000160D3" w:rsidRDefault="000160D3" w:rsidP="00A765CC">
            <w:r>
              <w:t xml:space="preserve">Martha Henson (Oncor) – </w:t>
            </w:r>
            <w:r w:rsidR="00432C77">
              <w:t xml:space="preserve">Oncor is </w:t>
            </w:r>
            <w:r>
              <w:t>happy to work with the sponsor, TEBA, or any other stakeholder to discuss.</w:t>
            </w:r>
            <w:r w:rsidR="0068519F">
              <w:t xml:space="preserve"> Is the sponsor planning to file additional comments?</w:t>
            </w:r>
          </w:p>
          <w:p w14:paraId="6F3B0F4D" w14:textId="77777777" w:rsidR="0068519F" w:rsidRDefault="0068519F" w:rsidP="00A765CC">
            <w:r>
              <w:t xml:space="preserve">Julia </w:t>
            </w:r>
            <w:r w:rsidR="00CD24C9">
              <w:t xml:space="preserve">Selker </w:t>
            </w:r>
            <w:r>
              <w:t xml:space="preserve">(WATT coalition) </w:t>
            </w:r>
            <w:r w:rsidR="00CD24C9">
              <w:t>–</w:t>
            </w:r>
            <w:r>
              <w:t xml:space="preserve"> </w:t>
            </w:r>
            <w:r w:rsidR="00CD24C9">
              <w:t>Their group plans to file additional comments.</w:t>
            </w:r>
          </w:p>
          <w:p w14:paraId="233A4133" w14:textId="25D9AF89" w:rsidR="00CD24C9" w:rsidRPr="00171659" w:rsidRDefault="00CD24C9" w:rsidP="00A765CC">
            <w:pPr>
              <w:rPr>
                <w:b/>
                <w:bCs/>
              </w:rPr>
            </w:pPr>
            <w:r w:rsidRPr="00171659">
              <w:rPr>
                <w:b/>
                <w:bCs/>
              </w:rPr>
              <w:t xml:space="preserve">Action Taken: Tabled awaiting further comments and </w:t>
            </w:r>
            <w:r w:rsidR="00171659" w:rsidRPr="00171659">
              <w:rPr>
                <w:b/>
                <w:bCs/>
              </w:rPr>
              <w:t xml:space="preserve">encourage </w:t>
            </w:r>
            <w:r w:rsidRPr="00171659">
              <w:rPr>
                <w:b/>
                <w:bCs/>
              </w:rPr>
              <w:t xml:space="preserve">TEBA to consider offline conversation with </w:t>
            </w:r>
            <w:r w:rsidR="00171659" w:rsidRPr="00171659">
              <w:rPr>
                <w:b/>
                <w:bCs/>
              </w:rPr>
              <w:t>TSPs.</w:t>
            </w:r>
          </w:p>
        </w:tc>
        <w:tc>
          <w:tcPr>
            <w:tcW w:w="874" w:type="pct"/>
          </w:tcPr>
          <w:p w14:paraId="0CE4153A" w14:textId="7E83808C" w:rsidR="001F68E6" w:rsidRPr="009B00D1" w:rsidRDefault="001F68E6" w:rsidP="00A765CC">
            <w:r w:rsidRPr="009B00D1">
              <w:t>Chris Matos</w:t>
            </w:r>
          </w:p>
        </w:tc>
      </w:tr>
      <w:tr w:rsidR="000E6247" w:rsidRPr="00A765CC" w14:paraId="36FDCACC" w14:textId="77777777" w:rsidTr="0056135A">
        <w:trPr>
          <w:trHeight w:val="630"/>
        </w:trPr>
        <w:tc>
          <w:tcPr>
            <w:tcW w:w="291" w:type="pct"/>
          </w:tcPr>
          <w:p w14:paraId="4996BB3B" w14:textId="3BFCBB6E" w:rsidR="000E6247" w:rsidRDefault="000E6247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85F8115" w14:textId="77777777" w:rsidR="000E6247" w:rsidRDefault="000E6247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PGRR 130 – Related to NPRR1295, GTC Exit Solutions</w:t>
            </w:r>
          </w:p>
          <w:p w14:paraId="2576E977" w14:textId="4388B596" w:rsidR="000E6247" w:rsidRPr="00432C77" w:rsidRDefault="00432C77" w:rsidP="000E6247">
            <w:pPr>
              <w:rPr>
                <w:b/>
                <w:bCs/>
                <w:i/>
                <w:iCs/>
              </w:rPr>
            </w:pPr>
            <w:r w:rsidRPr="00432C77">
              <w:rPr>
                <w:b/>
                <w:bCs/>
                <w:i/>
                <w:iCs/>
              </w:rPr>
              <w:t xml:space="preserve">Note that the </w:t>
            </w:r>
            <w:r w:rsidR="009B00D1" w:rsidRPr="00432C77">
              <w:rPr>
                <w:b/>
                <w:bCs/>
                <w:i/>
                <w:iCs/>
              </w:rPr>
              <w:t>Sponsors</w:t>
            </w:r>
            <w:r w:rsidRPr="00432C77">
              <w:rPr>
                <w:b/>
                <w:bCs/>
                <w:i/>
                <w:iCs/>
              </w:rPr>
              <w:t>’</w:t>
            </w:r>
            <w:r w:rsidR="009B00D1" w:rsidRPr="00432C77">
              <w:rPr>
                <w:b/>
                <w:bCs/>
                <w:i/>
                <w:iCs/>
              </w:rPr>
              <w:t xml:space="preserve"> </w:t>
            </w:r>
            <w:r w:rsidR="00825A00" w:rsidRPr="00432C77">
              <w:rPr>
                <w:b/>
                <w:bCs/>
                <w:i/>
                <w:iCs/>
              </w:rPr>
              <w:t xml:space="preserve">presentation </w:t>
            </w:r>
            <w:r w:rsidRPr="00432C77">
              <w:rPr>
                <w:b/>
                <w:bCs/>
                <w:i/>
                <w:iCs/>
              </w:rPr>
              <w:t xml:space="preserve">is </w:t>
            </w:r>
            <w:r w:rsidR="00825A00" w:rsidRPr="00432C77">
              <w:rPr>
                <w:b/>
                <w:bCs/>
                <w:i/>
                <w:iCs/>
              </w:rPr>
              <w:t>posted to meeting materials</w:t>
            </w:r>
            <w:r w:rsidRPr="00432C77">
              <w:rPr>
                <w:b/>
                <w:bCs/>
                <w:i/>
                <w:iCs/>
              </w:rPr>
              <w:t>.</w:t>
            </w:r>
          </w:p>
          <w:p w14:paraId="4CD16C96" w14:textId="2A83D2DA" w:rsidR="00DF516D" w:rsidRDefault="006564B7" w:rsidP="000E6247">
            <w:r w:rsidRPr="006564B7">
              <w:t>Alex Miller (EDF power solutions) introduced the presentation.</w:t>
            </w:r>
            <w:r w:rsidR="00432C77">
              <w:t xml:space="preserve"> Sponsors f</w:t>
            </w:r>
            <w:r w:rsidR="00E109BD">
              <w:t>iled language to as a starting point</w:t>
            </w:r>
            <w:r w:rsidR="00432C77">
              <w:t xml:space="preserve"> for discussion</w:t>
            </w:r>
            <w:r w:rsidR="00C71A68">
              <w:t>. EDF and Pattern</w:t>
            </w:r>
            <w:r w:rsidR="00432C77">
              <w:t xml:space="preserve"> Energy</w:t>
            </w:r>
            <w:r w:rsidR="00C71A68">
              <w:t xml:space="preserve"> have withdrawn NPRR 1070 as NPRR1295 replaces the unresolved items contained therein.</w:t>
            </w:r>
            <w:r w:rsidR="00432C77">
              <w:t xml:space="preserve"> Alex Miller and Kevin Hanson (Invenergy) discussed GTC proliferation, data, and relevant rules as part of their presentation.</w:t>
            </w:r>
          </w:p>
          <w:p w14:paraId="03378B58" w14:textId="1F4643A2" w:rsidR="00162845" w:rsidRDefault="00162845" w:rsidP="000E6247">
            <w:r>
              <w:t xml:space="preserve">Ping </w:t>
            </w:r>
            <w:r w:rsidR="00432C77">
              <w:t xml:space="preserve">Yan (ERCOT) </w:t>
            </w:r>
            <w:r>
              <w:t xml:space="preserve">– </w:t>
            </w:r>
            <w:r w:rsidR="00432C77">
              <w:t>Analyzing the i</w:t>
            </w:r>
            <w:r>
              <w:t xml:space="preserve">mpact to GTC for every Transmission Project is not something ERCOT can support. </w:t>
            </w:r>
            <w:r w:rsidR="00432C77">
              <w:t>A l</w:t>
            </w:r>
            <w:r>
              <w:t>arge portion of projects do not have any impact</w:t>
            </w:r>
            <w:r w:rsidR="00432C77">
              <w:t>,</w:t>
            </w:r>
            <w:r>
              <w:t xml:space="preserve"> but this would take resources to perform the evaluation.</w:t>
            </w:r>
          </w:p>
          <w:p w14:paraId="67FF818B" w14:textId="34AA658A" w:rsidR="00A10503" w:rsidRDefault="00A10503" w:rsidP="000E6247">
            <w:r>
              <w:t>Constance McD</w:t>
            </w:r>
            <w:r w:rsidR="00284C7B">
              <w:t xml:space="preserve"> Wyman (ETT) – Would like more visibility; </w:t>
            </w:r>
            <w:r w:rsidR="00432C77">
              <w:t xml:space="preserve">for example, how will the implementation of the </w:t>
            </w:r>
            <w:r w:rsidR="00284C7B">
              <w:t xml:space="preserve">765 STEP project </w:t>
            </w:r>
            <w:r w:rsidR="006327E8">
              <w:t>positively</w:t>
            </w:r>
            <w:r w:rsidR="00284C7B">
              <w:t xml:space="preserve"> impact any GTCs. </w:t>
            </w:r>
            <w:r w:rsidR="00432C77">
              <w:t>Also asked sponsors to explain the rationale</w:t>
            </w:r>
            <w:r w:rsidR="007D0E92">
              <w:t xml:space="preserve"> behind</w:t>
            </w:r>
            <w:r w:rsidR="00432C77">
              <w:t xml:space="preserve"> stipulating</w:t>
            </w:r>
            <w:r w:rsidR="007D0E92">
              <w:t xml:space="preserve"> 5 GTCs</w:t>
            </w:r>
            <w:r w:rsidR="00432C77">
              <w:t xml:space="preserve"> in the language proposal.</w:t>
            </w:r>
          </w:p>
          <w:p w14:paraId="5BFF6491" w14:textId="77777777" w:rsidR="009502AA" w:rsidRDefault="009502AA" w:rsidP="000E6247">
            <w:r>
              <w:t xml:space="preserve">Alex </w:t>
            </w:r>
            <w:r w:rsidR="008C798E">
              <w:t>–</w:t>
            </w:r>
            <w:r>
              <w:t xml:space="preserve"> </w:t>
            </w:r>
            <w:r w:rsidR="008C798E">
              <w:t>Historically, multiple projects were presented that had an impact on GTC but</w:t>
            </w:r>
            <w:r w:rsidR="002236E4">
              <w:t xml:space="preserve"> it was difficult for stakeholders to tease out.</w:t>
            </w:r>
            <w:r w:rsidR="00427CF8">
              <w:t xml:space="preserve"> Agree that the 765 project will have a significant impact but there is currently no requirement to </w:t>
            </w:r>
            <w:r w:rsidR="00066567">
              <w:t>evaluate and disclose the impact.</w:t>
            </w:r>
          </w:p>
          <w:p w14:paraId="602CB2CF" w14:textId="3F38C5B4" w:rsidR="00066567" w:rsidRDefault="00066567" w:rsidP="000E6247">
            <w:r>
              <w:t xml:space="preserve">Prabhu Gnanam (ERCOT) – </w:t>
            </w:r>
            <w:r w:rsidR="00176986">
              <w:t>The existing process is that stakeholders</w:t>
            </w:r>
            <w:r>
              <w:t xml:space="preserve"> come up with exit solutions to GTCs and then it becomes an economic project. </w:t>
            </w:r>
            <w:r>
              <w:lastRenderedPageBreak/>
              <w:t>Economic analysis</w:t>
            </w:r>
            <w:r w:rsidR="00E216D6">
              <w:t xml:space="preserve"> performed as part of normal RTP process and then bring forward projects that meet criteria.</w:t>
            </w:r>
          </w:p>
          <w:p w14:paraId="2B930D41" w14:textId="173E6FB5" w:rsidR="005A6C2E" w:rsidRDefault="005A6C2E" w:rsidP="000E6247">
            <w:r>
              <w:t xml:space="preserve">Matt Arth </w:t>
            </w:r>
            <w:r w:rsidR="00472ECE">
              <w:t xml:space="preserve">(ERCOT) </w:t>
            </w:r>
            <w:r w:rsidR="002F777B">
              <w:t>–</w:t>
            </w:r>
            <w:r>
              <w:t xml:space="preserve"> </w:t>
            </w:r>
            <w:r w:rsidR="00176986">
              <w:t xml:space="preserve">Appreciates this discussion. </w:t>
            </w:r>
            <w:r w:rsidR="00BE0B34">
              <w:t xml:space="preserve">Elimination of RTC could definitely fall under the PUC language the sponsors point out. However, </w:t>
            </w:r>
            <w:r w:rsidR="00176986">
              <w:t xml:space="preserve">it’s </w:t>
            </w:r>
            <w:r w:rsidR="00BE0B34">
              <w:t xml:space="preserve">challenging to quantify. The $20M delta language </w:t>
            </w:r>
            <w:r w:rsidR="00176986">
              <w:t xml:space="preserve">as proposed </w:t>
            </w:r>
            <w:r w:rsidR="00BE0B34">
              <w:t>might not fly, but if there is a way to quantify the benefits, then that rule language would be one way to pursue this objective.</w:t>
            </w:r>
          </w:p>
          <w:p w14:paraId="1395A8B3" w14:textId="508A56F9" w:rsidR="00472ECE" w:rsidRDefault="00472ECE" w:rsidP="000E6247">
            <w:r>
              <w:t>Alex Miller</w:t>
            </w:r>
            <w:r w:rsidR="00176986">
              <w:t xml:space="preserve"> (EDF)</w:t>
            </w:r>
            <w:r>
              <w:t xml:space="preserve"> – The specific numbers of 5 GTCs and $20 million are </w:t>
            </w:r>
            <w:r w:rsidR="00176986">
              <w:t>only</w:t>
            </w:r>
            <w:r>
              <w:t xml:space="preserve"> placeholder</w:t>
            </w:r>
            <w:r w:rsidR="00176986">
              <w:t>s</w:t>
            </w:r>
            <w:r>
              <w:t>. When reviewing history, it seemed that GTCs became a struggle for the system once surpassed 5 GTCs and increased the operational complexity.</w:t>
            </w:r>
            <w:r w:rsidR="00AC2C89">
              <w:t xml:space="preserve"> How to adequately quantify those values is the big challenge in this language.</w:t>
            </w:r>
          </w:p>
          <w:p w14:paraId="0BE051F2" w14:textId="0015995B" w:rsidR="00B8330B" w:rsidRDefault="00B8330B" w:rsidP="000E6247">
            <w:r>
              <w:t xml:space="preserve">Kevin Hanson </w:t>
            </w:r>
            <w:r w:rsidR="00432C77">
              <w:t xml:space="preserve">(Invenergy) </w:t>
            </w:r>
            <w:r>
              <w:t xml:space="preserve">presented a proposal </w:t>
            </w:r>
            <w:r w:rsidR="000E5FAD">
              <w:t>to add</w:t>
            </w:r>
            <w:r w:rsidR="00325FAF">
              <w:t xml:space="preserve"> paragraphs (9) and (10) that </w:t>
            </w:r>
            <w:r w:rsidR="000E5FAD">
              <w:t xml:space="preserve">would require </w:t>
            </w:r>
            <w:r w:rsidR="00325FAF">
              <w:t xml:space="preserve">ERCOT </w:t>
            </w:r>
            <w:r w:rsidR="000E5FAD">
              <w:t>to</w:t>
            </w:r>
            <w:r w:rsidR="00325FAF">
              <w:t xml:space="preserve"> perform additional</w:t>
            </w:r>
            <w:r w:rsidR="000E5FAD">
              <w:t xml:space="preserve"> benchmarking</w:t>
            </w:r>
            <w:r w:rsidR="00325FAF">
              <w:t xml:space="preserve"> analysis.</w:t>
            </w:r>
          </w:p>
          <w:p w14:paraId="6AA3425E" w14:textId="4425AE36" w:rsidR="00325FAF" w:rsidRDefault="00325FAF" w:rsidP="000E6247">
            <w:r>
              <w:t>Ping Yan (ERCOT) –</w:t>
            </w:r>
            <w:r w:rsidR="00176986">
              <w:t xml:space="preserve"> The</w:t>
            </w:r>
            <w:r>
              <w:t xml:space="preserve"> ERCOT benchmark process is not a </w:t>
            </w:r>
            <w:r w:rsidR="00A37BB3">
              <w:t>small undertaking.</w:t>
            </w:r>
            <w:r w:rsidR="003E0837">
              <w:t xml:space="preserve"> Currently not comfortable adding anything to the P</w:t>
            </w:r>
            <w:r w:rsidR="00432C77">
              <w:t>lanning Guide</w:t>
            </w:r>
            <w:r w:rsidR="003E0837">
              <w:t xml:space="preserve"> or Protocols that require ERCOT to perform an additional benchmark.</w:t>
            </w:r>
            <w:r w:rsidR="000E5FAD">
              <w:t xml:space="preserve"> Unsure what value</w:t>
            </w:r>
            <w:r w:rsidR="00432C77">
              <w:t xml:space="preserve"> would</w:t>
            </w:r>
            <w:r w:rsidR="000E5FAD">
              <w:t xml:space="preserve"> be gained from the analysis.</w:t>
            </w:r>
          </w:p>
          <w:p w14:paraId="1B144BF3" w14:textId="37301D47" w:rsidR="00617574" w:rsidRDefault="00617574" w:rsidP="000E6247">
            <w:r>
              <w:t>Kevin</w:t>
            </w:r>
            <w:r w:rsidR="00432C77">
              <w:t xml:space="preserve"> Hanson</w:t>
            </w:r>
            <w:r>
              <w:t xml:space="preserve"> – Would appreciate a baseline analysis showing congestion cost system wide.</w:t>
            </w:r>
            <w:r w:rsidR="00332C56">
              <w:t xml:space="preserve"> Is there a way for ERCOT to leverage LCG (modeling consultant) to provide benchmarking?</w:t>
            </w:r>
          </w:p>
          <w:p w14:paraId="3699B16F" w14:textId="20E25B11" w:rsidR="00505CAF" w:rsidRPr="006564B7" w:rsidRDefault="00332C56" w:rsidP="00432C77">
            <w:r>
              <w:t>Alex M</w:t>
            </w:r>
            <w:r w:rsidR="00432C77">
              <w:t>iller</w:t>
            </w:r>
            <w:r>
              <w:t xml:space="preserve"> </w:t>
            </w:r>
            <w:r w:rsidR="00176986">
              <w:t xml:space="preserve">(EDF) </w:t>
            </w:r>
            <w:r w:rsidR="006327E8">
              <w:t>–</w:t>
            </w:r>
            <w:r>
              <w:t xml:space="preserve"> </w:t>
            </w:r>
            <w:r w:rsidR="006327E8">
              <w:t>Agrees that benchmarking can be a major challenge. It doesn’t need to be perfect, but would like an idea of</w:t>
            </w:r>
            <w:r w:rsidR="00F12FA1">
              <w:t xml:space="preserve"> </w:t>
            </w:r>
            <w:r w:rsidR="006327E8">
              <w:t>how close we are.</w:t>
            </w:r>
          </w:p>
        </w:tc>
        <w:tc>
          <w:tcPr>
            <w:tcW w:w="874" w:type="pct"/>
          </w:tcPr>
          <w:p w14:paraId="4138B17C" w14:textId="1F72ADC6" w:rsidR="000E6247" w:rsidRDefault="000E6247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Alex Miller, Kevin Hanson, Kat Patrick</w:t>
            </w:r>
          </w:p>
        </w:tc>
      </w:tr>
      <w:tr w:rsidR="000E6247" w:rsidRPr="00A765CC" w14:paraId="0EA88CFA" w14:textId="77777777" w:rsidTr="00F706CF">
        <w:trPr>
          <w:trHeight w:val="630"/>
        </w:trPr>
        <w:tc>
          <w:tcPr>
            <w:tcW w:w="291" w:type="pct"/>
            <w:hideMark/>
          </w:tcPr>
          <w:p w14:paraId="1D9F2B57" w14:textId="0D814F7D" w:rsidR="000E6247" w:rsidRPr="00634629" w:rsidRDefault="000E6247" w:rsidP="000E6247">
            <w:pPr>
              <w:rPr>
                <w:b/>
                <w:bCs/>
              </w:rPr>
            </w:pP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D63324B" w14:textId="175594F1" w:rsidR="000E6247" w:rsidRPr="00BD5CC9" w:rsidRDefault="000E6247" w:rsidP="000E6247">
            <w:pPr>
              <w:rPr>
                <w:b/>
                <w:bCs/>
                <w:i/>
                <w:iCs/>
              </w:rPr>
            </w:pPr>
            <w:r w:rsidRPr="00B61C5D">
              <w:rPr>
                <w:b/>
                <w:bCs/>
                <w:i/>
                <w:iCs/>
              </w:rPr>
              <w:t>Action</w:t>
            </w:r>
            <w:r w:rsidR="00F12FA1">
              <w:rPr>
                <w:b/>
                <w:bCs/>
                <w:i/>
                <w:iCs/>
              </w:rPr>
              <w:t xml:space="preserve"> Taken</w:t>
            </w:r>
            <w:r w:rsidRPr="00B61C5D">
              <w:rPr>
                <w:b/>
                <w:bCs/>
                <w:i/>
                <w:iCs/>
              </w:rPr>
              <w:t>:</w:t>
            </w:r>
            <w:r w:rsidR="00F12FA1">
              <w:rPr>
                <w:b/>
                <w:bCs/>
                <w:i/>
                <w:iCs/>
              </w:rPr>
              <w:t xml:space="preserve"> </w:t>
            </w:r>
            <w:r w:rsidR="00F12FA1" w:rsidRPr="00BD5CC9">
              <w:rPr>
                <w:b/>
                <w:bCs/>
                <w:i/>
                <w:iCs/>
              </w:rPr>
              <w:t>Tabled</w:t>
            </w:r>
            <w:r w:rsidR="00BD5CC9" w:rsidRPr="00BD5CC9">
              <w:rPr>
                <w:b/>
                <w:bCs/>
                <w:i/>
                <w:iCs/>
              </w:rPr>
              <w:t xml:space="preserve"> to next PLWG meeting.</w:t>
            </w:r>
          </w:p>
        </w:tc>
        <w:tc>
          <w:tcPr>
            <w:tcW w:w="874" w:type="pct"/>
            <w:hideMark/>
          </w:tcPr>
          <w:p w14:paraId="318D23F0" w14:textId="213E04DB" w:rsidR="000E6247" w:rsidRPr="002D22AD" w:rsidRDefault="000E6247" w:rsidP="000E6247">
            <w:pPr>
              <w:rPr>
                <w:b/>
                <w:bCs/>
              </w:rPr>
            </w:pPr>
          </w:p>
        </w:tc>
      </w:tr>
      <w:tr w:rsidR="000E6247" w:rsidRPr="00A765CC" w14:paraId="0701AD45" w14:textId="77777777" w:rsidTr="0056135A">
        <w:trPr>
          <w:trHeight w:val="630"/>
        </w:trPr>
        <w:tc>
          <w:tcPr>
            <w:tcW w:w="291" w:type="pct"/>
          </w:tcPr>
          <w:p w14:paraId="5CBC646E" w14:textId="260B3CF1" w:rsidR="000E6247" w:rsidRDefault="00825A00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0E6247">
              <w:rPr>
                <w:b/>
                <w:bCs/>
              </w:rPr>
              <w:t>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4399718" w14:textId="77777777" w:rsidR="000E6247" w:rsidRPr="00D82DD9" w:rsidRDefault="000E6247" w:rsidP="000E6247">
            <w:pPr>
              <w:rPr>
                <w:b/>
                <w:bCs/>
              </w:rPr>
            </w:pPr>
            <w:r w:rsidRPr="00D82DD9">
              <w:rPr>
                <w:b/>
                <w:bCs/>
              </w:rPr>
              <w:t>PGRR 131 – Requirements for Interconnection Cost Reporting for Transmission-Connected Generators</w:t>
            </w:r>
          </w:p>
          <w:p w14:paraId="324A56CF" w14:textId="74F8335B" w:rsidR="000E6247" w:rsidRDefault="000E6247" w:rsidP="000E6247">
            <w:r>
              <w:t>Martha Henson (Oncor)</w:t>
            </w:r>
            <w:r w:rsidR="00BD5CC9">
              <w:t xml:space="preserve"> presented Oncor comments (</w:t>
            </w:r>
            <w:r w:rsidR="000D42BC">
              <w:t>10/17)</w:t>
            </w:r>
            <w:r w:rsidR="00AF52D5">
              <w:t xml:space="preserve">. Presented these </w:t>
            </w:r>
            <w:r w:rsidR="00F15692">
              <w:t xml:space="preserve">comments </w:t>
            </w:r>
            <w:r w:rsidR="00AF52D5">
              <w:t>conceptually last month</w:t>
            </w:r>
            <w:r w:rsidR="00F15692">
              <w:t>,</w:t>
            </w:r>
            <w:r w:rsidR="00AF52D5">
              <w:t xml:space="preserve"> and this language memorializes that discussion.</w:t>
            </w:r>
          </w:p>
          <w:p w14:paraId="2D8D4B9A" w14:textId="6696660B" w:rsidR="00BA52FD" w:rsidRDefault="00BA52FD" w:rsidP="000E6247">
            <w:r>
              <w:t xml:space="preserve">Erin Rasmussen (AEP) </w:t>
            </w:r>
            <w:r w:rsidR="00F335CA">
              <w:t>–</w:t>
            </w:r>
            <w:r>
              <w:t xml:space="preserve"> </w:t>
            </w:r>
            <w:r w:rsidR="00F335CA">
              <w:t>Support Oncor’s comments.</w:t>
            </w:r>
          </w:p>
          <w:p w14:paraId="4ACB0192" w14:textId="072AF636" w:rsidR="00F335CA" w:rsidRDefault="00F335CA" w:rsidP="000E6247">
            <w:r>
              <w:t>Chair asked if PLWG stakeholders reached consensus. No objections.</w:t>
            </w:r>
          </w:p>
          <w:p w14:paraId="4265C599" w14:textId="2E9DA7A9" w:rsidR="000E6247" w:rsidRPr="000F2858" w:rsidRDefault="000E6247" w:rsidP="000E6247">
            <w:pPr>
              <w:rPr>
                <w:b/>
                <w:bCs/>
                <w:i/>
                <w:iCs/>
              </w:rPr>
            </w:pPr>
            <w:r w:rsidRPr="000F2858">
              <w:rPr>
                <w:b/>
                <w:bCs/>
                <w:i/>
                <w:iCs/>
              </w:rPr>
              <w:t xml:space="preserve">Action Taken: </w:t>
            </w:r>
            <w:r w:rsidR="0065171B">
              <w:rPr>
                <w:b/>
                <w:bCs/>
                <w:i/>
                <w:iCs/>
              </w:rPr>
              <w:t>Will forward PGRR131 to ROS as reflected in Oncor 10/17 comments.</w:t>
            </w:r>
          </w:p>
        </w:tc>
        <w:tc>
          <w:tcPr>
            <w:tcW w:w="874" w:type="pct"/>
          </w:tcPr>
          <w:p w14:paraId="555A5F2A" w14:textId="72156013" w:rsidR="000E6247" w:rsidRDefault="00B07212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Martha Henson</w:t>
            </w:r>
          </w:p>
        </w:tc>
      </w:tr>
      <w:tr w:rsidR="00B07212" w:rsidRPr="00A765CC" w14:paraId="77D1550A" w14:textId="77777777" w:rsidTr="0056135A">
        <w:trPr>
          <w:trHeight w:val="630"/>
        </w:trPr>
        <w:tc>
          <w:tcPr>
            <w:tcW w:w="291" w:type="pct"/>
          </w:tcPr>
          <w:p w14:paraId="23A0E321" w14:textId="1EDDF549" w:rsidR="00B07212" w:rsidRDefault="00B07212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A8637C8" w14:textId="77777777" w:rsidR="00B07212" w:rsidRPr="00B07212" w:rsidRDefault="00B07212" w:rsidP="00B07212">
            <w:pPr>
              <w:rPr>
                <w:b/>
                <w:bCs/>
              </w:rPr>
            </w:pPr>
            <w:r w:rsidRPr="00B07212">
              <w:rPr>
                <w:b/>
                <w:bCs/>
              </w:rPr>
              <w:t>NPRR 1286 – Establish Multi-Value Criteria for Resiliency-Related Transmission Project Evaluation</w:t>
            </w:r>
          </w:p>
          <w:p w14:paraId="5A7B40F3" w14:textId="49C5AB99" w:rsidR="00176986" w:rsidRDefault="00176986" w:rsidP="000E6247">
            <w:r>
              <w:t>Initially moved to ROS but returned due to TIEC’s comments. Prabhu Gnanam stated that ERCOT would be okay with tabling for another month.</w:t>
            </w:r>
          </w:p>
          <w:p w14:paraId="17DD2480" w14:textId="7F4E47BA" w:rsidR="00176986" w:rsidRDefault="00176986" w:rsidP="000E6247">
            <w:r>
              <w:t>John Russ Hubbard (TIEC) presented concerns.</w:t>
            </w:r>
          </w:p>
          <w:p w14:paraId="27C8A518" w14:textId="457796B3" w:rsidR="004D2159" w:rsidRDefault="00176986" w:rsidP="000E6247">
            <w:r>
              <w:t>Ping Yan (ERCOT) noted that ERCOT is o</w:t>
            </w:r>
            <w:r w:rsidR="004D2159">
              <w:t xml:space="preserve">pen to the development of any alternative technology that will quantify the </w:t>
            </w:r>
            <w:r w:rsidR="004B4821">
              <w:t xml:space="preserve">resiliency criteria. </w:t>
            </w:r>
            <w:r>
              <w:t xml:space="preserve">ERCOT </w:t>
            </w:r>
            <w:r w:rsidR="004B4821">
              <w:t>did not proceed with the concept TIEC presented because of complications ran into.</w:t>
            </w:r>
          </w:p>
          <w:p w14:paraId="6E3641B3" w14:textId="2C10E190" w:rsidR="00CB6B44" w:rsidRPr="00176986" w:rsidRDefault="00F125EB" w:rsidP="00F15692">
            <w:pPr>
              <w:rPr>
                <w:b/>
                <w:bCs/>
                <w:i/>
                <w:iCs/>
              </w:rPr>
            </w:pPr>
            <w:r w:rsidRPr="00176986">
              <w:rPr>
                <w:b/>
                <w:bCs/>
                <w:i/>
                <w:iCs/>
              </w:rPr>
              <w:t>Action taken: Tabled</w:t>
            </w:r>
            <w:r w:rsidR="00176986" w:rsidRPr="00176986">
              <w:rPr>
                <w:b/>
                <w:bCs/>
                <w:i/>
                <w:iCs/>
              </w:rPr>
              <w:t xml:space="preserve"> NPRR1286 to allow </w:t>
            </w:r>
            <w:r w:rsidR="00176986">
              <w:rPr>
                <w:b/>
                <w:bCs/>
                <w:i/>
                <w:iCs/>
              </w:rPr>
              <w:t>more time for discussions to resolve concerns</w:t>
            </w:r>
            <w:r w:rsidR="00176986" w:rsidRPr="00176986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874" w:type="pct"/>
          </w:tcPr>
          <w:p w14:paraId="328372A1" w14:textId="4E750BB5" w:rsidR="00B07212" w:rsidRDefault="007D479F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John Hubbard</w:t>
            </w:r>
          </w:p>
        </w:tc>
      </w:tr>
      <w:tr w:rsidR="000E6247" w:rsidRPr="00A765CC" w14:paraId="0FD7E72D" w14:textId="77777777" w:rsidTr="00240829">
        <w:trPr>
          <w:trHeight w:val="345"/>
        </w:trPr>
        <w:tc>
          <w:tcPr>
            <w:tcW w:w="291" w:type="pct"/>
            <w:hideMark/>
          </w:tcPr>
          <w:p w14:paraId="66C479BD" w14:textId="794EF695" w:rsidR="000E6247" w:rsidRPr="00A765CC" w:rsidRDefault="00791332" w:rsidP="000E6247">
            <w:r>
              <w:rPr>
                <w:b/>
                <w:bCs/>
              </w:rPr>
              <w:t>9</w:t>
            </w:r>
            <w:r w:rsidR="000E6247" w:rsidRPr="00A765CC">
              <w:rPr>
                <w:b/>
                <w:bCs/>
              </w:rPr>
              <w:t>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A7F28EB" w14:textId="6E113856" w:rsidR="000E6247" w:rsidRPr="00D82DD9" w:rsidRDefault="000E6247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Tabled Items</w:t>
            </w:r>
          </w:p>
        </w:tc>
        <w:tc>
          <w:tcPr>
            <w:tcW w:w="874" w:type="pct"/>
            <w:hideMark/>
          </w:tcPr>
          <w:p w14:paraId="1B51905F" w14:textId="26FD24B7" w:rsidR="000E6247" w:rsidRPr="00A765CC" w:rsidRDefault="000E6247" w:rsidP="000E6247"/>
        </w:tc>
      </w:tr>
      <w:tr w:rsidR="000E6247" w:rsidRPr="00A765CC" w14:paraId="028401F1" w14:textId="77777777" w:rsidTr="00240829">
        <w:trPr>
          <w:trHeight w:val="990"/>
        </w:trPr>
        <w:tc>
          <w:tcPr>
            <w:tcW w:w="291" w:type="pct"/>
          </w:tcPr>
          <w:p w14:paraId="58CA2D1A" w14:textId="2F21FB06" w:rsidR="000E6247" w:rsidRPr="00A765CC" w:rsidRDefault="000E6247" w:rsidP="000E6247">
            <w:pPr>
              <w:rPr>
                <w:b/>
                <w:bCs/>
              </w:rPr>
            </w:pP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A9044B0" w14:textId="58C6B698" w:rsidR="000E6247" w:rsidRDefault="000E6247" w:rsidP="000E6247">
            <w:pPr>
              <w:pStyle w:val="ListParagraph"/>
              <w:ind w:left="73" w:hanging="73"/>
            </w:pPr>
            <w:r>
              <w:t>The following items were not taken up for discussion.</w:t>
            </w:r>
          </w:p>
          <w:p w14:paraId="5F31332F" w14:textId="422AAF34" w:rsidR="000E6247" w:rsidRPr="00717207" w:rsidRDefault="000E6247" w:rsidP="000E6247">
            <w:pPr>
              <w:pStyle w:val="ListParagraph"/>
              <w:numPr>
                <w:ilvl w:val="0"/>
                <w:numId w:val="9"/>
              </w:numPr>
            </w:pPr>
            <w:r>
              <w:t>PGRR 122 – Reliability Performance Criteria for Loss of Load</w:t>
            </w:r>
          </w:p>
        </w:tc>
        <w:tc>
          <w:tcPr>
            <w:tcW w:w="874" w:type="pct"/>
          </w:tcPr>
          <w:p w14:paraId="7D856BC3" w14:textId="29A3F7E1" w:rsidR="000E6247" w:rsidRDefault="000E6247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ERCOT</w:t>
            </w:r>
          </w:p>
        </w:tc>
      </w:tr>
      <w:tr w:rsidR="000E6247" w:rsidRPr="00A765CC" w14:paraId="30044883" w14:textId="77777777" w:rsidTr="00240829">
        <w:trPr>
          <w:trHeight w:val="990"/>
        </w:trPr>
        <w:tc>
          <w:tcPr>
            <w:tcW w:w="291" w:type="pct"/>
          </w:tcPr>
          <w:p w14:paraId="5F556E7D" w14:textId="77777777" w:rsidR="000E6247" w:rsidRPr="00A765CC" w:rsidRDefault="000E6247" w:rsidP="000E6247">
            <w:pPr>
              <w:rPr>
                <w:b/>
                <w:bCs/>
              </w:rPr>
            </w:pP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B7CA672" w14:textId="2CA8CF11" w:rsidR="000E6247" w:rsidRDefault="000E6247" w:rsidP="000E6247">
            <w:pPr>
              <w:pStyle w:val="ListParagraph"/>
              <w:numPr>
                <w:ilvl w:val="0"/>
                <w:numId w:val="9"/>
              </w:numPr>
            </w:pPr>
            <w:r>
              <w:t>PGRR 124 – ESR Maintenance Exception to Modifications</w:t>
            </w:r>
          </w:p>
        </w:tc>
        <w:tc>
          <w:tcPr>
            <w:tcW w:w="874" w:type="pct"/>
          </w:tcPr>
          <w:p w14:paraId="280A58FA" w14:textId="5BEE1867" w:rsidR="000E6247" w:rsidRDefault="000E6247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Tesla/Eric Goff</w:t>
            </w:r>
          </w:p>
        </w:tc>
      </w:tr>
      <w:tr w:rsidR="006C430A" w:rsidRPr="00A765CC" w14:paraId="2E661D57" w14:textId="77777777" w:rsidTr="00240829">
        <w:trPr>
          <w:trHeight w:val="990"/>
        </w:trPr>
        <w:tc>
          <w:tcPr>
            <w:tcW w:w="291" w:type="pct"/>
          </w:tcPr>
          <w:p w14:paraId="551E362E" w14:textId="77777777" w:rsidR="006C430A" w:rsidRPr="00A765CC" w:rsidRDefault="006C430A" w:rsidP="000E6247">
            <w:pPr>
              <w:rPr>
                <w:b/>
                <w:bCs/>
              </w:rPr>
            </w:pP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31169BE" w14:textId="78CEE36D" w:rsidR="006C430A" w:rsidRDefault="006C430A" w:rsidP="000E6247">
            <w:pPr>
              <w:pStyle w:val="ListParagraph"/>
              <w:numPr>
                <w:ilvl w:val="0"/>
                <w:numId w:val="9"/>
              </w:numPr>
            </w:pPr>
            <w:r>
              <w:t>PGRR126 – Related to NPRR1284, Guaranteed Reliability Load Process</w:t>
            </w:r>
          </w:p>
        </w:tc>
        <w:tc>
          <w:tcPr>
            <w:tcW w:w="874" w:type="pct"/>
          </w:tcPr>
          <w:p w14:paraId="4E124822" w14:textId="2EAD89D0" w:rsidR="006C430A" w:rsidRDefault="006C430A" w:rsidP="000E6247">
            <w:pPr>
              <w:rPr>
                <w:b/>
                <w:bCs/>
              </w:rPr>
            </w:pPr>
            <w:r>
              <w:rPr>
                <w:b/>
                <w:bCs/>
              </w:rPr>
              <w:t>Clayton Greer</w:t>
            </w:r>
          </w:p>
        </w:tc>
      </w:tr>
      <w:tr w:rsidR="000E6247" w:rsidRPr="00A765CC" w14:paraId="02F0A2F1" w14:textId="77777777" w:rsidTr="00240829">
        <w:trPr>
          <w:trHeight w:val="990"/>
        </w:trPr>
        <w:tc>
          <w:tcPr>
            <w:tcW w:w="291" w:type="pct"/>
          </w:tcPr>
          <w:p w14:paraId="35817397" w14:textId="573BCD42" w:rsidR="000E6247" w:rsidRPr="00D82DD9" w:rsidRDefault="000E6247" w:rsidP="000E6247">
            <w:pPr>
              <w:rPr>
                <w:b/>
                <w:bCs/>
              </w:rPr>
            </w:pPr>
            <w:r w:rsidRPr="00D82DD9">
              <w:rPr>
                <w:b/>
                <w:bCs/>
              </w:rPr>
              <w:t>1</w:t>
            </w:r>
            <w:r w:rsidR="006C430A">
              <w:rPr>
                <w:b/>
                <w:bCs/>
              </w:rPr>
              <w:t>0</w:t>
            </w:r>
            <w:r w:rsidRPr="00D82DD9">
              <w:rPr>
                <w:b/>
                <w:bCs/>
              </w:rPr>
              <w:t>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8A10FA5" w14:textId="77777777" w:rsidR="000E6247" w:rsidRDefault="000E6247" w:rsidP="000E6247">
            <w:pPr>
              <w:rPr>
                <w:b/>
                <w:bCs/>
              </w:rPr>
            </w:pPr>
            <w:r w:rsidRPr="00D82DD9">
              <w:rPr>
                <w:b/>
                <w:bCs/>
              </w:rPr>
              <w:t>Other Business</w:t>
            </w:r>
          </w:p>
          <w:p w14:paraId="423C3734" w14:textId="6ADCCA3A" w:rsidR="000E6247" w:rsidRPr="006F4339" w:rsidRDefault="000E6247" w:rsidP="000E6247">
            <w:r w:rsidRPr="006F4339">
              <w:t>None discussed.</w:t>
            </w:r>
          </w:p>
        </w:tc>
        <w:tc>
          <w:tcPr>
            <w:tcW w:w="874" w:type="pct"/>
          </w:tcPr>
          <w:p w14:paraId="1B1EAD72" w14:textId="77777777" w:rsidR="000E6247" w:rsidRDefault="000E6247" w:rsidP="000E6247">
            <w:pPr>
              <w:rPr>
                <w:b/>
                <w:bCs/>
              </w:rPr>
            </w:pPr>
          </w:p>
        </w:tc>
      </w:tr>
      <w:tr w:rsidR="000E6247" w:rsidRPr="00A765CC" w14:paraId="5AFFCF84" w14:textId="77777777" w:rsidTr="0056135A">
        <w:trPr>
          <w:trHeight w:val="630"/>
        </w:trPr>
        <w:tc>
          <w:tcPr>
            <w:tcW w:w="291" w:type="pct"/>
            <w:hideMark/>
          </w:tcPr>
          <w:p w14:paraId="49254981" w14:textId="6C8A01E9" w:rsidR="000E6247" w:rsidRPr="00A765CC" w:rsidRDefault="000E6247" w:rsidP="000E6247">
            <w:r w:rsidRPr="00A765CC">
              <w:rPr>
                <w:b/>
                <w:bCs/>
              </w:rPr>
              <w:t>1</w:t>
            </w:r>
            <w:r w:rsidR="006C430A">
              <w:rPr>
                <w:b/>
                <w:bCs/>
              </w:rPr>
              <w:t>1</w:t>
            </w:r>
            <w:r w:rsidRPr="00A765CC">
              <w:rPr>
                <w:b/>
                <w:bCs/>
              </w:rPr>
              <w:t>.</w:t>
            </w:r>
            <w:r w:rsidRPr="00A765CC">
              <w:t> 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350C123" w14:textId="77777777" w:rsidR="000E6247" w:rsidRDefault="000E6247" w:rsidP="000E6247">
            <w:pPr>
              <w:rPr>
                <w:b/>
                <w:bCs/>
              </w:rPr>
            </w:pPr>
            <w:r w:rsidRPr="00A765CC">
              <w:rPr>
                <w:b/>
                <w:bCs/>
              </w:rPr>
              <w:t>Adjourn</w:t>
            </w:r>
          </w:p>
          <w:p w14:paraId="3681AE4F" w14:textId="43B680A9" w:rsidR="000E6247" w:rsidRPr="00A765CC" w:rsidRDefault="000E6247" w:rsidP="000E6247">
            <w:r>
              <w:t xml:space="preserve">Meeting adjourned at </w:t>
            </w:r>
            <w:r w:rsidR="006F63E4">
              <w:t>3:</w:t>
            </w:r>
            <w:r w:rsidR="002D135C">
              <w:t>20</w:t>
            </w:r>
            <w:r>
              <w:t xml:space="preserve"> pm. The next PLWG meeting will be </w:t>
            </w:r>
            <w:r w:rsidR="002D135C">
              <w:t>November 18</w:t>
            </w:r>
            <w:r w:rsidR="00C4067B">
              <w:t>, possibly will move to November 11 along with RPG. Will communicate decision by end of this week.</w:t>
            </w:r>
          </w:p>
        </w:tc>
        <w:tc>
          <w:tcPr>
            <w:tcW w:w="874" w:type="pct"/>
            <w:hideMark/>
          </w:tcPr>
          <w:p w14:paraId="2808DB60" w14:textId="77777777" w:rsidR="000E6247" w:rsidRPr="00A765CC" w:rsidRDefault="000E6247" w:rsidP="000E6247">
            <w:r w:rsidRPr="00A765CC">
              <w:rPr>
                <w:b/>
                <w:bCs/>
              </w:rPr>
              <w:t>Chair </w:t>
            </w:r>
          </w:p>
        </w:tc>
      </w:tr>
    </w:tbl>
    <w:p w14:paraId="1B3E5208" w14:textId="77777777" w:rsidR="008D4CFB" w:rsidRDefault="008D4CFB"/>
    <w:sectPr w:rsidR="008D4C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0597" w14:textId="77777777" w:rsidR="005A4B70" w:rsidRDefault="005A4B70" w:rsidP="00701AAE">
      <w:pPr>
        <w:spacing w:after="0" w:line="240" w:lineRule="auto"/>
      </w:pPr>
      <w:r>
        <w:separator/>
      </w:r>
    </w:p>
  </w:endnote>
  <w:endnote w:type="continuationSeparator" w:id="0">
    <w:p w14:paraId="6C4F316F" w14:textId="77777777" w:rsidR="005A4B70" w:rsidRDefault="005A4B70" w:rsidP="00701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941C" w14:textId="4ED3D72C" w:rsidR="00701AAE" w:rsidRDefault="00701AAE" w:rsidP="00701AAE">
    <w:pPr>
      <w:pStyle w:val="Footer"/>
      <w:tabs>
        <w:tab w:val="clear" w:pos="4680"/>
        <w:tab w:val="clear" w:pos="9360"/>
        <w:tab w:val="left" w:pos="3586"/>
      </w:tabs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6EF68" w14:textId="77777777" w:rsidR="005A4B70" w:rsidRDefault="005A4B70" w:rsidP="00701AAE">
      <w:pPr>
        <w:spacing w:after="0" w:line="240" w:lineRule="auto"/>
      </w:pPr>
      <w:r>
        <w:separator/>
      </w:r>
    </w:p>
  </w:footnote>
  <w:footnote w:type="continuationSeparator" w:id="0">
    <w:p w14:paraId="058FB21E" w14:textId="77777777" w:rsidR="005A4B70" w:rsidRDefault="005A4B70" w:rsidP="00701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4C6"/>
    <w:multiLevelType w:val="multilevel"/>
    <w:tmpl w:val="0E4A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631DC"/>
    <w:multiLevelType w:val="multilevel"/>
    <w:tmpl w:val="F7E8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17857"/>
    <w:multiLevelType w:val="multilevel"/>
    <w:tmpl w:val="C1B4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A54B9"/>
    <w:multiLevelType w:val="multilevel"/>
    <w:tmpl w:val="FAC6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6392B"/>
    <w:multiLevelType w:val="hybridMultilevel"/>
    <w:tmpl w:val="C878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430CF"/>
    <w:multiLevelType w:val="hybridMultilevel"/>
    <w:tmpl w:val="4276FF8A"/>
    <w:lvl w:ilvl="0" w:tplc="592C6BC0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96733"/>
    <w:multiLevelType w:val="hybridMultilevel"/>
    <w:tmpl w:val="C32A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E7543"/>
    <w:multiLevelType w:val="multilevel"/>
    <w:tmpl w:val="C27E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405CDE"/>
    <w:multiLevelType w:val="multilevel"/>
    <w:tmpl w:val="D8D2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0A5E38"/>
    <w:multiLevelType w:val="hybridMultilevel"/>
    <w:tmpl w:val="FAA4F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744098">
    <w:abstractNumId w:val="3"/>
  </w:num>
  <w:num w:numId="2" w16cid:durableId="542834862">
    <w:abstractNumId w:val="1"/>
  </w:num>
  <w:num w:numId="3" w16cid:durableId="1979676816">
    <w:abstractNumId w:val="8"/>
  </w:num>
  <w:num w:numId="4" w16cid:durableId="911700180">
    <w:abstractNumId w:val="0"/>
  </w:num>
  <w:num w:numId="5" w16cid:durableId="54398409">
    <w:abstractNumId w:val="7"/>
  </w:num>
  <w:num w:numId="6" w16cid:durableId="173692088">
    <w:abstractNumId w:val="2"/>
  </w:num>
  <w:num w:numId="7" w16cid:durableId="133527217">
    <w:abstractNumId w:val="4"/>
  </w:num>
  <w:num w:numId="8" w16cid:durableId="738481879">
    <w:abstractNumId w:val="6"/>
  </w:num>
  <w:num w:numId="9" w16cid:durableId="1012343052">
    <w:abstractNumId w:val="9"/>
  </w:num>
  <w:num w:numId="10" w16cid:durableId="502473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CC"/>
    <w:rsid w:val="0000009A"/>
    <w:rsid w:val="0000095B"/>
    <w:rsid w:val="00004735"/>
    <w:rsid w:val="00011B31"/>
    <w:rsid w:val="000126BB"/>
    <w:rsid w:val="00013E2F"/>
    <w:rsid w:val="00014FFE"/>
    <w:rsid w:val="0001526F"/>
    <w:rsid w:val="000160D3"/>
    <w:rsid w:val="00017743"/>
    <w:rsid w:val="00020392"/>
    <w:rsid w:val="0002118D"/>
    <w:rsid w:val="00021734"/>
    <w:rsid w:val="00025B03"/>
    <w:rsid w:val="00026FAB"/>
    <w:rsid w:val="00027C1E"/>
    <w:rsid w:val="00031B2A"/>
    <w:rsid w:val="000327AC"/>
    <w:rsid w:val="00033842"/>
    <w:rsid w:val="00034273"/>
    <w:rsid w:val="00035287"/>
    <w:rsid w:val="00035FC7"/>
    <w:rsid w:val="00037898"/>
    <w:rsid w:val="000449A0"/>
    <w:rsid w:val="00046FC1"/>
    <w:rsid w:val="00050568"/>
    <w:rsid w:val="0005082D"/>
    <w:rsid w:val="00051512"/>
    <w:rsid w:val="00051E13"/>
    <w:rsid w:val="000538F3"/>
    <w:rsid w:val="000539D4"/>
    <w:rsid w:val="00056A74"/>
    <w:rsid w:val="00057904"/>
    <w:rsid w:val="00060FD0"/>
    <w:rsid w:val="00061164"/>
    <w:rsid w:val="00064D14"/>
    <w:rsid w:val="00066567"/>
    <w:rsid w:val="00067199"/>
    <w:rsid w:val="000676FC"/>
    <w:rsid w:val="00070686"/>
    <w:rsid w:val="0007069A"/>
    <w:rsid w:val="00071722"/>
    <w:rsid w:val="0007180D"/>
    <w:rsid w:val="000720AB"/>
    <w:rsid w:val="00074BF9"/>
    <w:rsid w:val="00077827"/>
    <w:rsid w:val="00080683"/>
    <w:rsid w:val="000818CE"/>
    <w:rsid w:val="00083EEB"/>
    <w:rsid w:val="000849EC"/>
    <w:rsid w:val="00084DDC"/>
    <w:rsid w:val="00086AAB"/>
    <w:rsid w:val="00086D21"/>
    <w:rsid w:val="000950F1"/>
    <w:rsid w:val="00097266"/>
    <w:rsid w:val="000A2567"/>
    <w:rsid w:val="000A295C"/>
    <w:rsid w:val="000A3627"/>
    <w:rsid w:val="000A3629"/>
    <w:rsid w:val="000A38F4"/>
    <w:rsid w:val="000A4BA8"/>
    <w:rsid w:val="000A513F"/>
    <w:rsid w:val="000A5FD2"/>
    <w:rsid w:val="000A605D"/>
    <w:rsid w:val="000A79C3"/>
    <w:rsid w:val="000B21C6"/>
    <w:rsid w:val="000B5D99"/>
    <w:rsid w:val="000B6FDD"/>
    <w:rsid w:val="000C2A7C"/>
    <w:rsid w:val="000C3E15"/>
    <w:rsid w:val="000C409B"/>
    <w:rsid w:val="000C681F"/>
    <w:rsid w:val="000D1D6E"/>
    <w:rsid w:val="000D2AA6"/>
    <w:rsid w:val="000D2DD4"/>
    <w:rsid w:val="000D3D9F"/>
    <w:rsid w:val="000D40DF"/>
    <w:rsid w:val="000D42BC"/>
    <w:rsid w:val="000D4E42"/>
    <w:rsid w:val="000D4F61"/>
    <w:rsid w:val="000D76BE"/>
    <w:rsid w:val="000E005A"/>
    <w:rsid w:val="000E058B"/>
    <w:rsid w:val="000E090B"/>
    <w:rsid w:val="000E3830"/>
    <w:rsid w:val="000E5FAD"/>
    <w:rsid w:val="000E6247"/>
    <w:rsid w:val="000E62CA"/>
    <w:rsid w:val="000F0944"/>
    <w:rsid w:val="000F2858"/>
    <w:rsid w:val="000F3777"/>
    <w:rsid w:val="000F52EF"/>
    <w:rsid w:val="000F5377"/>
    <w:rsid w:val="000F58C1"/>
    <w:rsid w:val="000F64AA"/>
    <w:rsid w:val="000F70C5"/>
    <w:rsid w:val="00100AAA"/>
    <w:rsid w:val="0010261B"/>
    <w:rsid w:val="0010298F"/>
    <w:rsid w:val="00110771"/>
    <w:rsid w:val="00116235"/>
    <w:rsid w:val="00120156"/>
    <w:rsid w:val="0012134C"/>
    <w:rsid w:val="00127DC3"/>
    <w:rsid w:val="00132B60"/>
    <w:rsid w:val="001336D5"/>
    <w:rsid w:val="00134CED"/>
    <w:rsid w:val="0013518E"/>
    <w:rsid w:val="00137847"/>
    <w:rsid w:val="0014037D"/>
    <w:rsid w:val="00140C27"/>
    <w:rsid w:val="00142093"/>
    <w:rsid w:val="00145738"/>
    <w:rsid w:val="001461EE"/>
    <w:rsid w:val="00147697"/>
    <w:rsid w:val="00150214"/>
    <w:rsid w:val="001516C2"/>
    <w:rsid w:val="00152146"/>
    <w:rsid w:val="00154703"/>
    <w:rsid w:val="0015628A"/>
    <w:rsid w:val="00156453"/>
    <w:rsid w:val="00160004"/>
    <w:rsid w:val="001605F1"/>
    <w:rsid w:val="001606CD"/>
    <w:rsid w:val="00162845"/>
    <w:rsid w:val="00167D02"/>
    <w:rsid w:val="00171659"/>
    <w:rsid w:val="00172DAB"/>
    <w:rsid w:val="00172DFC"/>
    <w:rsid w:val="00174AAE"/>
    <w:rsid w:val="00176986"/>
    <w:rsid w:val="00177F77"/>
    <w:rsid w:val="0018164B"/>
    <w:rsid w:val="00183A54"/>
    <w:rsid w:val="00185A3F"/>
    <w:rsid w:val="001916D6"/>
    <w:rsid w:val="001945DF"/>
    <w:rsid w:val="001961AB"/>
    <w:rsid w:val="00197670"/>
    <w:rsid w:val="00197DE6"/>
    <w:rsid w:val="001A0DA0"/>
    <w:rsid w:val="001A1101"/>
    <w:rsid w:val="001A47FB"/>
    <w:rsid w:val="001A6E6D"/>
    <w:rsid w:val="001B0DFA"/>
    <w:rsid w:val="001B0E0D"/>
    <w:rsid w:val="001B2EE5"/>
    <w:rsid w:val="001B3E50"/>
    <w:rsid w:val="001B6919"/>
    <w:rsid w:val="001C0CC7"/>
    <w:rsid w:val="001C1FD7"/>
    <w:rsid w:val="001C55C4"/>
    <w:rsid w:val="001C7ECC"/>
    <w:rsid w:val="001E0620"/>
    <w:rsid w:val="001E095D"/>
    <w:rsid w:val="001E1E53"/>
    <w:rsid w:val="001E2DA7"/>
    <w:rsid w:val="001E484D"/>
    <w:rsid w:val="001E6E50"/>
    <w:rsid w:val="001E6EB0"/>
    <w:rsid w:val="001E7120"/>
    <w:rsid w:val="001F2CAC"/>
    <w:rsid w:val="001F49E7"/>
    <w:rsid w:val="001F55DD"/>
    <w:rsid w:val="001F628E"/>
    <w:rsid w:val="001F68E6"/>
    <w:rsid w:val="002018C9"/>
    <w:rsid w:val="00202485"/>
    <w:rsid w:val="00202ABA"/>
    <w:rsid w:val="002032B5"/>
    <w:rsid w:val="0021054E"/>
    <w:rsid w:val="00210DB5"/>
    <w:rsid w:val="002144AE"/>
    <w:rsid w:val="002148E2"/>
    <w:rsid w:val="00223659"/>
    <w:rsid w:val="002236BE"/>
    <w:rsid w:val="002236E4"/>
    <w:rsid w:val="0022624C"/>
    <w:rsid w:val="00226934"/>
    <w:rsid w:val="00226B64"/>
    <w:rsid w:val="00226F76"/>
    <w:rsid w:val="0022768B"/>
    <w:rsid w:val="0023302B"/>
    <w:rsid w:val="002357C9"/>
    <w:rsid w:val="00240054"/>
    <w:rsid w:val="00240829"/>
    <w:rsid w:val="002423CC"/>
    <w:rsid w:val="0024273C"/>
    <w:rsid w:val="00250E9B"/>
    <w:rsid w:val="0025482D"/>
    <w:rsid w:val="00255796"/>
    <w:rsid w:val="00261595"/>
    <w:rsid w:val="00262FFC"/>
    <w:rsid w:val="002636A3"/>
    <w:rsid w:val="00263B29"/>
    <w:rsid w:val="00270EA4"/>
    <w:rsid w:val="002714D4"/>
    <w:rsid w:val="002737FC"/>
    <w:rsid w:val="0027507E"/>
    <w:rsid w:val="0028124F"/>
    <w:rsid w:val="00284C7B"/>
    <w:rsid w:val="00287C66"/>
    <w:rsid w:val="0029156C"/>
    <w:rsid w:val="00292B1D"/>
    <w:rsid w:val="0029388E"/>
    <w:rsid w:val="00294F53"/>
    <w:rsid w:val="0029592A"/>
    <w:rsid w:val="002A06F1"/>
    <w:rsid w:val="002A1E26"/>
    <w:rsid w:val="002A2B5E"/>
    <w:rsid w:val="002A4F3D"/>
    <w:rsid w:val="002A51AD"/>
    <w:rsid w:val="002A6321"/>
    <w:rsid w:val="002A72EA"/>
    <w:rsid w:val="002B1C34"/>
    <w:rsid w:val="002B22B1"/>
    <w:rsid w:val="002D135C"/>
    <w:rsid w:val="002D22AD"/>
    <w:rsid w:val="002D27E4"/>
    <w:rsid w:val="002D4682"/>
    <w:rsid w:val="002D72B3"/>
    <w:rsid w:val="002E0E68"/>
    <w:rsid w:val="002F4621"/>
    <w:rsid w:val="002F4CC1"/>
    <w:rsid w:val="002F4F85"/>
    <w:rsid w:val="002F73A8"/>
    <w:rsid w:val="002F777B"/>
    <w:rsid w:val="00301D43"/>
    <w:rsid w:val="00302CC0"/>
    <w:rsid w:val="00304158"/>
    <w:rsid w:val="00307040"/>
    <w:rsid w:val="003079B9"/>
    <w:rsid w:val="00312322"/>
    <w:rsid w:val="00314A61"/>
    <w:rsid w:val="0032192A"/>
    <w:rsid w:val="0032256B"/>
    <w:rsid w:val="0032404E"/>
    <w:rsid w:val="00325FAF"/>
    <w:rsid w:val="003309F6"/>
    <w:rsid w:val="0033156B"/>
    <w:rsid w:val="00332907"/>
    <w:rsid w:val="00332C56"/>
    <w:rsid w:val="003330E7"/>
    <w:rsid w:val="00334648"/>
    <w:rsid w:val="00336744"/>
    <w:rsid w:val="00340E3B"/>
    <w:rsid w:val="003506FA"/>
    <w:rsid w:val="00354F7A"/>
    <w:rsid w:val="00360A01"/>
    <w:rsid w:val="003644E0"/>
    <w:rsid w:val="00367A81"/>
    <w:rsid w:val="00370753"/>
    <w:rsid w:val="00371379"/>
    <w:rsid w:val="00372075"/>
    <w:rsid w:val="00372584"/>
    <w:rsid w:val="00372AD2"/>
    <w:rsid w:val="00372D8C"/>
    <w:rsid w:val="00375A26"/>
    <w:rsid w:val="003767ED"/>
    <w:rsid w:val="00383734"/>
    <w:rsid w:val="003921B3"/>
    <w:rsid w:val="00392459"/>
    <w:rsid w:val="003979F5"/>
    <w:rsid w:val="003A01F9"/>
    <w:rsid w:val="003A110E"/>
    <w:rsid w:val="003B0210"/>
    <w:rsid w:val="003B065C"/>
    <w:rsid w:val="003B086D"/>
    <w:rsid w:val="003B0DDC"/>
    <w:rsid w:val="003B2498"/>
    <w:rsid w:val="003B3843"/>
    <w:rsid w:val="003B50BF"/>
    <w:rsid w:val="003B50FC"/>
    <w:rsid w:val="003B5A7A"/>
    <w:rsid w:val="003B5F4F"/>
    <w:rsid w:val="003B6210"/>
    <w:rsid w:val="003B66B9"/>
    <w:rsid w:val="003B6C94"/>
    <w:rsid w:val="003B6F79"/>
    <w:rsid w:val="003C314D"/>
    <w:rsid w:val="003C3DF4"/>
    <w:rsid w:val="003C50B1"/>
    <w:rsid w:val="003D07B0"/>
    <w:rsid w:val="003D314F"/>
    <w:rsid w:val="003D7964"/>
    <w:rsid w:val="003E0837"/>
    <w:rsid w:val="003E2A8F"/>
    <w:rsid w:val="003E3C80"/>
    <w:rsid w:val="003E7955"/>
    <w:rsid w:val="003F1A3E"/>
    <w:rsid w:val="003F266F"/>
    <w:rsid w:val="003F498B"/>
    <w:rsid w:val="003F53F5"/>
    <w:rsid w:val="003F5F06"/>
    <w:rsid w:val="003F631D"/>
    <w:rsid w:val="0040036D"/>
    <w:rsid w:val="00404657"/>
    <w:rsid w:val="0040574A"/>
    <w:rsid w:val="00407275"/>
    <w:rsid w:val="00407AF6"/>
    <w:rsid w:val="00411E9F"/>
    <w:rsid w:val="00414574"/>
    <w:rsid w:val="004158FC"/>
    <w:rsid w:val="00417D21"/>
    <w:rsid w:val="00420E37"/>
    <w:rsid w:val="0042242A"/>
    <w:rsid w:val="004224DC"/>
    <w:rsid w:val="00424B33"/>
    <w:rsid w:val="00426298"/>
    <w:rsid w:val="00426D39"/>
    <w:rsid w:val="00427CF8"/>
    <w:rsid w:val="00432C77"/>
    <w:rsid w:val="004348F5"/>
    <w:rsid w:val="00437B10"/>
    <w:rsid w:val="004412DB"/>
    <w:rsid w:val="0044245C"/>
    <w:rsid w:val="0044278E"/>
    <w:rsid w:val="00446F0B"/>
    <w:rsid w:val="004476A8"/>
    <w:rsid w:val="00450A6D"/>
    <w:rsid w:val="00450D31"/>
    <w:rsid w:val="00451EE9"/>
    <w:rsid w:val="0045353A"/>
    <w:rsid w:val="00453B7F"/>
    <w:rsid w:val="00456245"/>
    <w:rsid w:val="004633B2"/>
    <w:rsid w:val="004634FA"/>
    <w:rsid w:val="00465649"/>
    <w:rsid w:val="00472C92"/>
    <w:rsid w:val="00472ECE"/>
    <w:rsid w:val="0047745F"/>
    <w:rsid w:val="00480803"/>
    <w:rsid w:val="00481527"/>
    <w:rsid w:val="004818BA"/>
    <w:rsid w:val="00481F56"/>
    <w:rsid w:val="0048355A"/>
    <w:rsid w:val="00484111"/>
    <w:rsid w:val="00487504"/>
    <w:rsid w:val="004875F9"/>
    <w:rsid w:val="00491AEA"/>
    <w:rsid w:val="00491AFD"/>
    <w:rsid w:val="00493B0E"/>
    <w:rsid w:val="00495337"/>
    <w:rsid w:val="004A339E"/>
    <w:rsid w:val="004A362C"/>
    <w:rsid w:val="004A3C89"/>
    <w:rsid w:val="004A51CE"/>
    <w:rsid w:val="004A57BD"/>
    <w:rsid w:val="004A5F21"/>
    <w:rsid w:val="004B027E"/>
    <w:rsid w:val="004B2994"/>
    <w:rsid w:val="004B3626"/>
    <w:rsid w:val="004B3EC7"/>
    <w:rsid w:val="004B4821"/>
    <w:rsid w:val="004B5320"/>
    <w:rsid w:val="004B570D"/>
    <w:rsid w:val="004B65F1"/>
    <w:rsid w:val="004B734C"/>
    <w:rsid w:val="004C1898"/>
    <w:rsid w:val="004C1FD5"/>
    <w:rsid w:val="004C3110"/>
    <w:rsid w:val="004C3D86"/>
    <w:rsid w:val="004D14E0"/>
    <w:rsid w:val="004D202C"/>
    <w:rsid w:val="004D2159"/>
    <w:rsid w:val="004D4259"/>
    <w:rsid w:val="004E0BBD"/>
    <w:rsid w:val="004E2A55"/>
    <w:rsid w:val="004F094E"/>
    <w:rsid w:val="004F097A"/>
    <w:rsid w:val="004F0ADE"/>
    <w:rsid w:val="004F3C75"/>
    <w:rsid w:val="004F4333"/>
    <w:rsid w:val="004F50B0"/>
    <w:rsid w:val="004F5AFB"/>
    <w:rsid w:val="004F6DD4"/>
    <w:rsid w:val="004F768A"/>
    <w:rsid w:val="00501CE0"/>
    <w:rsid w:val="005036B8"/>
    <w:rsid w:val="00505B9F"/>
    <w:rsid w:val="00505CAF"/>
    <w:rsid w:val="00511659"/>
    <w:rsid w:val="0051172D"/>
    <w:rsid w:val="0051393D"/>
    <w:rsid w:val="00515007"/>
    <w:rsid w:val="005151A7"/>
    <w:rsid w:val="005221D4"/>
    <w:rsid w:val="00522B5D"/>
    <w:rsid w:val="00524E80"/>
    <w:rsid w:val="00525E4A"/>
    <w:rsid w:val="00527D10"/>
    <w:rsid w:val="00533054"/>
    <w:rsid w:val="00536386"/>
    <w:rsid w:val="0054265B"/>
    <w:rsid w:val="005432F3"/>
    <w:rsid w:val="005436E5"/>
    <w:rsid w:val="00545B83"/>
    <w:rsid w:val="00546810"/>
    <w:rsid w:val="005559E3"/>
    <w:rsid w:val="00557FC1"/>
    <w:rsid w:val="005603CD"/>
    <w:rsid w:val="005606EF"/>
    <w:rsid w:val="0056135A"/>
    <w:rsid w:val="00561D53"/>
    <w:rsid w:val="00562075"/>
    <w:rsid w:val="00564F76"/>
    <w:rsid w:val="00571EE8"/>
    <w:rsid w:val="0057374A"/>
    <w:rsid w:val="00575A11"/>
    <w:rsid w:val="00575B8D"/>
    <w:rsid w:val="00580ABD"/>
    <w:rsid w:val="00584F84"/>
    <w:rsid w:val="005873AC"/>
    <w:rsid w:val="00591B75"/>
    <w:rsid w:val="005945B9"/>
    <w:rsid w:val="00596F6A"/>
    <w:rsid w:val="005A03E3"/>
    <w:rsid w:val="005A4B70"/>
    <w:rsid w:val="005A6957"/>
    <w:rsid w:val="005A6C2E"/>
    <w:rsid w:val="005B2589"/>
    <w:rsid w:val="005B2C53"/>
    <w:rsid w:val="005B3CD0"/>
    <w:rsid w:val="005B414D"/>
    <w:rsid w:val="005B42CC"/>
    <w:rsid w:val="005B46AA"/>
    <w:rsid w:val="005B55BD"/>
    <w:rsid w:val="005B704E"/>
    <w:rsid w:val="005B75FC"/>
    <w:rsid w:val="005B7D3B"/>
    <w:rsid w:val="005C26D9"/>
    <w:rsid w:val="005C60DB"/>
    <w:rsid w:val="005C7DCF"/>
    <w:rsid w:val="005D45C9"/>
    <w:rsid w:val="005E2714"/>
    <w:rsid w:val="005E59BE"/>
    <w:rsid w:val="005E5A04"/>
    <w:rsid w:val="005E67ED"/>
    <w:rsid w:val="005F09BE"/>
    <w:rsid w:val="005F0D4D"/>
    <w:rsid w:val="005F1452"/>
    <w:rsid w:val="005F2349"/>
    <w:rsid w:val="005F312E"/>
    <w:rsid w:val="005F32D8"/>
    <w:rsid w:val="005F6CE0"/>
    <w:rsid w:val="005F7756"/>
    <w:rsid w:val="0060249F"/>
    <w:rsid w:val="00602883"/>
    <w:rsid w:val="006046C2"/>
    <w:rsid w:val="006072F0"/>
    <w:rsid w:val="00607D45"/>
    <w:rsid w:val="006135A2"/>
    <w:rsid w:val="00613833"/>
    <w:rsid w:val="00615801"/>
    <w:rsid w:val="0061659F"/>
    <w:rsid w:val="00617077"/>
    <w:rsid w:val="00617574"/>
    <w:rsid w:val="00617FE4"/>
    <w:rsid w:val="006206F0"/>
    <w:rsid w:val="006217DA"/>
    <w:rsid w:val="00625047"/>
    <w:rsid w:val="006254EB"/>
    <w:rsid w:val="006258CE"/>
    <w:rsid w:val="0062599C"/>
    <w:rsid w:val="006327E8"/>
    <w:rsid w:val="00633799"/>
    <w:rsid w:val="00634629"/>
    <w:rsid w:val="00641B78"/>
    <w:rsid w:val="0064282F"/>
    <w:rsid w:val="00643010"/>
    <w:rsid w:val="006439BA"/>
    <w:rsid w:val="006504CD"/>
    <w:rsid w:val="0065074A"/>
    <w:rsid w:val="0065171B"/>
    <w:rsid w:val="00652DA0"/>
    <w:rsid w:val="00653A36"/>
    <w:rsid w:val="006550CE"/>
    <w:rsid w:val="0065597F"/>
    <w:rsid w:val="006564B7"/>
    <w:rsid w:val="0066223B"/>
    <w:rsid w:val="006628D9"/>
    <w:rsid w:val="0066389B"/>
    <w:rsid w:val="00664F51"/>
    <w:rsid w:val="00666146"/>
    <w:rsid w:val="00667A16"/>
    <w:rsid w:val="006701DF"/>
    <w:rsid w:val="006737F7"/>
    <w:rsid w:val="00675C1E"/>
    <w:rsid w:val="006762FD"/>
    <w:rsid w:val="00676F39"/>
    <w:rsid w:val="00677082"/>
    <w:rsid w:val="00682E48"/>
    <w:rsid w:val="0068519F"/>
    <w:rsid w:val="00685443"/>
    <w:rsid w:val="006947FE"/>
    <w:rsid w:val="00695351"/>
    <w:rsid w:val="00696B1C"/>
    <w:rsid w:val="00696FC8"/>
    <w:rsid w:val="006B0ED7"/>
    <w:rsid w:val="006B15DB"/>
    <w:rsid w:val="006B2A88"/>
    <w:rsid w:val="006B445C"/>
    <w:rsid w:val="006C1690"/>
    <w:rsid w:val="006C33D7"/>
    <w:rsid w:val="006C3684"/>
    <w:rsid w:val="006C430A"/>
    <w:rsid w:val="006C639D"/>
    <w:rsid w:val="006C7475"/>
    <w:rsid w:val="006D0CD0"/>
    <w:rsid w:val="006D27AB"/>
    <w:rsid w:val="006D296C"/>
    <w:rsid w:val="006E4957"/>
    <w:rsid w:val="006E5CCB"/>
    <w:rsid w:val="006E5E1F"/>
    <w:rsid w:val="006E7458"/>
    <w:rsid w:val="006F0E55"/>
    <w:rsid w:val="006F1409"/>
    <w:rsid w:val="006F1F5D"/>
    <w:rsid w:val="006F4339"/>
    <w:rsid w:val="006F4888"/>
    <w:rsid w:val="006F4BF8"/>
    <w:rsid w:val="006F63E4"/>
    <w:rsid w:val="006F69E7"/>
    <w:rsid w:val="007006BC"/>
    <w:rsid w:val="00700D26"/>
    <w:rsid w:val="00701AAE"/>
    <w:rsid w:val="00704F48"/>
    <w:rsid w:val="00705DDB"/>
    <w:rsid w:val="007102CB"/>
    <w:rsid w:val="007104C5"/>
    <w:rsid w:val="00711954"/>
    <w:rsid w:val="00712452"/>
    <w:rsid w:val="00717207"/>
    <w:rsid w:val="00720868"/>
    <w:rsid w:val="00720E78"/>
    <w:rsid w:val="00725854"/>
    <w:rsid w:val="00726DB7"/>
    <w:rsid w:val="00727CC5"/>
    <w:rsid w:val="00731A72"/>
    <w:rsid w:val="00731C58"/>
    <w:rsid w:val="007360BA"/>
    <w:rsid w:val="00740121"/>
    <w:rsid w:val="00750ACE"/>
    <w:rsid w:val="00750FEE"/>
    <w:rsid w:val="0075338D"/>
    <w:rsid w:val="00756428"/>
    <w:rsid w:val="007568E8"/>
    <w:rsid w:val="00756E42"/>
    <w:rsid w:val="00760299"/>
    <w:rsid w:val="0076236C"/>
    <w:rsid w:val="00763C10"/>
    <w:rsid w:val="00766CED"/>
    <w:rsid w:val="00770A8F"/>
    <w:rsid w:val="00776BD1"/>
    <w:rsid w:val="00781353"/>
    <w:rsid w:val="0078333D"/>
    <w:rsid w:val="00783682"/>
    <w:rsid w:val="00784C58"/>
    <w:rsid w:val="00790B75"/>
    <w:rsid w:val="00790B92"/>
    <w:rsid w:val="00791332"/>
    <w:rsid w:val="0079440F"/>
    <w:rsid w:val="00796137"/>
    <w:rsid w:val="007A2208"/>
    <w:rsid w:val="007A47F9"/>
    <w:rsid w:val="007A5C05"/>
    <w:rsid w:val="007A6538"/>
    <w:rsid w:val="007B19E4"/>
    <w:rsid w:val="007B2189"/>
    <w:rsid w:val="007B72EE"/>
    <w:rsid w:val="007B7AAD"/>
    <w:rsid w:val="007B7E9D"/>
    <w:rsid w:val="007C027C"/>
    <w:rsid w:val="007C236E"/>
    <w:rsid w:val="007C3171"/>
    <w:rsid w:val="007C424D"/>
    <w:rsid w:val="007C4819"/>
    <w:rsid w:val="007C7776"/>
    <w:rsid w:val="007D0E92"/>
    <w:rsid w:val="007D28A9"/>
    <w:rsid w:val="007D298E"/>
    <w:rsid w:val="007D479F"/>
    <w:rsid w:val="007E1D4E"/>
    <w:rsid w:val="007E4362"/>
    <w:rsid w:val="007E79DD"/>
    <w:rsid w:val="007F12E6"/>
    <w:rsid w:val="007F18D2"/>
    <w:rsid w:val="007F25D5"/>
    <w:rsid w:val="007F26AD"/>
    <w:rsid w:val="007F3003"/>
    <w:rsid w:val="007F597E"/>
    <w:rsid w:val="007F6580"/>
    <w:rsid w:val="0080034B"/>
    <w:rsid w:val="00800C68"/>
    <w:rsid w:val="00800FEF"/>
    <w:rsid w:val="0080136D"/>
    <w:rsid w:val="00802EEB"/>
    <w:rsid w:val="00803490"/>
    <w:rsid w:val="00804808"/>
    <w:rsid w:val="00820FF5"/>
    <w:rsid w:val="00821F80"/>
    <w:rsid w:val="008221AC"/>
    <w:rsid w:val="00824A7E"/>
    <w:rsid w:val="00825A00"/>
    <w:rsid w:val="0082642A"/>
    <w:rsid w:val="008266C5"/>
    <w:rsid w:val="008269AF"/>
    <w:rsid w:val="00832336"/>
    <w:rsid w:val="00833B37"/>
    <w:rsid w:val="008344A2"/>
    <w:rsid w:val="00834AEF"/>
    <w:rsid w:val="00835ADD"/>
    <w:rsid w:val="008372D0"/>
    <w:rsid w:val="00837C18"/>
    <w:rsid w:val="00841C62"/>
    <w:rsid w:val="008430A1"/>
    <w:rsid w:val="00844502"/>
    <w:rsid w:val="00844D0B"/>
    <w:rsid w:val="00851030"/>
    <w:rsid w:val="00853EAD"/>
    <w:rsid w:val="0085612E"/>
    <w:rsid w:val="008564F2"/>
    <w:rsid w:val="008565F1"/>
    <w:rsid w:val="00861ECF"/>
    <w:rsid w:val="0086347B"/>
    <w:rsid w:val="0086542D"/>
    <w:rsid w:val="008658C2"/>
    <w:rsid w:val="008670DC"/>
    <w:rsid w:val="008672C2"/>
    <w:rsid w:val="0086794C"/>
    <w:rsid w:val="008727E4"/>
    <w:rsid w:val="00882831"/>
    <w:rsid w:val="00885737"/>
    <w:rsid w:val="00886B0A"/>
    <w:rsid w:val="00896A81"/>
    <w:rsid w:val="00897583"/>
    <w:rsid w:val="008B14E4"/>
    <w:rsid w:val="008B271E"/>
    <w:rsid w:val="008B75F5"/>
    <w:rsid w:val="008C16E3"/>
    <w:rsid w:val="008C1864"/>
    <w:rsid w:val="008C25A6"/>
    <w:rsid w:val="008C508C"/>
    <w:rsid w:val="008C5CC4"/>
    <w:rsid w:val="008C798E"/>
    <w:rsid w:val="008D035F"/>
    <w:rsid w:val="008D23E7"/>
    <w:rsid w:val="008D3628"/>
    <w:rsid w:val="008D38DD"/>
    <w:rsid w:val="008D4CFB"/>
    <w:rsid w:val="008D5A7F"/>
    <w:rsid w:val="008D7691"/>
    <w:rsid w:val="008D798D"/>
    <w:rsid w:val="008E150D"/>
    <w:rsid w:val="008E3328"/>
    <w:rsid w:val="008E4F6B"/>
    <w:rsid w:val="008E6290"/>
    <w:rsid w:val="008E7BB6"/>
    <w:rsid w:val="008F0D11"/>
    <w:rsid w:val="008F35FE"/>
    <w:rsid w:val="008F3AFB"/>
    <w:rsid w:val="008F465F"/>
    <w:rsid w:val="008F6AC5"/>
    <w:rsid w:val="00900960"/>
    <w:rsid w:val="00902A66"/>
    <w:rsid w:val="00904060"/>
    <w:rsid w:val="009047E7"/>
    <w:rsid w:val="00905205"/>
    <w:rsid w:val="009077C0"/>
    <w:rsid w:val="0091583D"/>
    <w:rsid w:val="009177CC"/>
    <w:rsid w:val="00920104"/>
    <w:rsid w:val="00923C08"/>
    <w:rsid w:val="009260B6"/>
    <w:rsid w:val="00932EE5"/>
    <w:rsid w:val="009362E9"/>
    <w:rsid w:val="00937AAA"/>
    <w:rsid w:val="009407F3"/>
    <w:rsid w:val="00941BEA"/>
    <w:rsid w:val="00941EDF"/>
    <w:rsid w:val="0094317D"/>
    <w:rsid w:val="00945144"/>
    <w:rsid w:val="00946B43"/>
    <w:rsid w:val="009502AA"/>
    <w:rsid w:val="009512BE"/>
    <w:rsid w:val="00954399"/>
    <w:rsid w:val="0095459B"/>
    <w:rsid w:val="00954ABB"/>
    <w:rsid w:val="00957031"/>
    <w:rsid w:val="00961A60"/>
    <w:rsid w:val="00962844"/>
    <w:rsid w:val="009648CF"/>
    <w:rsid w:val="00964C0C"/>
    <w:rsid w:val="00965CF6"/>
    <w:rsid w:val="00966C26"/>
    <w:rsid w:val="00974764"/>
    <w:rsid w:val="00975E8A"/>
    <w:rsid w:val="00976457"/>
    <w:rsid w:val="0098096C"/>
    <w:rsid w:val="00982DED"/>
    <w:rsid w:val="0098365C"/>
    <w:rsid w:val="00984C84"/>
    <w:rsid w:val="00986A4D"/>
    <w:rsid w:val="00986CCF"/>
    <w:rsid w:val="0098737F"/>
    <w:rsid w:val="0099163C"/>
    <w:rsid w:val="00992835"/>
    <w:rsid w:val="00997698"/>
    <w:rsid w:val="00997E80"/>
    <w:rsid w:val="009A4868"/>
    <w:rsid w:val="009A626F"/>
    <w:rsid w:val="009B00D1"/>
    <w:rsid w:val="009B0996"/>
    <w:rsid w:val="009B165E"/>
    <w:rsid w:val="009B1692"/>
    <w:rsid w:val="009B1D2F"/>
    <w:rsid w:val="009B2FBA"/>
    <w:rsid w:val="009B4CD4"/>
    <w:rsid w:val="009B7F04"/>
    <w:rsid w:val="009C0A7B"/>
    <w:rsid w:val="009C0AFC"/>
    <w:rsid w:val="009C26E4"/>
    <w:rsid w:val="009C2E8F"/>
    <w:rsid w:val="009D03C0"/>
    <w:rsid w:val="009D0839"/>
    <w:rsid w:val="009D1329"/>
    <w:rsid w:val="009D2313"/>
    <w:rsid w:val="009D4D7E"/>
    <w:rsid w:val="009E161E"/>
    <w:rsid w:val="009E189A"/>
    <w:rsid w:val="009F0303"/>
    <w:rsid w:val="009F2324"/>
    <w:rsid w:val="009F4328"/>
    <w:rsid w:val="009F5856"/>
    <w:rsid w:val="009F6C3E"/>
    <w:rsid w:val="009F7154"/>
    <w:rsid w:val="009F7950"/>
    <w:rsid w:val="00A0305B"/>
    <w:rsid w:val="00A10503"/>
    <w:rsid w:val="00A12AEE"/>
    <w:rsid w:val="00A141C7"/>
    <w:rsid w:val="00A153B9"/>
    <w:rsid w:val="00A15972"/>
    <w:rsid w:val="00A2072B"/>
    <w:rsid w:val="00A22E59"/>
    <w:rsid w:val="00A260CC"/>
    <w:rsid w:val="00A27D79"/>
    <w:rsid w:val="00A30276"/>
    <w:rsid w:val="00A32604"/>
    <w:rsid w:val="00A36AF4"/>
    <w:rsid w:val="00A36EB7"/>
    <w:rsid w:val="00A37BB3"/>
    <w:rsid w:val="00A4030C"/>
    <w:rsid w:val="00A405F7"/>
    <w:rsid w:val="00A408F0"/>
    <w:rsid w:val="00A443B9"/>
    <w:rsid w:val="00A4489E"/>
    <w:rsid w:val="00A4756E"/>
    <w:rsid w:val="00A5232D"/>
    <w:rsid w:val="00A53C81"/>
    <w:rsid w:val="00A5799D"/>
    <w:rsid w:val="00A618CF"/>
    <w:rsid w:val="00A61D4D"/>
    <w:rsid w:val="00A63BA7"/>
    <w:rsid w:val="00A6492B"/>
    <w:rsid w:val="00A64A4D"/>
    <w:rsid w:val="00A7009C"/>
    <w:rsid w:val="00A722DB"/>
    <w:rsid w:val="00A72642"/>
    <w:rsid w:val="00A7599B"/>
    <w:rsid w:val="00A765CC"/>
    <w:rsid w:val="00A77571"/>
    <w:rsid w:val="00A80F45"/>
    <w:rsid w:val="00A81458"/>
    <w:rsid w:val="00A81FC2"/>
    <w:rsid w:val="00A83D86"/>
    <w:rsid w:val="00A84911"/>
    <w:rsid w:val="00A86551"/>
    <w:rsid w:val="00A86F68"/>
    <w:rsid w:val="00A9053C"/>
    <w:rsid w:val="00A90618"/>
    <w:rsid w:val="00A926C4"/>
    <w:rsid w:val="00A94992"/>
    <w:rsid w:val="00A95893"/>
    <w:rsid w:val="00A95F61"/>
    <w:rsid w:val="00A962AD"/>
    <w:rsid w:val="00AA2E52"/>
    <w:rsid w:val="00AA3E1A"/>
    <w:rsid w:val="00AA7DCB"/>
    <w:rsid w:val="00AB2937"/>
    <w:rsid w:val="00AB66C5"/>
    <w:rsid w:val="00AC0571"/>
    <w:rsid w:val="00AC0FBC"/>
    <w:rsid w:val="00AC1416"/>
    <w:rsid w:val="00AC2A7F"/>
    <w:rsid w:val="00AC2C89"/>
    <w:rsid w:val="00AC30A8"/>
    <w:rsid w:val="00AC6BD7"/>
    <w:rsid w:val="00AC7223"/>
    <w:rsid w:val="00AD252D"/>
    <w:rsid w:val="00AD3477"/>
    <w:rsid w:val="00AD3B6A"/>
    <w:rsid w:val="00AD4B5C"/>
    <w:rsid w:val="00AD5F8E"/>
    <w:rsid w:val="00AE2B8B"/>
    <w:rsid w:val="00AE32CD"/>
    <w:rsid w:val="00AE4E16"/>
    <w:rsid w:val="00AF37D3"/>
    <w:rsid w:val="00AF46DF"/>
    <w:rsid w:val="00AF52D5"/>
    <w:rsid w:val="00AF6564"/>
    <w:rsid w:val="00AF76CC"/>
    <w:rsid w:val="00B04B28"/>
    <w:rsid w:val="00B06181"/>
    <w:rsid w:val="00B07212"/>
    <w:rsid w:val="00B07705"/>
    <w:rsid w:val="00B11F9F"/>
    <w:rsid w:val="00B13022"/>
    <w:rsid w:val="00B1427B"/>
    <w:rsid w:val="00B15AC2"/>
    <w:rsid w:val="00B24967"/>
    <w:rsid w:val="00B255EF"/>
    <w:rsid w:val="00B301B3"/>
    <w:rsid w:val="00B3038E"/>
    <w:rsid w:val="00B33AA2"/>
    <w:rsid w:val="00B347C7"/>
    <w:rsid w:val="00B3521D"/>
    <w:rsid w:val="00B357A9"/>
    <w:rsid w:val="00B36C83"/>
    <w:rsid w:val="00B401C9"/>
    <w:rsid w:val="00B44F59"/>
    <w:rsid w:val="00B4536A"/>
    <w:rsid w:val="00B46FAF"/>
    <w:rsid w:val="00B53E60"/>
    <w:rsid w:val="00B54238"/>
    <w:rsid w:val="00B56CD7"/>
    <w:rsid w:val="00B61C5D"/>
    <w:rsid w:val="00B63F6B"/>
    <w:rsid w:val="00B7228B"/>
    <w:rsid w:val="00B753D1"/>
    <w:rsid w:val="00B76E7B"/>
    <w:rsid w:val="00B8330B"/>
    <w:rsid w:val="00B83690"/>
    <w:rsid w:val="00B836CC"/>
    <w:rsid w:val="00B876A9"/>
    <w:rsid w:val="00B91B76"/>
    <w:rsid w:val="00B91BB9"/>
    <w:rsid w:val="00B925F6"/>
    <w:rsid w:val="00B92A47"/>
    <w:rsid w:val="00B94E56"/>
    <w:rsid w:val="00B952AE"/>
    <w:rsid w:val="00B95A49"/>
    <w:rsid w:val="00B95E24"/>
    <w:rsid w:val="00B95FE5"/>
    <w:rsid w:val="00B9650A"/>
    <w:rsid w:val="00B96879"/>
    <w:rsid w:val="00BA50EE"/>
    <w:rsid w:val="00BA52FD"/>
    <w:rsid w:val="00BA6F80"/>
    <w:rsid w:val="00BB139A"/>
    <w:rsid w:val="00BB1437"/>
    <w:rsid w:val="00BB213A"/>
    <w:rsid w:val="00BB24C4"/>
    <w:rsid w:val="00BB3660"/>
    <w:rsid w:val="00BB4C48"/>
    <w:rsid w:val="00BB527F"/>
    <w:rsid w:val="00BC74B0"/>
    <w:rsid w:val="00BD0663"/>
    <w:rsid w:val="00BD27C1"/>
    <w:rsid w:val="00BD43B0"/>
    <w:rsid w:val="00BD454A"/>
    <w:rsid w:val="00BD5CC9"/>
    <w:rsid w:val="00BE0710"/>
    <w:rsid w:val="00BE0B34"/>
    <w:rsid w:val="00BE467F"/>
    <w:rsid w:val="00BE66C1"/>
    <w:rsid w:val="00BE6745"/>
    <w:rsid w:val="00BF2A84"/>
    <w:rsid w:val="00BF3DEB"/>
    <w:rsid w:val="00BF6BDF"/>
    <w:rsid w:val="00BF7CD4"/>
    <w:rsid w:val="00C007AE"/>
    <w:rsid w:val="00C00B45"/>
    <w:rsid w:val="00C020F5"/>
    <w:rsid w:val="00C04EA0"/>
    <w:rsid w:val="00C11C9B"/>
    <w:rsid w:val="00C14DDC"/>
    <w:rsid w:val="00C16B9F"/>
    <w:rsid w:val="00C177E5"/>
    <w:rsid w:val="00C21032"/>
    <w:rsid w:val="00C24126"/>
    <w:rsid w:val="00C2575D"/>
    <w:rsid w:val="00C26055"/>
    <w:rsid w:val="00C307BF"/>
    <w:rsid w:val="00C30BD1"/>
    <w:rsid w:val="00C3637D"/>
    <w:rsid w:val="00C37078"/>
    <w:rsid w:val="00C4067B"/>
    <w:rsid w:val="00C44966"/>
    <w:rsid w:val="00C454FA"/>
    <w:rsid w:val="00C47EDF"/>
    <w:rsid w:val="00C51BE6"/>
    <w:rsid w:val="00C51D74"/>
    <w:rsid w:val="00C6026A"/>
    <w:rsid w:val="00C65074"/>
    <w:rsid w:val="00C666C7"/>
    <w:rsid w:val="00C673BA"/>
    <w:rsid w:val="00C67940"/>
    <w:rsid w:val="00C700C1"/>
    <w:rsid w:val="00C7044E"/>
    <w:rsid w:val="00C713AA"/>
    <w:rsid w:val="00C71A68"/>
    <w:rsid w:val="00C71DEC"/>
    <w:rsid w:val="00C7304D"/>
    <w:rsid w:val="00C7413A"/>
    <w:rsid w:val="00C75292"/>
    <w:rsid w:val="00C75B63"/>
    <w:rsid w:val="00C76712"/>
    <w:rsid w:val="00C82359"/>
    <w:rsid w:val="00C8240C"/>
    <w:rsid w:val="00C83B73"/>
    <w:rsid w:val="00C84B93"/>
    <w:rsid w:val="00C90849"/>
    <w:rsid w:val="00C95B83"/>
    <w:rsid w:val="00C96AA8"/>
    <w:rsid w:val="00C97EDE"/>
    <w:rsid w:val="00CA03FD"/>
    <w:rsid w:val="00CA2FC5"/>
    <w:rsid w:val="00CA44A4"/>
    <w:rsid w:val="00CA71DA"/>
    <w:rsid w:val="00CA79AA"/>
    <w:rsid w:val="00CB2FC7"/>
    <w:rsid w:val="00CB4D61"/>
    <w:rsid w:val="00CB6B44"/>
    <w:rsid w:val="00CB7145"/>
    <w:rsid w:val="00CB7AEA"/>
    <w:rsid w:val="00CC12CB"/>
    <w:rsid w:val="00CC1C1A"/>
    <w:rsid w:val="00CC5409"/>
    <w:rsid w:val="00CC57FE"/>
    <w:rsid w:val="00CC59B0"/>
    <w:rsid w:val="00CD1AD6"/>
    <w:rsid w:val="00CD24C9"/>
    <w:rsid w:val="00CD6C60"/>
    <w:rsid w:val="00CE25D0"/>
    <w:rsid w:val="00CE5667"/>
    <w:rsid w:val="00CF1FE2"/>
    <w:rsid w:val="00CF23D7"/>
    <w:rsid w:val="00CF3375"/>
    <w:rsid w:val="00CF6259"/>
    <w:rsid w:val="00CF6CBA"/>
    <w:rsid w:val="00D0069D"/>
    <w:rsid w:val="00D01CCE"/>
    <w:rsid w:val="00D058AD"/>
    <w:rsid w:val="00D05C38"/>
    <w:rsid w:val="00D10D2A"/>
    <w:rsid w:val="00D2235E"/>
    <w:rsid w:val="00D22DC5"/>
    <w:rsid w:val="00D2353D"/>
    <w:rsid w:val="00D238A7"/>
    <w:rsid w:val="00D23CFF"/>
    <w:rsid w:val="00D24235"/>
    <w:rsid w:val="00D242BD"/>
    <w:rsid w:val="00D3048F"/>
    <w:rsid w:val="00D3147E"/>
    <w:rsid w:val="00D373D9"/>
    <w:rsid w:val="00D40C3E"/>
    <w:rsid w:val="00D41EC5"/>
    <w:rsid w:val="00D43B8B"/>
    <w:rsid w:val="00D43EAD"/>
    <w:rsid w:val="00D441F1"/>
    <w:rsid w:val="00D45808"/>
    <w:rsid w:val="00D56E44"/>
    <w:rsid w:val="00D64544"/>
    <w:rsid w:val="00D724A0"/>
    <w:rsid w:val="00D767FA"/>
    <w:rsid w:val="00D777FC"/>
    <w:rsid w:val="00D81A4E"/>
    <w:rsid w:val="00D82DD9"/>
    <w:rsid w:val="00D83937"/>
    <w:rsid w:val="00D83C49"/>
    <w:rsid w:val="00D85555"/>
    <w:rsid w:val="00D8562E"/>
    <w:rsid w:val="00D85676"/>
    <w:rsid w:val="00D85FD4"/>
    <w:rsid w:val="00D92670"/>
    <w:rsid w:val="00D96247"/>
    <w:rsid w:val="00D965BA"/>
    <w:rsid w:val="00D9725C"/>
    <w:rsid w:val="00DA03DA"/>
    <w:rsid w:val="00DA2ED3"/>
    <w:rsid w:val="00DA3397"/>
    <w:rsid w:val="00DA624C"/>
    <w:rsid w:val="00DA6C87"/>
    <w:rsid w:val="00DA7B35"/>
    <w:rsid w:val="00DA7F42"/>
    <w:rsid w:val="00DB01D8"/>
    <w:rsid w:val="00DB19BE"/>
    <w:rsid w:val="00DB452E"/>
    <w:rsid w:val="00DB5442"/>
    <w:rsid w:val="00DB5921"/>
    <w:rsid w:val="00DB5C56"/>
    <w:rsid w:val="00DB663A"/>
    <w:rsid w:val="00DB71C5"/>
    <w:rsid w:val="00DC207C"/>
    <w:rsid w:val="00DC3765"/>
    <w:rsid w:val="00DC77BD"/>
    <w:rsid w:val="00DC7FCA"/>
    <w:rsid w:val="00DD116F"/>
    <w:rsid w:val="00DD136D"/>
    <w:rsid w:val="00DD2B2B"/>
    <w:rsid w:val="00DF0AF2"/>
    <w:rsid w:val="00DF1802"/>
    <w:rsid w:val="00DF1F36"/>
    <w:rsid w:val="00DF516D"/>
    <w:rsid w:val="00DF7EB9"/>
    <w:rsid w:val="00E109BD"/>
    <w:rsid w:val="00E119C4"/>
    <w:rsid w:val="00E139C9"/>
    <w:rsid w:val="00E14858"/>
    <w:rsid w:val="00E14F6D"/>
    <w:rsid w:val="00E150FE"/>
    <w:rsid w:val="00E21157"/>
    <w:rsid w:val="00E216D6"/>
    <w:rsid w:val="00E225FA"/>
    <w:rsid w:val="00E2642F"/>
    <w:rsid w:val="00E26CCC"/>
    <w:rsid w:val="00E3158A"/>
    <w:rsid w:val="00E32595"/>
    <w:rsid w:val="00E33633"/>
    <w:rsid w:val="00E4141A"/>
    <w:rsid w:val="00E4273B"/>
    <w:rsid w:val="00E46C13"/>
    <w:rsid w:val="00E51A57"/>
    <w:rsid w:val="00E55441"/>
    <w:rsid w:val="00E565EE"/>
    <w:rsid w:val="00E572E3"/>
    <w:rsid w:val="00E57A9B"/>
    <w:rsid w:val="00E623B2"/>
    <w:rsid w:val="00E65E91"/>
    <w:rsid w:val="00E669C8"/>
    <w:rsid w:val="00E67353"/>
    <w:rsid w:val="00E71314"/>
    <w:rsid w:val="00E741C8"/>
    <w:rsid w:val="00E772FC"/>
    <w:rsid w:val="00E77D3C"/>
    <w:rsid w:val="00E77F8B"/>
    <w:rsid w:val="00E81159"/>
    <w:rsid w:val="00E81A4A"/>
    <w:rsid w:val="00E854AD"/>
    <w:rsid w:val="00E85766"/>
    <w:rsid w:val="00E90298"/>
    <w:rsid w:val="00E90319"/>
    <w:rsid w:val="00E91CB2"/>
    <w:rsid w:val="00E94349"/>
    <w:rsid w:val="00E972AE"/>
    <w:rsid w:val="00EA5B9D"/>
    <w:rsid w:val="00EA5F83"/>
    <w:rsid w:val="00EB265C"/>
    <w:rsid w:val="00EB4DBD"/>
    <w:rsid w:val="00EC014C"/>
    <w:rsid w:val="00EC12E8"/>
    <w:rsid w:val="00EC1FAB"/>
    <w:rsid w:val="00ED1987"/>
    <w:rsid w:val="00ED2EBF"/>
    <w:rsid w:val="00ED3D5D"/>
    <w:rsid w:val="00ED5BCA"/>
    <w:rsid w:val="00EE0EC9"/>
    <w:rsid w:val="00EE3DB5"/>
    <w:rsid w:val="00EE6C8F"/>
    <w:rsid w:val="00EF15B4"/>
    <w:rsid w:val="00EF4CB0"/>
    <w:rsid w:val="00EF5F01"/>
    <w:rsid w:val="00EF6187"/>
    <w:rsid w:val="00F00685"/>
    <w:rsid w:val="00F00DBB"/>
    <w:rsid w:val="00F01B54"/>
    <w:rsid w:val="00F110F0"/>
    <w:rsid w:val="00F12154"/>
    <w:rsid w:val="00F125EB"/>
    <w:rsid w:val="00F12FA1"/>
    <w:rsid w:val="00F15692"/>
    <w:rsid w:val="00F231D6"/>
    <w:rsid w:val="00F23B37"/>
    <w:rsid w:val="00F256C6"/>
    <w:rsid w:val="00F26190"/>
    <w:rsid w:val="00F27AF0"/>
    <w:rsid w:val="00F30425"/>
    <w:rsid w:val="00F335CA"/>
    <w:rsid w:val="00F34545"/>
    <w:rsid w:val="00F41387"/>
    <w:rsid w:val="00F415BE"/>
    <w:rsid w:val="00F42E7B"/>
    <w:rsid w:val="00F44532"/>
    <w:rsid w:val="00F4501E"/>
    <w:rsid w:val="00F508CD"/>
    <w:rsid w:val="00F52B07"/>
    <w:rsid w:val="00F54A71"/>
    <w:rsid w:val="00F640E1"/>
    <w:rsid w:val="00F64815"/>
    <w:rsid w:val="00F704FD"/>
    <w:rsid w:val="00F71252"/>
    <w:rsid w:val="00F71B8F"/>
    <w:rsid w:val="00F7270A"/>
    <w:rsid w:val="00F76A9D"/>
    <w:rsid w:val="00F83F3C"/>
    <w:rsid w:val="00F844FB"/>
    <w:rsid w:val="00F85181"/>
    <w:rsid w:val="00F87807"/>
    <w:rsid w:val="00F91924"/>
    <w:rsid w:val="00F92A37"/>
    <w:rsid w:val="00F95066"/>
    <w:rsid w:val="00FA152C"/>
    <w:rsid w:val="00FA2886"/>
    <w:rsid w:val="00FA4774"/>
    <w:rsid w:val="00FA5036"/>
    <w:rsid w:val="00FA5326"/>
    <w:rsid w:val="00FA6F48"/>
    <w:rsid w:val="00FA7D72"/>
    <w:rsid w:val="00FB0160"/>
    <w:rsid w:val="00FB0BE9"/>
    <w:rsid w:val="00FC12BE"/>
    <w:rsid w:val="00FC23BF"/>
    <w:rsid w:val="00FC49E6"/>
    <w:rsid w:val="00FD0EDF"/>
    <w:rsid w:val="00FD3130"/>
    <w:rsid w:val="00FD6C32"/>
    <w:rsid w:val="00FE07F6"/>
    <w:rsid w:val="00FE2FDA"/>
    <w:rsid w:val="00FE7513"/>
    <w:rsid w:val="00FF01C4"/>
    <w:rsid w:val="00FF0EDF"/>
    <w:rsid w:val="00FF4763"/>
    <w:rsid w:val="00FF4AF2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A1E01"/>
  <w15:chartTrackingRefBased/>
  <w15:docId w15:val="{1E95B631-4425-4DC2-895C-F6766BEA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5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5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5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5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5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5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5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5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5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5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5C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F3C7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1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AAE"/>
  </w:style>
  <w:style w:type="paragraph" w:styleId="Footer">
    <w:name w:val="footer"/>
    <w:basedOn w:val="Normal"/>
    <w:link w:val="FooterChar"/>
    <w:uiPriority w:val="99"/>
    <w:unhideWhenUsed/>
    <w:rsid w:val="00701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15187-4D48-4980-AF9F-7805B8451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Company</Company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Kristin (SPC)</dc:creator>
  <cp:keywords/>
  <dc:description/>
  <cp:lastModifiedBy>Cook, Kristin (SPC)</cp:lastModifiedBy>
  <cp:revision>123</cp:revision>
  <dcterms:created xsi:type="dcterms:W3CDTF">2025-10-27T18:53:00Z</dcterms:created>
  <dcterms:modified xsi:type="dcterms:W3CDTF">2025-12-12T18:48:00Z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3826ce-7c18-471d-9596-93de5bae332e_Enabled">
    <vt:lpwstr>true</vt:lpwstr>
  </property>
  <property fmtid="{D5CDD505-2E9C-101B-9397-08002B2CF9AE}" pid="3" name="MSIP_Label_ed3826ce-7c18-471d-9596-93de5bae332e_SetDate">
    <vt:lpwstr>2025-02-24T17:29:16Z</vt:lpwstr>
  </property>
  <property fmtid="{D5CDD505-2E9C-101B-9397-08002B2CF9AE}" pid="4" name="MSIP_Label_ed3826ce-7c18-471d-9596-93de5bae332e_Method">
    <vt:lpwstr>Standard</vt:lpwstr>
  </property>
  <property fmtid="{D5CDD505-2E9C-101B-9397-08002B2CF9AE}" pid="5" name="MSIP_Label_ed3826ce-7c18-471d-9596-93de5bae332e_Name">
    <vt:lpwstr>Internal</vt:lpwstr>
  </property>
  <property fmtid="{D5CDD505-2E9C-101B-9397-08002B2CF9AE}" pid="6" name="MSIP_Label_ed3826ce-7c18-471d-9596-93de5bae332e_SiteId">
    <vt:lpwstr>c0a02e2d-1186-410a-8895-0a4a252ebf17</vt:lpwstr>
  </property>
  <property fmtid="{D5CDD505-2E9C-101B-9397-08002B2CF9AE}" pid="7" name="MSIP_Label_ed3826ce-7c18-471d-9596-93de5bae332e_ActionId">
    <vt:lpwstr>1b50d964-291c-4e9f-a23b-8baf8ad65ef5</vt:lpwstr>
  </property>
  <property fmtid="{D5CDD505-2E9C-101B-9397-08002B2CF9AE}" pid="8" name="MSIP_Label_ed3826ce-7c18-471d-9596-93de5bae332e_ContentBits">
    <vt:lpwstr>0</vt:lpwstr>
  </property>
</Properties>
</file>