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3"/>
        <w:tblW w:w="10440" w:type="dxa"/>
        <w:tblInd w:w="-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20"/>
        <w:gridCol w:w="1260"/>
        <w:gridCol w:w="900"/>
        <w:gridCol w:w="6660"/>
      </w:tblGrid>
      <w:tr w:rsidR="00A11FB8" w14:paraId="6AA008CA" w14:textId="77777777">
        <w:tc>
          <w:tcPr>
            <w:tcW w:w="1620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10D7AEE2" w14:textId="77777777" w:rsidR="00A11FB8" w:rsidRDefault="00F92F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rFonts w:ascii="Verdana" w:eastAsia="Verdana" w:hAnsi="Verdana" w:cs="Verdan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NPRR Number</w:t>
            </w:r>
          </w:p>
        </w:tc>
        <w:tc>
          <w:tcPr>
            <w:tcW w:w="1260" w:type="dxa"/>
            <w:tcBorders>
              <w:bottom w:val="single" w:sz="4" w:space="0" w:color="000000"/>
            </w:tcBorders>
            <w:vAlign w:val="center"/>
          </w:tcPr>
          <w:p w14:paraId="3D5CCA46" w14:textId="1349B827" w:rsidR="00A11FB8" w:rsidRDefault="00F92F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rFonts w:ascii="Arial" w:eastAsia="Arial" w:hAnsi="Arial" w:cs="Arial"/>
                <w:b/>
                <w:bCs/>
                <w:color w:val="000000"/>
              </w:rPr>
            </w:pPr>
            <w:hyperlink r:id="rId9" w:history="1">
              <w:r w:rsidRPr="00331912">
                <w:rPr>
                  <w:rStyle w:val="Hyperlink"/>
                  <w:rFonts w:ascii="Arial" w:eastAsia="Arial" w:hAnsi="Arial" w:cs="Arial"/>
                  <w:b/>
                  <w:bCs/>
                  <w:position w:val="0"/>
                </w:rPr>
                <w:t>1308</w:t>
              </w:r>
            </w:hyperlink>
          </w:p>
        </w:tc>
        <w:tc>
          <w:tcPr>
            <w:tcW w:w="900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2BC8C5C9" w14:textId="77777777" w:rsidR="00A11FB8" w:rsidRDefault="00F92F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NPRR Title</w:t>
            </w:r>
          </w:p>
        </w:tc>
        <w:tc>
          <w:tcPr>
            <w:tcW w:w="6660" w:type="dxa"/>
            <w:tcBorders>
              <w:bottom w:val="single" w:sz="4" w:space="0" w:color="000000"/>
            </w:tcBorders>
            <w:vAlign w:val="center"/>
          </w:tcPr>
          <w:p w14:paraId="50586824" w14:textId="21B2508F" w:rsidR="00A11FB8" w:rsidRDefault="00766E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Board Priority </w:t>
            </w:r>
            <w:r w:rsidR="00276BE1">
              <w:rPr>
                <w:rFonts w:ascii="Arial" w:eastAsia="Arial" w:hAnsi="Arial" w:cs="Arial"/>
                <w:b/>
                <w:bCs/>
              </w:rPr>
              <w:t>-</w:t>
            </w:r>
            <w:r>
              <w:rPr>
                <w:rFonts w:ascii="Arial" w:eastAsia="Arial" w:hAnsi="Arial" w:cs="Arial"/>
                <w:b/>
                <w:bCs/>
              </w:rPr>
              <w:t xml:space="preserve"> Related to NOGRR282, </w:t>
            </w:r>
            <w:r w:rsidR="00F92FB3">
              <w:rPr>
                <w:rFonts w:ascii="Arial" w:eastAsia="Arial" w:hAnsi="Arial" w:cs="Arial"/>
                <w:b/>
                <w:bCs/>
              </w:rPr>
              <w:t>Large Electronic Load Ride</w:t>
            </w:r>
            <w:r>
              <w:rPr>
                <w:rFonts w:ascii="Arial" w:eastAsia="Arial" w:hAnsi="Arial" w:cs="Arial"/>
                <w:b/>
                <w:bCs/>
              </w:rPr>
              <w:t>-</w:t>
            </w:r>
            <w:r w:rsidR="00F92FB3">
              <w:rPr>
                <w:rFonts w:ascii="Arial" w:eastAsia="Arial" w:hAnsi="Arial" w:cs="Arial"/>
                <w:b/>
                <w:bCs/>
              </w:rPr>
              <w:t>Through</w:t>
            </w:r>
            <w:r>
              <w:rPr>
                <w:rFonts w:ascii="Arial" w:eastAsia="Arial" w:hAnsi="Arial" w:cs="Arial"/>
                <w:b/>
                <w:bCs/>
              </w:rPr>
              <w:t xml:space="preserve"> Requirements</w:t>
            </w:r>
          </w:p>
        </w:tc>
      </w:tr>
      <w:tr w:rsidR="00A11FB8" w14:paraId="7AD9CB42" w14:textId="77777777">
        <w:trPr>
          <w:trHeight w:val="413"/>
        </w:trPr>
        <w:tc>
          <w:tcPr>
            <w:tcW w:w="288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187E13D0" w14:textId="77777777" w:rsidR="00A11FB8" w:rsidRDefault="00A11F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7560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37CAD1A7" w14:textId="77777777" w:rsidR="00A11FB8" w:rsidRDefault="00A11F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</w:tr>
      <w:tr w:rsidR="00A11FB8" w14:paraId="7C30690E" w14:textId="77777777">
        <w:trPr>
          <w:trHeight w:val="440"/>
        </w:trPr>
        <w:tc>
          <w:tcPr>
            <w:tcW w:w="2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5789C8" w14:textId="77777777" w:rsidR="00A11FB8" w:rsidRDefault="00F92F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Date</w:t>
            </w:r>
          </w:p>
        </w:tc>
        <w:tc>
          <w:tcPr>
            <w:tcW w:w="7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4D793A" w14:textId="6BBC3165" w:rsidR="00A11FB8" w:rsidRDefault="00F92F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Dec</w:t>
            </w:r>
            <w:r w:rsidR="00737A84">
              <w:rPr>
                <w:rFonts w:ascii="Arial" w:eastAsia="Arial" w:hAnsi="Arial" w:cs="Arial"/>
              </w:rPr>
              <w:t>ember</w:t>
            </w:r>
            <w:r w:rsidR="00276BE1">
              <w:rPr>
                <w:rFonts w:ascii="Arial" w:eastAsia="Arial" w:hAnsi="Arial" w:cs="Arial"/>
              </w:rPr>
              <w:t xml:space="preserve"> 10</w:t>
            </w:r>
            <w:r>
              <w:rPr>
                <w:rFonts w:ascii="Arial" w:eastAsia="Arial" w:hAnsi="Arial" w:cs="Arial"/>
              </w:rPr>
              <w:t>, 2025</w:t>
            </w:r>
          </w:p>
        </w:tc>
      </w:tr>
      <w:tr w:rsidR="00A11FB8" w14:paraId="1230152E" w14:textId="77777777">
        <w:trPr>
          <w:trHeight w:val="467"/>
        </w:trPr>
        <w:tc>
          <w:tcPr>
            <w:tcW w:w="2880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3B26C2" w14:textId="77777777" w:rsidR="00A11FB8" w:rsidRDefault="00A11F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75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4AD73D" w14:textId="77777777" w:rsidR="00A11FB8" w:rsidRDefault="00A11F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</w:tr>
      <w:tr w:rsidR="00A11FB8" w14:paraId="4F061573" w14:textId="77777777">
        <w:trPr>
          <w:trHeight w:val="440"/>
        </w:trPr>
        <w:tc>
          <w:tcPr>
            <w:tcW w:w="10440" w:type="dxa"/>
            <w:gridSpan w:val="4"/>
            <w:tcBorders>
              <w:top w:val="single" w:sz="4" w:space="0" w:color="000000"/>
            </w:tcBorders>
            <w:shd w:val="clear" w:color="auto" w:fill="FFFFFF"/>
            <w:vAlign w:val="center"/>
          </w:tcPr>
          <w:p w14:paraId="59A94D44" w14:textId="77777777" w:rsidR="00A11FB8" w:rsidRDefault="00F92F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Submitter’s Information</w:t>
            </w:r>
          </w:p>
        </w:tc>
      </w:tr>
      <w:tr w:rsidR="00A11FB8" w14:paraId="17DFC5C7" w14:textId="77777777">
        <w:trPr>
          <w:trHeight w:val="350"/>
        </w:trPr>
        <w:tc>
          <w:tcPr>
            <w:tcW w:w="2880" w:type="dxa"/>
            <w:gridSpan w:val="2"/>
            <w:shd w:val="clear" w:color="auto" w:fill="FFFFFF"/>
            <w:vAlign w:val="center"/>
          </w:tcPr>
          <w:p w14:paraId="3771BE43" w14:textId="77777777" w:rsidR="00A11FB8" w:rsidRDefault="00F92F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Name</w:t>
            </w:r>
          </w:p>
        </w:tc>
        <w:tc>
          <w:tcPr>
            <w:tcW w:w="7560" w:type="dxa"/>
            <w:gridSpan w:val="2"/>
            <w:vAlign w:val="center"/>
          </w:tcPr>
          <w:p w14:paraId="219CCFE2" w14:textId="650C7E56" w:rsidR="00A11FB8" w:rsidRPr="00F92FB3" w:rsidRDefault="000064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hyperlink r:id="rId10">
              <w:r>
                <w:rPr>
                  <w:rFonts w:ascii="Arial" w:eastAsia="Arial" w:hAnsi="Arial" w:cs="Arial"/>
                </w:rPr>
                <w:t>Jeff</w:t>
              </w:r>
            </w:hyperlink>
            <w:r w:rsidRPr="00A04FA2">
              <w:rPr>
                <w:rFonts w:ascii="Arial" w:eastAsia="Arial" w:hAnsi="Arial" w:cs="Arial"/>
              </w:rPr>
              <w:t xml:space="preserve"> Billo</w:t>
            </w:r>
          </w:p>
        </w:tc>
      </w:tr>
      <w:tr w:rsidR="00A11FB8" w14:paraId="49E0B5CF" w14:textId="77777777">
        <w:trPr>
          <w:trHeight w:val="350"/>
        </w:trPr>
        <w:tc>
          <w:tcPr>
            <w:tcW w:w="2880" w:type="dxa"/>
            <w:gridSpan w:val="2"/>
            <w:shd w:val="clear" w:color="auto" w:fill="FFFFFF"/>
            <w:vAlign w:val="center"/>
          </w:tcPr>
          <w:p w14:paraId="7EB3315D" w14:textId="77777777" w:rsidR="00A11FB8" w:rsidRDefault="00F92F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E-mail Address</w:t>
            </w:r>
          </w:p>
        </w:tc>
        <w:tc>
          <w:tcPr>
            <w:tcW w:w="7560" w:type="dxa"/>
            <w:gridSpan w:val="2"/>
            <w:vAlign w:val="center"/>
          </w:tcPr>
          <w:p w14:paraId="3B79C754" w14:textId="6C2F0A3F" w:rsidR="00A11FB8" w:rsidRDefault="00A04F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hyperlink r:id="rId11" w:history="1">
              <w:r w:rsidRPr="00EE55C9">
                <w:rPr>
                  <w:rStyle w:val="Hyperlink"/>
                  <w:rFonts w:ascii="Arial" w:eastAsia="Arial" w:hAnsi="Arial" w:cs="Arial"/>
                  <w:position w:val="0"/>
                </w:rPr>
                <w:t>jbillo@ercot.com</w:t>
              </w:r>
            </w:hyperlink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A11FB8" w14:paraId="15E1CD60" w14:textId="77777777">
        <w:trPr>
          <w:trHeight w:val="350"/>
        </w:trPr>
        <w:tc>
          <w:tcPr>
            <w:tcW w:w="2880" w:type="dxa"/>
            <w:gridSpan w:val="2"/>
            <w:shd w:val="clear" w:color="auto" w:fill="FFFFFF"/>
            <w:vAlign w:val="center"/>
          </w:tcPr>
          <w:p w14:paraId="4CABAD4D" w14:textId="77777777" w:rsidR="00A11FB8" w:rsidRDefault="00F92F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Company</w:t>
            </w:r>
          </w:p>
        </w:tc>
        <w:tc>
          <w:tcPr>
            <w:tcW w:w="7560" w:type="dxa"/>
            <w:gridSpan w:val="2"/>
            <w:vAlign w:val="center"/>
          </w:tcPr>
          <w:p w14:paraId="71243A69" w14:textId="76CED2E3" w:rsidR="00A11FB8" w:rsidRDefault="000064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ERCOT</w:t>
            </w:r>
          </w:p>
        </w:tc>
      </w:tr>
      <w:tr w:rsidR="00A11FB8" w14:paraId="1DD38C7C" w14:textId="77777777">
        <w:trPr>
          <w:trHeight w:val="350"/>
        </w:trPr>
        <w:tc>
          <w:tcPr>
            <w:tcW w:w="2880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12909FD7" w14:textId="77777777" w:rsidR="00A11FB8" w:rsidRDefault="00F92F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Phone Number</w:t>
            </w:r>
          </w:p>
        </w:tc>
        <w:tc>
          <w:tcPr>
            <w:tcW w:w="7560" w:type="dxa"/>
            <w:gridSpan w:val="2"/>
            <w:tcBorders>
              <w:bottom w:val="single" w:sz="4" w:space="0" w:color="000000"/>
            </w:tcBorders>
            <w:vAlign w:val="center"/>
          </w:tcPr>
          <w:p w14:paraId="5150A4EA" w14:textId="77777777" w:rsidR="00A11FB8" w:rsidRDefault="00A11F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</w:tr>
      <w:tr w:rsidR="00A11FB8" w14:paraId="378442BE" w14:textId="77777777">
        <w:trPr>
          <w:trHeight w:val="350"/>
        </w:trPr>
        <w:tc>
          <w:tcPr>
            <w:tcW w:w="2880" w:type="dxa"/>
            <w:gridSpan w:val="2"/>
            <w:shd w:val="clear" w:color="auto" w:fill="FFFFFF"/>
            <w:vAlign w:val="center"/>
          </w:tcPr>
          <w:p w14:paraId="57C144F7" w14:textId="77777777" w:rsidR="00A11FB8" w:rsidRDefault="00F92F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Cell Number</w:t>
            </w:r>
          </w:p>
        </w:tc>
        <w:tc>
          <w:tcPr>
            <w:tcW w:w="7560" w:type="dxa"/>
            <w:gridSpan w:val="2"/>
            <w:tcBorders>
              <w:bottom w:val="single" w:sz="4" w:space="0" w:color="000000"/>
            </w:tcBorders>
            <w:vAlign w:val="center"/>
          </w:tcPr>
          <w:p w14:paraId="2C7FA25B" w14:textId="3A7EA9C8" w:rsidR="00A11FB8" w:rsidRDefault="0000648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512-905-4064</w:t>
            </w:r>
          </w:p>
        </w:tc>
      </w:tr>
      <w:tr w:rsidR="00A11FB8" w14:paraId="4008578C" w14:textId="77777777">
        <w:trPr>
          <w:trHeight w:val="350"/>
        </w:trPr>
        <w:tc>
          <w:tcPr>
            <w:tcW w:w="2880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68014A03" w14:textId="77777777" w:rsidR="00A11FB8" w:rsidRDefault="00F92F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Market Segment</w:t>
            </w:r>
          </w:p>
        </w:tc>
        <w:tc>
          <w:tcPr>
            <w:tcW w:w="7560" w:type="dxa"/>
            <w:gridSpan w:val="2"/>
            <w:tcBorders>
              <w:bottom w:val="single" w:sz="4" w:space="0" w:color="000000"/>
            </w:tcBorders>
            <w:vAlign w:val="center"/>
          </w:tcPr>
          <w:p w14:paraId="148150E0" w14:textId="36B2B1A2" w:rsidR="00A11FB8" w:rsidRDefault="000064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N</w:t>
            </w:r>
            <w:r w:rsidR="00276BE1">
              <w:rPr>
                <w:rFonts w:ascii="Arial" w:eastAsia="Arial" w:hAnsi="Arial" w:cs="Arial"/>
              </w:rPr>
              <w:t>ot applicable</w:t>
            </w:r>
          </w:p>
        </w:tc>
      </w:tr>
    </w:tbl>
    <w:p w14:paraId="5591021A" w14:textId="77777777" w:rsidR="00A11FB8" w:rsidRDefault="00A11FB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tbl>
      <w:tblPr>
        <w:tblStyle w:val="a4"/>
        <w:tblW w:w="1044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440"/>
      </w:tblGrid>
      <w:tr w:rsidR="00A11FB8" w14:paraId="282393F6" w14:textId="77777777">
        <w:trPr>
          <w:trHeight w:val="422"/>
          <w:jc w:val="center"/>
        </w:trPr>
        <w:tc>
          <w:tcPr>
            <w:tcW w:w="10440" w:type="dxa"/>
            <w:vAlign w:val="center"/>
          </w:tcPr>
          <w:p w14:paraId="370A7B29" w14:textId="77777777" w:rsidR="00A11FB8" w:rsidRDefault="00F92F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Comments</w:t>
            </w:r>
          </w:p>
        </w:tc>
      </w:tr>
    </w:tbl>
    <w:p w14:paraId="77F00374" w14:textId="77777777" w:rsidR="00A11FB8" w:rsidRDefault="00A11FB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786E815E" w14:textId="332DA82A" w:rsidR="009438AB" w:rsidRDefault="00006485" w:rsidP="00006485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ERCOT</w:t>
      </w:r>
      <w:r w:rsidR="00F92FB3">
        <w:rPr>
          <w:rFonts w:ascii="Arial" w:eastAsia="Arial" w:hAnsi="Arial" w:cs="Arial"/>
        </w:rPr>
        <w:t xml:space="preserve"> submits these comments </w:t>
      </w:r>
      <w:r w:rsidR="00766E68">
        <w:rPr>
          <w:rFonts w:ascii="Arial" w:eastAsia="Arial" w:hAnsi="Arial" w:cs="Arial"/>
        </w:rPr>
        <w:t xml:space="preserve">regarding </w:t>
      </w:r>
      <w:r w:rsidR="00737A84">
        <w:rPr>
          <w:rFonts w:ascii="Arial" w:eastAsia="Arial" w:hAnsi="Arial" w:cs="Arial"/>
        </w:rPr>
        <w:t>Nodal Protocol Revision Request (</w:t>
      </w:r>
      <w:r w:rsidR="00F92FB3">
        <w:rPr>
          <w:rFonts w:ascii="Arial" w:eastAsia="Arial" w:hAnsi="Arial" w:cs="Arial"/>
        </w:rPr>
        <w:t>NPRR</w:t>
      </w:r>
      <w:r w:rsidR="00737A84">
        <w:rPr>
          <w:rFonts w:ascii="Arial" w:eastAsia="Arial" w:hAnsi="Arial" w:cs="Arial"/>
        </w:rPr>
        <w:t>)</w:t>
      </w:r>
      <w:r w:rsidR="00F92FB3">
        <w:rPr>
          <w:rFonts w:ascii="Arial" w:eastAsia="Arial" w:hAnsi="Arial" w:cs="Arial"/>
        </w:rPr>
        <w:t xml:space="preserve"> 1308 </w:t>
      </w:r>
      <w:r>
        <w:rPr>
          <w:rFonts w:ascii="Arial" w:eastAsia="Arial" w:hAnsi="Arial" w:cs="Arial"/>
        </w:rPr>
        <w:t xml:space="preserve">in response to Google’s December 4, </w:t>
      </w:r>
      <w:proofErr w:type="gramStart"/>
      <w:r>
        <w:rPr>
          <w:rFonts w:ascii="Arial" w:eastAsia="Arial" w:hAnsi="Arial" w:cs="Arial"/>
        </w:rPr>
        <w:t>2025</w:t>
      </w:r>
      <w:proofErr w:type="gramEnd"/>
      <w:r>
        <w:rPr>
          <w:rFonts w:ascii="Arial" w:eastAsia="Arial" w:hAnsi="Arial" w:cs="Arial"/>
        </w:rPr>
        <w:t xml:space="preserve"> comments</w:t>
      </w:r>
      <w:r w:rsidR="008856B8">
        <w:rPr>
          <w:rFonts w:ascii="Arial" w:eastAsia="Arial" w:hAnsi="Arial" w:cs="Arial"/>
        </w:rPr>
        <w:t>.</w:t>
      </w:r>
      <w:r w:rsidR="00766E68">
        <w:rPr>
          <w:rFonts w:ascii="Arial" w:eastAsia="Arial" w:hAnsi="Arial" w:cs="Arial"/>
        </w:rPr>
        <w:t xml:space="preserve">  </w:t>
      </w:r>
    </w:p>
    <w:p w14:paraId="1278F164" w14:textId="77777777" w:rsidR="008856B8" w:rsidRDefault="008856B8" w:rsidP="00006485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</w:p>
    <w:p w14:paraId="2AD433F9" w14:textId="12CFC424" w:rsidR="008856B8" w:rsidRDefault="008856B8" w:rsidP="00006485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Google’s comments expressed concern with statements that ERCOT </w:t>
      </w:r>
      <w:r w:rsidR="0034752E">
        <w:rPr>
          <w:rFonts w:ascii="Arial" w:eastAsia="Arial" w:hAnsi="Arial" w:cs="Arial"/>
        </w:rPr>
        <w:t xml:space="preserve">made at the November 20, </w:t>
      </w:r>
      <w:proofErr w:type="gramStart"/>
      <w:r w:rsidR="0034752E">
        <w:rPr>
          <w:rFonts w:ascii="Arial" w:eastAsia="Arial" w:hAnsi="Arial" w:cs="Arial"/>
        </w:rPr>
        <w:t>2025</w:t>
      </w:r>
      <w:proofErr w:type="gramEnd"/>
      <w:r w:rsidR="0034752E">
        <w:rPr>
          <w:rFonts w:ascii="Arial" w:eastAsia="Arial" w:hAnsi="Arial" w:cs="Arial"/>
        </w:rPr>
        <w:t xml:space="preserve"> Large Load Working Group (LLWG) meeting regarding the approval of studies for new </w:t>
      </w:r>
      <w:r w:rsidR="003D1BF5">
        <w:rPr>
          <w:rFonts w:ascii="Arial" w:eastAsia="Arial" w:hAnsi="Arial" w:cs="Arial"/>
        </w:rPr>
        <w:t>Large Electronic Loads (</w:t>
      </w:r>
      <w:r w:rsidR="0034752E">
        <w:rPr>
          <w:rFonts w:ascii="Arial" w:eastAsia="Arial" w:hAnsi="Arial" w:cs="Arial"/>
        </w:rPr>
        <w:t>LELs</w:t>
      </w:r>
      <w:r w:rsidR="003D1BF5">
        <w:rPr>
          <w:rFonts w:ascii="Arial" w:eastAsia="Arial" w:hAnsi="Arial" w:cs="Arial"/>
        </w:rPr>
        <w:t>)</w:t>
      </w:r>
      <w:r w:rsidR="0034752E">
        <w:rPr>
          <w:rFonts w:ascii="Arial" w:eastAsia="Arial" w:hAnsi="Arial" w:cs="Arial"/>
        </w:rPr>
        <w:t xml:space="preserve"> after November 14, </w:t>
      </w:r>
      <w:proofErr w:type="gramStart"/>
      <w:r w:rsidR="0034752E">
        <w:rPr>
          <w:rFonts w:ascii="Arial" w:eastAsia="Arial" w:hAnsi="Arial" w:cs="Arial"/>
        </w:rPr>
        <w:t>2025</w:t>
      </w:r>
      <w:proofErr w:type="gramEnd"/>
      <w:r w:rsidR="0034752E">
        <w:rPr>
          <w:rFonts w:ascii="Arial" w:eastAsia="Arial" w:hAnsi="Arial" w:cs="Arial"/>
        </w:rPr>
        <w:t xml:space="preserve"> that cannot meet the proposed </w:t>
      </w:r>
      <w:r w:rsidR="00276BE1">
        <w:rPr>
          <w:rFonts w:ascii="Arial" w:eastAsia="Arial" w:hAnsi="Arial" w:cs="Arial"/>
        </w:rPr>
        <w:t>v</w:t>
      </w:r>
      <w:r w:rsidR="003D1BF5">
        <w:rPr>
          <w:rFonts w:ascii="Arial" w:eastAsia="Arial" w:hAnsi="Arial" w:cs="Arial"/>
        </w:rPr>
        <w:t xml:space="preserve">oltage </w:t>
      </w:r>
      <w:r w:rsidR="00276BE1">
        <w:rPr>
          <w:rFonts w:ascii="Arial" w:eastAsia="Arial" w:hAnsi="Arial" w:cs="Arial"/>
        </w:rPr>
        <w:t>r</w:t>
      </w:r>
      <w:r w:rsidR="003D1BF5">
        <w:rPr>
          <w:rFonts w:ascii="Arial" w:eastAsia="Arial" w:hAnsi="Arial" w:cs="Arial"/>
        </w:rPr>
        <w:t>ide-</w:t>
      </w:r>
      <w:r w:rsidR="00276BE1">
        <w:rPr>
          <w:rFonts w:ascii="Arial" w:eastAsia="Arial" w:hAnsi="Arial" w:cs="Arial"/>
        </w:rPr>
        <w:t>t</w:t>
      </w:r>
      <w:r w:rsidR="003D1BF5">
        <w:rPr>
          <w:rFonts w:ascii="Arial" w:eastAsia="Arial" w:hAnsi="Arial" w:cs="Arial"/>
        </w:rPr>
        <w:t>hrough (</w:t>
      </w:r>
      <w:r w:rsidR="00276BE1">
        <w:rPr>
          <w:rFonts w:ascii="Arial" w:eastAsia="Arial" w:hAnsi="Arial" w:cs="Arial"/>
        </w:rPr>
        <w:t>“</w:t>
      </w:r>
      <w:r w:rsidR="0034752E">
        <w:rPr>
          <w:rFonts w:ascii="Arial" w:eastAsia="Arial" w:hAnsi="Arial" w:cs="Arial"/>
        </w:rPr>
        <w:t>VRT</w:t>
      </w:r>
      <w:r w:rsidR="00276BE1">
        <w:rPr>
          <w:rFonts w:ascii="Arial" w:eastAsia="Arial" w:hAnsi="Arial" w:cs="Arial"/>
        </w:rPr>
        <w:t>”</w:t>
      </w:r>
      <w:r w:rsidR="003D1BF5">
        <w:rPr>
          <w:rFonts w:ascii="Arial" w:eastAsia="Arial" w:hAnsi="Arial" w:cs="Arial"/>
        </w:rPr>
        <w:t>)</w:t>
      </w:r>
      <w:r w:rsidR="0034752E">
        <w:rPr>
          <w:rFonts w:ascii="Arial" w:eastAsia="Arial" w:hAnsi="Arial" w:cs="Arial"/>
        </w:rPr>
        <w:t xml:space="preserve"> requirements in Nodal Operating Guide Revision Request (NOGRR) 282</w:t>
      </w:r>
      <w:r w:rsidR="001B582F">
        <w:rPr>
          <w:rFonts w:ascii="Arial" w:eastAsia="Arial" w:hAnsi="Arial" w:cs="Arial"/>
        </w:rPr>
        <w:t xml:space="preserve">, </w:t>
      </w:r>
      <w:r w:rsidR="001B582F" w:rsidRPr="001B582F">
        <w:rPr>
          <w:rFonts w:ascii="Arial" w:eastAsia="Arial" w:hAnsi="Arial" w:cs="Arial"/>
        </w:rPr>
        <w:t>Large Electronic Load Ride-Through Requirements</w:t>
      </w:r>
      <w:r w:rsidR="0034752E">
        <w:rPr>
          <w:rFonts w:ascii="Arial" w:eastAsia="Arial" w:hAnsi="Arial" w:cs="Arial"/>
        </w:rPr>
        <w:t xml:space="preserve">. </w:t>
      </w:r>
      <w:r w:rsidR="003D1BF5">
        <w:rPr>
          <w:rFonts w:ascii="Arial" w:eastAsia="Arial" w:hAnsi="Arial" w:cs="Arial"/>
        </w:rPr>
        <w:t xml:space="preserve"> </w:t>
      </w:r>
      <w:r w:rsidR="00EF2212">
        <w:rPr>
          <w:rFonts w:ascii="Arial" w:eastAsia="Arial" w:hAnsi="Arial" w:cs="Arial"/>
        </w:rPr>
        <w:t xml:space="preserve">For clarity, </w:t>
      </w:r>
      <w:r w:rsidR="00293013">
        <w:rPr>
          <w:rFonts w:ascii="Arial" w:eastAsia="Arial" w:hAnsi="Arial" w:cs="Arial"/>
        </w:rPr>
        <w:t>ERCOT notes that</w:t>
      </w:r>
      <w:r w:rsidR="001D4F62">
        <w:rPr>
          <w:rFonts w:ascii="Arial" w:eastAsia="Arial" w:hAnsi="Arial" w:cs="Arial"/>
        </w:rPr>
        <w:t xml:space="preserve">, until </w:t>
      </w:r>
      <w:r w:rsidR="00293013">
        <w:rPr>
          <w:rFonts w:ascii="Arial" w:eastAsia="Arial" w:hAnsi="Arial" w:cs="Arial"/>
        </w:rPr>
        <w:t>NOGRR282 is approved</w:t>
      </w:r>
      <w:r w:rsidR="00C953A8">
        <w:rPr>
          <w:rFonts w:ascii="Arial" w:eastAsia="Arial" w:hAnsi="Arial" w:cs="Arial"/>
        </w:rPr>
        <w:t xml:space="preserve"> and implemented</w:t>
      </w:r>
      <w:r w:rsidR="003C55F5">
        <w:rPr>
          <w:rFonts w:ascii="Arial" w:eastAsia="Arial" w:hAnsi="Arial" w:cs="Arial"/>
        </w:rPr>
        <w:t xml:space="preserve">, ERCOT will continue to apply the interim ride-through assessment process announced in its June 23, </w:t>
      </w:r>
      <w:proofErr w:type="gramStart"/>
      <w:r w:rsidR="003C55F5">
        <w:rPr>
          <w:rFonts w:ascii="Arial" w:eastAsia="Arial" w:hAnsi="Arial" w:cs="Arial"/>
        </w:rPr>
        <w:t>2025</w:t>
      </w:r>
      <w:proofErr w:type="gramEnd"/>
      <w:r w:rsidR="003C55F5">
        <w:rPr>
          <w:rFonts w:ascii="Arial" w:eastAsia="Arial" w:hAnsi="Arial" w:cs="Arial"/>
        </w:rPr>
        <w:t xml:space="preserve"> Market Notice,</w:t>
      </w:r>
      <w:r w:rsidR="003C55F5">
        <w:rPr>
          <w:rStyle w:val="FootnoteReference"/>
          <w:rFonts w:ascii="Arial" w:eastAsia="Arial" w:hAnsi="Arial" w:cs="Arial"/>
        </w:rPr>
        <w:footnoteReference w:id="1"/>
      </w:r>
      <w:r w:rsidR="003C55F5">
        <w:rPr>
          <w:rFonts w:ascii="Arial" w:eastAsia="Arial" w:hAnsi="Arial" w:cs="Arial"/>
        </w:rPr>
        <w:t xml:space="preserve"> as further described in its presentations to the LLWG, as a condition for allowing </w:t>
      </w:r>
      <w:r w:rsidR="001B582F">
        <w:rPr>
          <w:rFonts w:ascii="Arial" w:eastAsia="Arial" w:hAnsi="Arial" w:cs="Arial"/>
        </w:rPr>
        <w:t xml:space="preserve">any LEL to </w:t>
      </w:r>
      <w:r w:rsidR="003C55F5">
        <w:rPr>
          <w:rFonts w:ascii="Arial" w:eastAsia="Arial" w:hAnsi="Arial" w:cs="Arial"/>
        </w:rPr>
        <w:t>energiz</w:t>
      </w:r>
      <w:r w:rsidR="001B582F">
        <w:rPr>
          <w:rFonts w:ascii="Arial" w:eastAsia="Arial" w:hAnsi="Arial" w:cs="Arial"/>
        </w:rPr>
        <w:t>e</w:t>
      </w:r>
      <w:r w:rsidR="003C55F5">
        <w:rPr>
          <w:rFonts w:ascii="Arial" w:eastAsia="Arial" w:hAnsi="Arial" w:cs="Arial"/>
        </w:rPr>
        <w:t xml:space="preserve"> during this interim period.  </w:t>
      </w:r>
      <w:r w:rsidR="001B582F">
        <w:rPr>
          <w:rFonts w:ascii="Arial" w:eastAsia="Arial" w:hAnsi="Arial" w:cs="Arial"/>
        </w:rPr>
        <w:t>More s</w:t>
      </w:r>
      <w:r w:rsidR="003C55F5">
        <w:rPr>
          <w:rFonts w:ascii="Arial" w:eastAsia="Arial" w:hAnsi="Arial" w:cs="Arial"/>
        </w:rPr>
        <w:t xml:space="preserve">pecifically, as ERCOT indicated in its September 19, </w:t>
      </w:r>
      <w:proofErr w:type="gramStart"/>
      <w:r w:rsidR="003C55F5">
        <w:rPr>
          <w:rFonts w:ascii="Arial" w:eastAsia="Arial" w:hAnsi="Arial" w:cs="Arial"/>
        </w:rPr>
        <w:t>2025</w:t>
      </w:r>
      <w:proofErr w:type="gramEnd"/>
      <w:r w:rsidR="003C55F5">
        <w:rPr>
          <w:rFonts w:ascii="Arial" w:eastAsia="Arial" w:hAnsi="Arial" w:cs="Arial"/>
        </w:rPr>
        <w:t xml:space="preserve"> presentation to LLWG </w:t>
      </w:r>
      <w:r w:rsidR="003D1BF5">
        <w:rPr>
          <w:rFonts w:ascii="Arial" w:eastAsia="Arial" w:hAnsi="Arial" w:cs="Arial"/>
        </w:rPr>
        <w:t>describing</w:t>
      </w:r>
      <w:r w:rsidR="003C55F5">
        <w:rPr>
          <w:rFonts w:ascii="Arial" w:eastAsia="Arial" w:hAnsi="Arial" w:cs="Arial"/>
        </w:rPr>
        <w:t xml:space="preserve"> the interim process,</w:t>
      </w:r>
      <w:r w:rsidR="003C55F5">
        <w:rPr>
          <w:rStyle w:val="FootnoteReference"/>
          <w:rFonts w:ascii="Arial" w:eastAsia="Arial" w:hAnsi="Arial" w:cs="Arial"/>
        </w:rPr>
        <w:footnoteReference w:id="2"/>
      </w:r>
      <w:r w:rsidR="003C55F5">
        <w:rPr>
          <w:rFonts w:ascii="Arial" w:eastAsia="Arial" w:hAnsi="Arial" w:cs="Arial"/>
        </w:rPr>
        <w:t xml:space="preserve"> ERCOT will evaluate each LEL’s capability to ride through certain simulated events, and if ERCOT’s assessment concludes the LEL </w:t>
      </w:r>
      <w:r w:rsidR="003C55F5" w:rsidRPr="00E37483">
        <w:rPr>
          <w:rFonts w:ascii="Arial" w:eastAsia="Arial" w:hAnsi="Arial" w:cs="Arial"/>
        </w:rPr>
        <w:t>can</w:t>
      </w:r>
      <w:r w:rsidR="003C55F5">
        <w:rPr>
          <w:rFonts w:ascii="Arial" w:eastAsia="Arial" w:hAnsi="Arial" w:cs="Arial"/>
        </w:rPr>
        <w:t xml:space="preserve"> ride through those events, the LEL may proceed to energization.  If the LEL </w:t>
      </w:r>
      <w:r w:rsidR="003C55F5" w:rsidRPr="00EE1C7A">
        <w:rPr>
          <w:rFonts w:ascii="Arial" w:eastAsia="Arial" w:hAnsi="Arial" w:cs="Arial"/>
          <w:u w:val="single"/>
        </w:rPr>
        <w:t>cannot</w:t>
      </w:r>
      <w:r w:rsidR="003C55F5">
        <w:rPr>
          <w:rFonts w:ascii="Arial" w:eastAsia="Arial" w:hAnsi="Arial" w:cs="Arial"/>
        </w:rPr>
        <w:t xml:space="preserve"> ride through the simulated events, it will be allowed to proceed to energization once ERCOT procedures are in place to support real-time operations but </w:t>
      </w:r>
      <w:r w:rsidR="003D1BF5">
        <w:rPr>
          <w:rFonts w:ascii="Arial" w:eastAsia="Arial" w:hAnsi="Arial" w:cs="Arial"/>
        </w:rPr>
        <w:t>will</w:t>
      </w:r>
      <w:r w:rsidR="003C55F5">
        <w:rPr>
          <w:rFonts w:ascii="Arial" w:eastAsia="Arial" w:hAnsi="Arial" w:cs="Arial"/>
        </w:rPr>
        <w:t xml:space="preserve"> be subject to curtailment when necessary to prevent </w:t>
      </w:r>
      <w:r w:rsidR="00276BE1">
        <w:rPr>
          <w:rFonts w:ascii="Arial" w:eastAsia="Arial" w:hAnsi="Arial" w:cs="Arial"/>
        </w:rPr>
        <w:t>system operating limit (“</w:t>
      </w:r>
      <w:r w:rsidR="003C55F5">
        <w:rPr>
          <w:rFonts w:ascii="Arial" w:eastAsia="Arial" w:hAnsi="Arial" w:cs="Arial"/>
        </w:rPr>
        <w:t>SOL</w:t>
      </w:r>
      <w:r w:rsidR="00276BE1">
        <w:rPr>
          <w:rFonts w:ascii="Arial" w:eastAsia="Arial" w:hAnsi="Arial" w:cs="Arial"/>
        </w:rPr>
        <w:t>”)</w:t>
      </w:r>
      <w:r w:rsidR="003C55F5">
        <w:rPr>
          <w:rFonts w:ascii="Arial" w:eastAsia="Arial" w:hAnsi="Arial" w:cs="Arial"/>
        </w:rPr>
        <w:t xml:space="preserve"> and </w:t>
      </w:r>
      <w:r w:rsidR="00276BE1" w:rsidRPr="00276BE1">
        <w:rPr>
          <w:rFonts w:ascii="Arial" w:eastAsia="Arial" w:hAnsi="Arial" w:cs="Arial"/>
        </w:rPr>
        <w:t>Interconnection Reliability Operating Limit</w:t>
      </w:r>
      <w:r w:rsidR="00276BE1">
        <w:rPr>
          <w:rFonts w:ascii="Arial" w:eastAsia="Arial" w:hAnsi="Arial" w:cs="Arial"/>
        </w:rPr>
        <w:t xml:space="preserve"> (</w:t>
      </w:r>
      <w:r w:rsidR="003C55F5">
        <w:rPr>
          <w:rFonts w:ascii="Arial" w:eastAsia="Arial" w:hAnsi="Arial" w:cs="Arial"/>
        </w:rPr>
        <w:t>IROL</w:t>
      </w:r>
      <w:r w:rsidR="00276BE1">
        <w:rPr>
          <w:rFonts w:ascii="Arial" w:eastAsia="Arial" w:hAnsi="Arial" w:cs="Arial"/>
        </w:rPr>
        <w:t>)</w:t>
      </w:r>
      <w:r w:rsidR="003C55F5">
        <w:rPr>
          <w:rFonts w:ascii="Arial" w:eastAsia="Arial" w:hAnsi="Arial" w:cs="Arial"/>
        </w:rPr>
        <w:t xml:space="preserve"> exceedances. </w:t>
      </w:r>
    </w:p>
    <w:p w14:paraId="4971DAC2" w14:textId="77777777" w:rsidR="00B97F83" w:rsidRDefault="00B97F83" w:rsidP="00006485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</w:p>
    <w:p w14:paraId="27050BB6" w14:textId="1F8FB16E" w:rsidR="006B46F7" w:rsidRDefault="00C953A8" w:rsidP="00006485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ERCOT underscores that</w:t>
      </w:r>
      <w:r w:rsidR="00EF2212">
        <w:rPr>
          <w:rFonts w:ascii="Arial" w:eastAsia="Arial" w:hAnsi="Arial" w:cs="Arial"/>
        </w:rPr>
        <w:t xml:space="preserve">, once </w:t>
      </w:r>
      <w:r w:rsidR="00B97F83">
        <w:rPr>
          <w:rFonts w:ascii="Arial" w:eastAsia="Arial" w:hAnsi="Arial" w:cs="Arial"/>
        </w:rPr>
        <w:t xml:space="preserve">the NOGRR establishing </w:t>
      </w:r>
      <w:r w:rsidR="00EF2212">
        <w:rPr>
          <w:rFonts w:ascii="Arial" w:eastAsia="Arial" w:hAnsi="Arial" w:cs="Arial"/>
        </w:rPr>
        <w:t xml:space="preserve">VRT and </w:t>
      </w:r>
      <w:r w:rsidR="00276BE1">
        <w:rPr>
          <w:rFonts w:ascii="Arial" w:eastAsia="Arial" w:hAnsi="Arial" w:cs="Arial"/>
        </w:rPr>
        <w:t>f</w:t>
      </w:r>
      <w:r w:rsidR="002D324D">
        <w:rPr>
          <w:rFonts w:ascii="Arial" w:eastAsia="Arial" w:hAnsi="Arial" w:cs="Arial"/>
        </w:rPr>
        <w:t xml:space="preserve">requency </w:t>
      </w:r>
      <w:r w:rsidR="00276BE1">
        <w:rPr>
          <w:rFonts w:ascii="Arial" w:eastAsia="Arial" w:hAnsi="Arial" w:cs="Arial"/>
        </w:rPr>
        <w:t>r</w:t>
      </w:r>
      <w:r w:rsidR="002D324D">
        <w:rPr>
          <w:rFonts w:ascii="Arial" w:eastAsia="Arial" w:hAnsi="Arial" w:cs="Arial"/>
        </w:rPr>
        <w:t>ide-</w:t>
      </w:r>
      <w:r w:rsidR="00276BE1">
        <w:rPr>
          <w:rFonts w:ascii="Arial" w:eastAsia="Arial" w:hAnsi="Arial" w:cs="Arial"/>
        </w:rPr>
        <w:t>t</w:t>
      </w:r>
      <w:r w:rsidR="002D324D">
        <w:rPr>
          <w:rFonts w:ascii="Arial" w:eastAsia="Arial" w:hAnsi="Arial" w:cs="Arial"/>
        </w:rPr>
        <w:t>hrough (</w:t>
      </w:r>
      <w:r w:rsidR="00276BE1">
        <w:rPr>
          <w:rFonts w:ascii="Arial" w:eastAsia="Arial" w:hAnsi="Arial" w:cs="Arial"/>
        </w:rPr>
        <w:t>“</w:t>
      </w:r>
      <w:r w:rsidR="00EF2212">
        <w:rPr>
          <w:rFonts w:ascii="Arial" w:eastAsia="Arial" w:hAnsi="Arial" w:cs="Arial"/>
        </w:rPr>
        <w:t>FRT</w:t>
      </w:r>
      <w:r w:rsidR="00276BE1">
        <w:rPr>
          <w:rFonts w:ascii="Arial" w:eastAsia="Arial" w:hAnsi="Arial" w:cs="Arial"/>
        </w:rPr>
        <w:t>”</w:t>
      </w:r>
      <w:r w:rsidR="002D324D">
        <w:rPr>
          <w:rFonts w:ascii="Arial" w:eastAsia="Arial" w:hAnsi="Arial" w:cs="Arial"/>
        </w:rPr>
        <w:t>)</w:t>
      </w:r>
      <w:r w:rsidR="00EF2212">
        <w:rPr>
          <w:rFonts w:ascii="Arial" w:eastAsia="Arial" w:hAnsi="Arial" w:cs="Arial"/>
        </w:rPr>
        <w:t xml:space="preserve"> standards </w:t>
      </w:r>
      <w:r w:rsidR="00B97F83">
        <w:rPr>
          <w:rFonts w:ascii="Arial" w:eastAsia="Arial" w:hAnsi="Arial" w:cs="Arial"/>
        </w:rPr>
        <w:t>is approved and implemented</w:t>
      </w:r>
      <w:r w:rsidR="00EF2212">
        <w:rPr>
          <w:rFonts w:ascii="Arial" w:eastAsia="Arial" w:hAnsi="Arial" w:cs="Arial"/>
        </w:rPr>
        <w:t xml:space="preserve">, LELs </w:t>
      </w:r>
      <w:r w:rsidR="00B97F83">
        <w:rPr>
          <w:rFonts w:ascii="Arial" w:eastAsia="Arial" w:hAnsi="Arial" w:cs="Arial"/>
        </w:rPr>
        <w:t>that energize</w:t>
      </w:r>
      <w:r w:rsidR="00E37483">
        <w:rPr>
          <w:rFonts w:ascii="Arial" w:eastAsia="Arial" w:hAnsi="Arial" w:cs="Arial"/>
        </w:rPr>
        <w:t>d</w:t>
      </w:r>
      <w:r w:rsidR="00B97F83">
        <w:rPr>
          <w:rFonts w:ascii="Arial" w:eastAsia="Arial" w:hAnsi="Arial" w:cs="Arial"/>
        </w:rPr>
        <w:t xml:space="preserve"> </w:t>
      </w:r>
      <w:r w:rsidR="00EF2212">
        <w:rPr>
          <w:rFonts w:ascii="Arial" w:eastAsia="Arial" w:hAnsi="Arial" w:cs="Arial"/>
        </w:rPr>
        <w:t xml:space="preserve">before </w:t>
      </w:r>
      <w:r w:rsidR="00EF2212">
        <w:rPr>
          <w:rFonts w:ascii="Arial" w:eastAsia="Arial" w:hAnsi="Arial" w:cs="Arial"/>
        </w:rPr>
        <w:lastRenderedPageBreak/>
        <w:t>the NOGRR</w:t>
      </w:r>
      <w:r w:rsidR="00B97F83">
        <w:rPr>
          <w:rFonts w:ascii="Arial" w:eastAsia="Arial" w:hAnsi="Arial" w:cs="Arial"/>
        </w:rPr>
        <w:t xml:space="preserve"> was implemented </w:t>
      </w:r>
      <w:r w:rsidR="006B46F7">
        <w:rPr>
          <w:rFonts w:ascii="Arial" w:eastAsia="Arial" w:hAnsi="Arial" w:cs="Arial"/>
        </w:rPr>
        <w:t xml:space="preserve">and that are not </w:t>
      </w:r>
      <w:r w:rsidR="002C4457">
        <w:rPr>
          <w:rFonts w:ascii="Arial" w:eastAsia="Arial" w:hAnsi="Arial" w:cs="Arial"/>
        </w:rPr>
        <w:t>exempt</w:t>
      </w:r>
      <w:r w:rsidR="006B46F7">
        <w:rPr>
          <w:rFonts w:ascii="Arial" w:eastAsia="Arial" w:hAnsi="Arial" w:cs="Arial"/>
        </w:rPr>
        <w:t xml:space="preserve"> under the NOGRR </w:t>
      </w:r>
      <w:r w:rsidR="00EF2212">
        <w:rPr>
          <w:rFonts w:ascii="Arial" w:eastAsia="Arial" w:hAnsi="Arial" w:cs="Arial"/>
        </w:rPr>
        <w:t xml:space="preserve">would be subject to </w:t>
      </w:r>
      <w:r w:rsidR="00B97F83">
        <w:rPr>
          <w:rFonts w:ascii="Arial" w:eastAsia="Arial" w:hAnsi="Arial" w:cs="Arial"/>
        </w:rPr>
        <w:t xml:space="preserve">compliance with </w:t>
      </w:r>
      <w:r w:rsidR="00EF2212">
        <w:rPr>
          <w:rFonts w:ascii="Arial" w:eastAsia="Arial" w:hAnsi="Arial" w:cs="Arial"/>
        </w:rPr>
        <w:t>t</w:t>
      </w:r>
      <w:r w:rsidR="00B97F83">
        <w:rPr>
          <w:rFonts w:ascii="Arial" w:eastAsia="Arial" w:hAnsi="Arial" w:cs="Arial"/>
        </w:rPr>
        <w:t>hose new standards</w:t>
      </w:r>
      <w:r w:rsidR="00EF2212">
        <w:rPr>
          <w:rFonts w:ascii="Arial" w:eastAsia="Arial" w:hAnsi="Arial" w:cs="Arial"/>
        </w:rPr>
        <w:t xml:space="preserve">.  </w:t>
      </w:r>
      <w:r w:rsidR="00414D27">
        <w:rPr>
          <w:rFonts w:ascii="Arial" w:eastAsia="Arial" w:hAnsi="Arial" w:cs="Arial"/>
        </w:rPr>
        <w:t xml:space="preserve">However, ERCOT’s interim process provides a path </w:t>
      </w:r>
      <w:r w:rsidR="00E37483">
        <w:rPr>
          <w:rFonts w:ascii="Arial" w:eastAsia="Arial" w:hAnsi="Arial" w:cs="Arial"/>
        </w:rPr>
        <w:t xml:space="preserve">forward to energization </w:t>
      </w:r>
      <w:r w:rsidR="00414D27">
        <w:rPr>
          <w:rFonts w:ascii="Arial" w:eastAsia="Arial" w:hAnsi="Arial" w:cs="Arial"/>
        </w:rPr>
        <w:t>for those developers that are comfortable assuming th</w:t>
      </w:r>
      <w:r w:rsidR="00E37483">
        <w:rPr>
          <w:rFonts w:ascii="Arial" w:eastAsia="Arial" w:hAnsi="Arial" w:cs="Arial"/>
        </w:rPr>
        <w:t>is potential compliance risk</w:t>
      </w:r>
      <w:r w:rsidR="006B46F7">
        <w:rPr>
          <w:rFonts w:ascii="Arial" w:eastAsia="Arial" w:hAnsi="Arial" w:cs="Arial"/>
        </w:rPr>
        <w:t xml:space="preserve"> while these critical reliability requirements are still being refined</w:t>
      </w:r>
      <w:r w:rsidR="003D1BF5">
        <w:rPr>
          <w:rFonts w:ascii="Arial" w:eastAsia="Arial" w:hAnsi="Arial" w:cs="Arial"/>
        </w:rPr>
        <w:t xml:space="preserve"> in the stakeholder process</w:t>
      </w:r>
      <w:r w:rsidR="006B46F7">
        <w:rPr>
          <w:rFonts w:ascii="Arial" w:eastAsia="Arial" w:hAnsi="Arial" w:cs="Arial"/>
        </w:rPr>
        <w:t xml:space="preserve">.  </w:t>
      </w:r>
    </w:p>
    <w:p w14:paraId="59780C53" w14:textId="77777777" w:rsidR="006B46F7" w:rsidRDefault="006B46F7" w:rsidP="00006485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</w:p>
    <w:p w14:paraId="6B809C27" w14:textId="1311C166" w:rsidR="007C1338" w:rsidRDefault="006B46F7" w:rsidP="007C133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ERCOT also </w:t>
      </w:r>
      <w:r w:rsidR="003C55F5">
        <w:rPr>
          <w:rFonts w:ascii="Arial" w:eastAsia="Arial" w:hAnsi="Arial" w:cs="Arial"/>
        </w:rPr>
        <w:t xml:space="preserve">provides this </w:t>
      </w:r>
      <w:r>
        <w:rPr>
          <w:rFonts w:ascii="Arial" w:eastAsia="Arial" w:hAnsi="Arial" w:cs="Arial"/>
        </w:rPr>
        <w:t>respon</w:t>
      </w:r>
      <w:r w:rsidR="003C55F5">
        <w:rPr>
          <w:rFonts w:ascii="Arial" w:eastAsia="Arial" w:hAnsi="Arial" w:cs="Arial"/>
        </w:rPr>
        <w:t>se</w:t>
      </w:r>
      <w:r>
        <w:rPr>
          <w:rFonts w:ascii="Arial" w:eastAsia="Arial" w:hAnsi="Arial" w:cs="Arial"/>
        </w:rPr>
        <w:t xml:space="preserve"> to each of </w:t>
      </w:r>
      <w:r w:rsidR="007C1338">
        <w:rPr>
          <w:rFonts w:ascii="Arial" w:eastAsia="Arial" w:hAnsi="Arial" w:cs="Arial"/>
        </w:rPr>
        <w:t xml:space="preserve">Google’s four </w:t>
      </w:r>
      <w:r w:rsidR="00414D27">
        <w:rPr>
          <w:rFonts w:ascii="Arial" w:eastAsia="Arial" w:hAnsi="Arial" w:cs="Arial"/>
        </w:rPr>
        <w:t>recommendations</w:t>
      </w:r>
      <w:r w:rsidR="007C1338">
        <w:rPr>
          <w:rFonts w:ascii="Arial" w:eastAsia="Arial" w:hAnsi="Arial" w:cs="Arial"/>
        </w:rPr>
        <w:t>:</w:t>
      </w:r>
    </w:p>
    <w:p w14:paraId="79CE5D6A" w14:textId="77777777" w:rsidR="007C1338" w:rsidRDefault="007C1338" w:rsidP="007C133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</w:p>
    <w:p w14:paraId="0BCA8AB2" w14:textId="6696819B" w:rsidR="007C1338" w:rsidRDefault="007C1338" w:rsidP="007C133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  <w:r w:rsidRPr="007C1338">
        <w:rPr>
          <w:rFonts w:ascii="Arial" w:eastAsia="Arial" w:hAnsi="Arial" w:cs="Arial"/>
          <w:b/>
          <w:bCs/>
        </w:rPr>
        <w:t>Re</w:t>
      </w:r>
      <w:r w:rsidR="006B46F7">
        <w:rPr>
          <w:rFonts w:ascii="Arial" w:eastAsia="Arial" w:hAnsi="Arial" w:cs="Arial"/>
          <w:b/>
          <w:bCs/>
        </w:rPr>
        <w:t>commendation</w:t>
      </w:r>
      <w:r w:rsidRPr="007C1338">
        <w:rPr>
          <w:rFonts w:ascii="Arial" w:eastAsia="Arial" w:hAnsi="Arial" w:cs="Arial"/>
          <w:b/>
          <w:bCs/>
        </w:rPr>
        <w:t xml:space="preserve"> 1</w:t>
      </w:r>
      <w:r>
        <w:rPr>
          <w:rFonts w:ascii="Arial" w:eastAsia="Arial" w:hAnsi="Arial" w:cs="Arial"/>
        </w:rPr>
        <w:t xml:space="preserve">: </w:t>
      </w:r>
      <w:r w:rsidR="00225E65">
        <w:rPr>
          <w:rFonts w:ascii="Arial" w:eastAsia="Arial" w:hAnsi="Arial" w:cs="Arial"/>
        </w:rPr>
        <w:t>ERCOT should n</w:t>
      </w:r>
      <w:r w:rsidRPr="007C1338">
        <w:rPr>
          <w:rFonts w:ascii="Arial" w:eastAsia="Arial" w:hAnsi="Arial" w:cs="Arial"/>
        </w:rPr>
        <w:t xml:space="preserve">otify </w:t>
      </w:r>
      <w:r w:rsidR="00225E65">
        <w:rPr>
          <w:rFonts w:ascii="Arial" w:eastAsia="Arial" w:hAnsi="Arial" w:cs="Arial"/>
        </w:rPr>
        <w:t xml:space="preserve">each Interconnecting Large Load Entity (ILLE) </w:t>
      </w:r>
      <w:r w:rsidRPr="007C1338">
        <w:rPr>
          <w:rFonts w:ascii="Arial" w:eastAsia="Arial" w:hAnsi="Arial" w:cs="Arial"/>
        </w:rPr>
        <w:t xml:space="preserve">regarding </w:t>
      </w:r>
      <w:r w:rsidR="00225E65">
        <w:rPr>
          <w:rFonts w:ascii="Arial" w:eastAsia="Arial" w:hAnsi="Arial" w:cs="Arial"/>
        </w:rPr>
        <w:t>its</w:t>
      </w:r>
      <w:r w:rsidR="00AA4BB3">
        <w:rPr>
          <w:rFonts w:ascii="Arial" w:eastAsia="Arial" w:hAnsi="Arial" w:cs="Arial"/>
        </w:rPr>
        <w:t xml:space="preserve"> </w:t>
      </w:r>
      <w:r w:rsidRPr="007C1338">
        <w:rPr>
          <w:rFonts w:ascii="Arial" w:eastAsia="Arial" w:hAnsi="Arial" w:cs="Arial"/>
        </w:rPr>
        <w:t>compliance status</w:t>
      </w:r>
      <w:r w:rsidR="00AA4BB3">
        <w:rPr>
          <w:rFonts w:ascii="Arial" w:eastAsia="Arial" w:hAnsi="Arial" w:cs="Arial"/>
        </w:rPr>
        <w:t xml:space="preserve"> under the ride-through standards proposed in NOGRR282</w:t>
      </w:r>
      <w:r>
        <w:rPr>
          <w:rFonts w:ascii="Arial" w:eastAsia="Arial" w:hAnsi="Arial" w:cs="Arial"/>
        </w:rPr>
        <w:t>.</w:t>
      </w:r>
    </w:p>
    <w:p w14:paraId="26602E15" w14:textId="77777777" w:rsidR="006B46F7" w:rsidRDefault="006B46F7" w:rsidP="007C133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</w:p>
    <w:p w14:paraId="7FE8A86B" w14:textId="3C657B45" w:rsidR="007C1338" w:rsidRDefault="007C1338" w:rsidP="007C133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  <w:r w:rsidRPr="007C1338">
        <w:rPr>
          <w:rFonts w:ascii="Arial" w:eastAsia="Arial" w:hAnsi="Arial" w:cs="Arial"/>
          <w:b/>
          <w:bCs/>
        </w:rPr>
        <w:t>ERCOT response</w:t>
      </w:r>
      <w:r>
        <w:rPr>
          <w:rFonts w:ascii="Arial" w:eastAsia="Arial" w:hAnsi="Arial" w:cs="Arial"/>
        </w:rPr>
        <w:t xml:space="preserve">: As noted above, </w:t>
      </w:r>
      <w:r w:rsidR="006B46F7">
        <w:rPr>
          <w:rFonts w:ascii="Arial" w:eastAsia="Arial" w:hAnsi="Arial" w:cs="Arial"/>
        </w:rPr>
        <w:t xml:space="preserve">ERCOT </w:t>
      </w:r>
      <w:r w:rsidR="00AA4BB3">
        <w:rPr>
          <w:rFonts w:ascii="Arial" w:eastAsia="Arial" w:hAnsi="Arial" w:cs="Arial"/>
        </w:rPr>
        <w:t>will</w:t>
      </w:r>
      <w:r w:rsidR="006B46F7">
        <w:rPr>
          <w:rFonts w:ascii="Arial" w:eastAsia="Arial" w:hAnsi="Arial" w:cs="Arial"/>
        </w:rPr>
        <w:t xml:space="preserve"> continue applying the interim ride-through assessment process </w:t>
      </w:r>
      <w:r w:rsidR="00AA4BB3">
        <w:rPr>
          <w:rFonts w:ascii="Arial" w:eastAsia="Arial" w:hAnsi="Arial" w:cs="Arial"/>
        </w:rPr>
        <w:t>while NOGRR282 is pending approval and implementation</w:t>
      </w:r>
      <w:r w:rsidR="00225E65">
        <w:rPr>
          <w:rFonts w:ascii="Arial" w:eastAsia="Arial" w:hAnsi="Arial" w:cs="Arial"/>
        </w:rPr>
        <w:t xml:space="preserve"> </w:t>
      </w:r>
      <w:r w:rsidR="006B46F7">
        <w:rPr>
          <w:rFonts w:ascii="Arial" w:eastAsia="Arial" w:hAnsi="Arial" w:cs="Arial"/>
        </w:rPr>
        <w:t xml:space="preserve">and </w:t>
      </w:r>
      <w:r w:rsidR="00AA4BB3">
        <w:rPr>
          <w:rFonts w:ascii="Arial" w:eastAsia="Arial" w:hAnsi="Arial" w:cs="Arial"/>
        </w:rPr>
        <w:t>will not require Large Load Interconnection S</w:t>
      </w:r>
      <w:r>
        <w:rPr>
          <w:rFonts w:ascii="Arial" w:eastAsia="Arial" w:hAnsi="Arial" w:cs="Arial"/>
        </w:rPr>
        <w:t xml:space="preserve">tudies </w:t>
      </w:r>
      <w:r w:rsidR="00AA4BB3">
        <w:rPr>
          <w:rFonts w:ascii="Arial" w:eastAsia="Arial" w:hAnsi="Arial" w:cs="Arial"/>
        </w:rPr>
        <w:t xml:space="preserve">(LLIS) </w:t>
      </w:r>
      <w:r>
        <w:rPr>
          <w:rFonts w:ascii="Arial" w:eastAsia="Arial" w:hAnsi="Arial" w:cs="Arial"/>
        </w:rPr>
        <w:t xml:space="preserve">for LELs </w:t>
      </w:r>
      <w:r w:rsidR="00AA4BB3">
        <w:rPr>
          <w:rFonts w:ascii="Arial" w:eastAsia="Arial" w:hAnsi="Arial" w:cs="Arial"/>
        </w:rPr>
        <w:t xml:space="preserve">to evaluate compliance with </w:t>
      </w:r>
      <w:r>
        <w:rPr>
          <w:rFonts w:ascii="Arial" w:eastAsia="Arial" w:hAnsi="Arial" w:cs="Arial"/>
        </w:rPr>
        <w:t>the proposed requirements in NOGRR 282</w:t>
      </w:r>
      <w:r w:rsidR="00AA4BB3">
        <w:rPr>
          <w:rFonts w:ascii="Arial" w:eastAsia="Arial" w:hAnsi="Arial" w:cs="Arial"/>
        </w:rPr>
        <w:t xml:space="preserve"> </w:t>
      </w:r>
      <w:r w:rsidR="00225E65">
        <w:rPr>
          <w:rFonts w:ascii="Arial" w:eastAsia="Arial" w:hAnsi="Arial" w:cs="Arial"/>
        </w:rPr>
        <w:t>while these requirements are being developed</w:t>
      </w:r>
      <w:r>
        <w:rPr>
          <w:rFonts w:ascii="Arial" w:eastAsia="Arial" w:hAnsi="Arial" w:cs="Arial"/>
        </w:rPr>
        <w:t>.</w:t>
      </w:r>
      <w:r w:rsidR="001B2C5E">
        <w:rPr>
          <w:rFonts w:ascii="Arial" w:eastAsia="Arial" w:hAnsi="Arial" w:cs="Arial"/>
        </w:rPr>
        <w:t xml:space="preserve">  Therefore</w:t>
      </w:r>
      <w:r w:rsidR="00AA4BB3">
        <w:rPr>
          <w:rFonts w:ascii="Arial" w:eastAsia="Arial" w:hAnsi="Arial" w:cs="Arial"/>
        </w:rPr>
        <w:t>,</w:t>
      </w:r>
      <w:r w:rsidR="001B2C5E">
        <w:rPr>
          <w:rFonts w:ascii="Arial" w:eastAsia="Arial" w:hAnsi="Arial" w:cs="Arial"/>
        </w:rPr>
        <w:t xml:space="preserve"> no notification of compliance status under NOGRR282 is needed.</w:t>
      </w:r>
      <w:r w:rsidR="00AA4BB3">
        <w:rPr>
          <w:rFonts w:ascii="Arial" w:eastAsia="Arial" w:hAnsi="Arial" w:cs="Arial"/>
        </w:rPr>
        <w:t xml:space="preserve">  </w:t>
      </w:r>
    </w:p>
    <w:p w14:paraId="213B2AB0" w14:textId="77777777" w:rsidR="007C1338" w:rsidRDefault="007C1338" w:rsidP="007C133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</w:p>
    <w:p w14:paraId="47145624" w14:textId="7F83C292" w:rsidR="007C1338" w:rsidRDefault="006B46F7" w:rsidP="007C133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Recommendation</w:t>
      </w:r>
      <w:r w:rsidR="007C1338" w:rsidRPr="007C1338">
        <w:rPr>
          <w:rFonts w:ascii="Arial" w:eastAsia="Arial" w:hAnsi="Arial" w:cs="Arial"/>
          <w:b/>
          <w:bCs/>
        </w:rPr>
        <w:t xml:space="preserve"> </w:t>
      </w:r>
      <w:r w:rsidR="007C1338">
        <w:rPr>
          <w:rFonts w:ascii="Arial" w:eastAsia="Arial" w:hAnsi="Arial" w:cs="Arial"/>
          <w:b/>
          <w:bCs/>
        </w:rPr>
        <w:t>2</w:t>
      </w:r>
      <w:r w:rsidR="007C1338">
        <w:rPr>
          <w:rFonts w:ascii="Arial" w:eastAsia="Arial" w:hAnsi="Arial" w:cs="Arial"/>
        </w:rPr>
        <w:t xml:space="preserve">: </w:t>
      </w:r>
      <w:r w:rsidR="001B582F">
        <w:rPr>
          <w:rFonts w:ascii="Arial" w:eastAsia="Arial" w:hAnsi="Arial" w:cs="Arial"/>
        </w:rPr>
        <w:t>ERCOT should p</w:t>
      </w:r>
      <w:r w:rsidR="007C1338">
        <w:rPr>
          <w:rFonts w:ascii="Arial" w:eastAsia="Arial" w:hAnsi="Arial" w:cs="Arial"/>
        </w:rPr>
        <w:t xml:space="preserve">rovide a </w:t>
      </w:r>
      <w:r w:rsidR="00AA4BB3">
        <w:rPr>
          <w:rFonts w:ascii="Arial" w:eastAsia="Arial" w:hAnsi="Arial" w:cs="Arial"/>
        </w:rPr>
        <w:t xml:space="preserve">forecast of aggregate LEL </w:t>
      </w:r>
      <w:r w:rsidR="007C1338">
        <w:rPr>
          <w:rFonts w:ascii="Arial" w:eastAsia="Arial" w:hAnsi="Arial" w:cs="Arial"/>
        </w:rPr>
        <w:t xml:space="preserve">compliance </w:t>
      </w:r>
      <w:r w:rsidR="00AA4BB3">
        <w:rPr>
          <w:rFonts w:ascii="Arial" w:eastAsia="Arial" w:hAnsi="Arial" w:cs="Arial"/>
        </w:rPr>
        <w:t>based on submitted LLIS studies.</w:t>
      </w:r>
    </w:p>
    <w:p w14:paraId="4375DE9A" w14:textId="77777777" w:rsidR="006B46F7" w:rsidRDefault="006B46F7" w:rsidP="007C133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</w:p>
    <w:p w14:paraId="7079EAED" w14:textId="0166E626" w:rsidR="00776F2F" w:rsidRDefault="007C1338" w:rsidP="00AA4BB3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lang w:val="en-US"/>
        </w:rPr>
      </w:pPr>
      <w:r w:rsidRPr="007C1338">
        <w:rPr>
          <w:rFonts w:ascii="Arial" w:eastAsia="Arial" w:hAnsi="Arial" w:cs="Arial"/>
          <w:b/>
          <w:bCs/>
        </w:rPr>
        <w:t>ERCOT response</w:t>
      </w:r>
      <w:r>
        <w:rPr>
          <w:rFonts w:ascii="Arial" w:eastAsia="Arial" w:hAnsi="Arial" w:cs="Arial"/>
        </w:rPr>
        <w:t>:</w:t>
      </w:r>
      <w:r w:rsidR="004C0D92">
        <w:rPr>
          <w:rFonts w:ascii="Arial" w:eastAsia="Arial" w:hAnsi="Arial" w:cs="Arial"/>
        </w:rPr>
        <w:t xml:space="preserve"> </w:t>
      </w:r>
      <w:r w:rsidR="007B64F7" w:rsidRPr="007B64F7">
        <w:rPr>
          <w:rFonts w:ascii="Arial" w:eastAsia="Arial" w:hAnsi="Arial" w:cs="Arial"/>
          <w:lang w:val="en-US"/>
        </w:rPr>
        <w:t>LLIS</w:t>
      </w:r>
      <w:r w:rsidR="00AA4BB3">
        <w:rPr>
          <w:rFonts w:ascii="Arial" w:eastAsia="Arial" w:hAnsi="Arial" w:cs="Arial"/>
          <w:lang w:val="en-US"/>
        </w:rPr>
        <w:t xml:space="preserve"> studies</w:t>
      </w:r>
      <w:r w:rsidR="007B64F7" w:rsidRPr="007B64F7">
        <w:rPr>
          <w:rFonts w:ascii="Arial" w:eastAsia="Arial" w:hAnsi="Arial" w:cs="Arial"/>
          <w:lang w:val="en-US"/>
        </w:rPr>
        <w:t xml:space="preserve"> are not intended to provide individual or aggregate VRT </w:t>
      </w:r>
      <w:r w:rsidR="00AA4BB3">
        <w:rPr>
          <w:rFonts w:ascii="Arial" w:eastAsia="Arial" w:hAnsi="Arial" w:cs="Arial"/>
          <w:lang w:val="en-US"/>
        </w:rPr>
        <w:t xml:space="preserve">or FRT </w:t>
      </w:r>
      <w:r w:rsidR="007B64F7" w:rsidRPr="007B64F7">
        <w:rPr>
          <w:rFonts w:ascii="Arial" w:eastAsia="Arial" w:hAnsi="Arial" w:cs="Arial"/>
          <w:lang w:val="en-US"/>
        </w:rPr>
        <w:t>compliance forecasts. They are designed to assess project-specific impacts within a defined study scope and set of assumed system conditions. As such, there is currently no mechanism for TSPs or ERCOT to produce a VRT compliance forecast based on LLIS submittals.</w:t>
      </w:r>
      <w:r w:rsidR="007B64F7">
        <w:rPr>
          <w:rFonts w:ascii="Arial" w:eastAsia="Arial" w:hAnsi="Arial" w:cs="Arial"/>
          <w:lang w:val="en-US"/>
        </w:rPr>
        <w:t xml:space="preserve"> </w:t>
      </w:r>
    </w:p>
    <w:p w14:paraId="46CFD7C0" w14:textId="77777777" w:rsidR="007B64F7" w:rsidRPr="00776F2F" w:rsidRDefault="007B64F7" w:rsidP="00776F2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lang w:val="en-US"/>
        </w:rPr>
      </w:pPr>
    </w:p>
    <w:p w14:paraId="4265E6EA" w14:textId="77777777" w:rsidR="009438AB" w:rsidRDefault="009438AB" w:rsidP="009438AB">
      <w:pPr>
        <w:rPr>
          <w:rFonts w:ascii="Arial" w:hAnsi="Arial"/>
          <w:lang w:val="en-US"/>
        </w:rPr>
      </w:pPr>
    </w:p>
    <w:p w14:paraId="57AF6047" w14:textId="0B72B1BE" w:rsidR="004C0D92" w:rsidRDefault="00250EA4" w:rsidP="004C0D9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Recommendation</w:t>
      </w:r>
      <w:r w:rsidR="004C0D92" w:rsidRPr="007C1338">
        <w:rPr>
          <w:rFonts w:ascii="Arial" w:eastAsia="Arial" w:hAnsi="Arial" w:cs="Arial"/>
          <w:b/>
          <w:bCs/>
        </w:rPr>
        <w:t xml:space="preserve"> </w:t>
      </w:r>
      <w:r w:rsidR="004C0D92">
        <w:rPr>
          <w:rFonts w:ascii="Arial" w:eastAsia="Arial" w:hAnsi="Arial" w:cs="Arial"/>
          <w:b/>
          <w:bCs/>
        </w:rPr>
        <w:t>3</w:t>
      </w:r>
      <w:r w:rsidR="004C0D92">
        <w:rPr>
          <w:rFonts w:ascii="Arial" w:eastAsia="Arial" w:hAnsi="Arial" w:cs="Arial"/>
        </w:rPr>
        <w:t xml:space="preserve">: </w:t>
      </w:r>
      <w:r w:rsidR="001B582F">
        <w:rPr>
          <w:rFonts w:ascii="Arial" w:eastAsia="Arial" w:hAnsi="Arial" w:cs="Arial"/>
        </w:rPr>
        <w:t>ERCOT should identify</w:t>
      </w:r>
      <w:r w:rsidR="004C0D92">
        <w:rPr>
          <w:rFonts w:ascii="Arial" w:eastAsia="Arial" w:hAnsi="Arial" w:cs="Arial"/>
        </w:rPr>
        <w:t xml:space="preserve"> the </w:t>
      </w:r>
      <w:r w:rsidR="001B5BFE">
        <w:rPr>
          <w:rFonts w:ascii="Arial" w:eastAsia="Arial" w:hAnsi="Arial" w:cs="Arial"/>
        </w:rPr>
        <w:t>locations, MW quantities of load, and specific loads that w</w:t>
      </w:r>
      <w:r w:rsidR="004A18BF">
        <w:rPr>
          <w:rFonts w:ascii="Arial" w:eastAsia="Arial" w:hAnsi="Arial" w:cs="Arial"/>
        </w:rPr>
        <w:t>ill</w:t>
      </w:r>
      <w:r w:rsidR="001B5BFE">
        <w:rPr>
          <w:rFonts w:ascii="Arial" w:eastAsia="Arial" w:hAnsi="Arial" w:cs="Arial"/>
        </w:rPr>
        <w:t xml:space="preserve"> be subject to </w:t>
      </w:r>
      <w:r w:rsidR="004C0D92">
        <w:rPr>
          <w:rFonts w:ascii="Arial" w:eastAsia="Arial" w:hAnsi="Arial" w:cs="Arial"/>
        </w:rPr>
        <w:t>SOL</w:t>
      </w:r>
      <w:r w:rsidR="001B5BFE">
        <w:rPr>
          <w:rFonts w:ascii="Arial" w:eastAsia="Arial" w:hAnsi="Arial" w:cs="Arial"/>
        </w:rPr>
        <w:t>s</w:t>
      </w:r>
      <w:r w:rsidR="004C0D92">
        <w:rPr>
          <w:rFonts w:ascii="Arial" w:eastAsia="Arial" w:hAnsi="Arial" w:cs="Arial"/>
        </w:rPr>
        <w:t>.</w:t>
      </w:r>
    </w:p>
    <w:p w14:paraId="3537F804" w14:textId="77777777" w:rsidR="001B5BFE" w:rsidRDefault="001B5BFE" w:rsidP="004C0D9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</w:p>
    <w:p w14:paraId="188594EF" w14:textId="4BE811F0" w:rsidR="004C0D92" w:rsidRDefault="004C0D92" w:rsidP="004C0D92">
      <w:pPr>
        <w:rPr>
          <w:rFonts w:ascii="Arial" w:eastAsia="Arial" w:hAnsi="Arial" w:cs="Arial"/>
        </w:rPr>
      </w:pPr>
      <w:r w:rsidRPr="007C1338">
        <w:rPr>
          <w:rFonts w:ascii="Arial" w:eastAsia="Arial" w:hAnsi="Arial" w:cs="Arial"/>
          <w:b/>
          <w:bCs/>
        </w:rPr>
        <w:t>ERCOT response</w:t>
      </w:r>
      <w:r>
        <w:rPr>
          <w:rFonts w:ascii="Arial" w:eastAsia="Arial" w:hAnsi="Arial" w:cs="Arial"/>
        </w:rPr>
        <w:t xml:space="preserve">: </w:t>
      </w:r>
      <w:r w:rsidR="001B5BFE">
        <w:rPr>
          <w:rFonts w:ascii="Arial" w:eastAsia="Arial" w:hAnsi="Arial" w:cs="Arial"/>
        </w:rPr>
        <w:t>ERCOT</w:t>
      </w:r>
      <w:r w:rsidR="004A18BF">
        <w:rPr>
          <w:rFonts w:ascii="Arial" w:eastAsia="Arial" w:hAnsi="Arial" w:cs="Arial"/>
        </w:rPr>
        <w:t xml:space="preserve"> </w:t>
      </w:r>
      <w:r w:rsidR="001B5BFE">
        <w:rPr>
          <w:rFonts w:ascii="Arial" w:eastAsia="Arial" w:hAnsi="Arial" w:cs="Arial"/>
        </w:rPr>
        <w:t>intends to</w:t>
      </w:r>
      <w:r>
        <w:rPr>
          <w:rFonts w:ascii="Arial" w:eastAsia="Arial" w:hAnsi="Arial" w:cs="Arial"/>
        </w:rPr>
        <w:t xml:space="preserve"> </w:t>
      </w:r>
      <w:r w:rsidR="00120E2C">
        <w:rPr>
          <w:rFonts w:ascii="Arial" w:eastAsia="Arial" w:hAnsi="Arial" w:cs="Arial"/>
        </w:rPr>
        <w:t>provid</w:t>
      </w:r>
      <w:r w:rsidR="001B5BFE">
        <w:rPr>
          <w:rFonts w:ascii="Arial" w:eastAsia="Arial" w:hAnsi="Arial" w:cs="Arial"/>
        </w:rPr>
        <w:t>e</w:t>
      </w:r>
      <w:r w:rsidR="00120E2C">
        <w:rPr>
          <w:rFonts w:ascii="Arial" w:eastAsia="Arial" w:hAnsi="Arial" w:cs="Arial"/>
        </w:rPr>
        <w:t xml:space="preserve"> more information on potential </w:t>
      </w:r>
      <w:r w:rsidR="00DE03E5">
        <w:rPr>
          <w:rFonts w:ascii="Arial" w:eastAsia="Arial" w:hAnsi="Arial" w:cs="Arial"/>
        </w:rPr>
        <w:t>VRT-related</w:t>
      </w:r>
      <w:r w:rsidR="00120E2C">
        <w:rPr>
          <w:rFonts w:ascii="Arial" w:eastAsia="Arial" w:hAnsi="Arial" w:cs="Arial"/>
        </w:rPr>
        <w:t xml:space="preserve"> SOLs and IROLs </w:t>
      </w:r>
      <w:r w:rsidR="001B5BFE">
        <w:rPr>
          <w:rFonts w:ascii="Arial" w:eastAsia="Arial" w:hAnsi="Arial" w:cs="Arial"/>
        </w:rPr>
        <w:t xml:space="preserve">for LELs </w:t>
      </w:r>
      <w:r w:rsidR="00120E2C">
        <w:rPr>
          <w:rFonts w:ascii="Arial" w:eastAsia="Arial" w:hAnsi="Arial" w:cs="Arial"/>
        </w:rPr>
        <w:t xml:space="preserve">at the December 11, </w:t>
      </w:r>
      <w:proofErr w:type="gramStart"/>
      <w:r w:rsidR="00120E2C">
        <w:rPr>
          <w:rFonts w:ascii="Arial" w:eastAsia="Arial" w:hAnsi="Arial" w:cs="Arial"/>
        </w:rPr>
        <w:t>2025</w:t>
      </w:r>
      <w:proofErr w:type="gramEnd"/>
      <w:r w:rsidR="00120E2C">
        <w:rPr>
          <w:rFonts w:ascii="Arial" w:eastAsia="Arial" w:hAnsi="Arial" w:cs="Arial"/>
        </w:rPr>
        <w:t xml:space="preserve"> LLWG meeting.</w:t>
      </w:r>
      <w:r w:rsidR="00276BE1">
        <w:rPr>
          <w:rFonts w:ascii="Arial" w:eastAsia="Arial" w:hAnsi="Arial" w:cs="Arial"/>
        </w:rPr>
        <w:t xml:space="preserve">  W</w:t>
      </w:r>
      <w:r w:rsidR="00E13178">
        <w:rPr>
          <w:rFonts w:ascii="Arial" w:eastAsia="Arial" w:hAnsi="Arial" w:cs="Arial"/>
        </w:rPr>
        <w:t>h</w:t>
      </w:r>
      <w:r w:rsidR="004A18BF">
        <w:rPr>
          <w:rFonts w:ascii="Arial" w:eastAsia="Arial" w:hAnsi="Arial" w:cs="Arial"/>
        </w:rPr>
        <w:t xml:space="preserve">ile ERCOT agrees that customers with impacted LELs and affected Transmission Service Providers (TSPs) should generally be apprised of the risk of curtailment </w:t>
      </w:r>
      <w:proofErr w:type="gramStart"/>
      <w:r w:rsidR="00250EA4">
        <w:rPr>
          <w:rFonts w:ascii="Arial" w:eastAsia="Arial" w:hAnsi="Arial" w:cs="Arial"/>
        </w:rPr>
        <w:t>in a given</w:t>
      </w:r>
      <w:proofErr w:type="gramEnd"/>
      <w:r w:rsidR="00250EA4">
        <w:rPr>
          <w:rFonts w:ascii="Arial" w:eastAsia="Arial" w:hAnsi="Arial" w:cs="Arial"/>
        </w:rPr>
        <w:t xml:space="preserve"> area</w:t>
      </w:r>
      <w:r w:rsidR="004A18BF">
        <w:rPr>
          <w:rFonts w:ascii="Arial" w:eastAsia="Arial" w:hAnsi="Arial" w:cs="Arial"/>
        </w:rPr>
        <w:t>, publicly disclosing the identit</w:t>
      </w:r>
      <w:r w:rsidR="00A066FE">
        <w:rPr>
          <w:rFonts w:ascii="Arial" w:eastAsia="Arial" w:hAnsi="Arial" w:cs="Arial"/>
        </w:rPr>
        <w:t>ies</w:t>
      </w:r>
      <w:r w:rsidR="004A18BF">
        <w:rPr>
          <w:rFonts w:ascii="Arial" w:eastAsia="Arial" w:hAnsi="Arial" w:cs="Arial"/>
        </w:rPr>
        <w:t xml:space="preserve"> of those impacted LELs </w:t>
      </w:r>
      <w:r w:rsidR="00A066FE">
        <w:rPr>
          <w:rFonts w:ascii="Arial" w:eastAsia="Arial" w:hAnsi="Arial" w:cs="Arial"/>
        </w:rPr>
        <w:t>c</w:t>
      </w:r>
      <w:r w:rsidR="004A18BF">
        <w:rPr>
          <w:rFonts w:ascii="Arial" w:eastAsia="Arial" w:hAnsi="Arial" w:cs="Arial"/>
        </w:rPr>
        <w:t>ould present confidentiality concerns</w:t>
      </w:r>
      <w:r w:rsidR="00A066FE">
        <w:rPr>
          <w:rFonts w:ascii="Arial" w:eastAsia="Arial" w:hAnsi="Arial" w:cs="Arial"/>
        </w:rPr>
        <w:t xml:space="preserve"> under existing Protocols</w:t>
      </w:r>
      <w:r w:rsidR="004A18BF">
        <w:rPr>
          <w:rFonts w:ascii="Arial" w:eastAsia="Arial" w:hAnsi="Arial" w:cs="Arial"/>
        </w:rPr>
        <w:t xml:space="preserve">.  </w:t>
      </w:r>
    </w:p>
    <w:p w14:paraId="4ADDE3B9" w14:textId="77777777" w:rsidR="00120E2C" w:rsidRDefault="00120E2C" w:rsidP="004C0D92">
      <w:pPr>
        <w:rPr>
          <w:rFonts w:ascii="Arial" w:eastAsia="Arial" w:hAnsi="Arial" w:cs="Arial"/>
        </w:rPr>
      </w:pPr>
    </w:p>
    <w:p w14:paraId="021B0F7F" w14:textId="700E9451" w:rsidR="00120E2C" w:rsidRDefault="00250EA4" w:rsidP="00120E2C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Recommendation</w:t>
      </w:r>
      <w:r w:rsidR="00120E2C" w:rsidRPr="007C1338">
        <w:rPr>
          <w:rFonts w:ascii="Arial" w:eastAsia="Arial" w:hAnsi="Arial" w:cs="Arial"/>
          <w:b/>
          <w:bCs/>
        </w:rPr>
        <w:t xml:space="preserve"> </w:t>
      </w:r>
      <w:r w:rsidR="00D57655">
        <w:rPr>
          <w:rFonts w:ascii="Arial" w:eastAsia="Arial" w:hAnsi="Arial" w:cs="Arial"/>
          <w:b/>
          <w:bCs/>
        </w:rPr>
        <w:t>4</w:t>
      </w:r>
      <w:r w:rsidR="00120E2C">
        <w:rPr>
          <w:rFonts w:ascii="Arial" w:eastAsia="Arial" w:hAnsi="Arial" w:cs="Arial"/>
        </w:rPr>
        <w:t xml:space="preserve">: </w:t>
      </w:r>
      <w:r w:rsidR="001B582F">
        <w:rPr>
          <w:rFonts w:ascii="Arial" w:eastAsia="Arial" w:hAnsi="Arial" w:cs="Arial"/>
        </w:rPr>
        <w:t>ERCOT should r</w:t>
      </w:r>
      <w:r w:rsidR="00D57655">
        <w:rPr>
          <w:rFonts w:ascii="Arial" w:eastAsia="Arial" w:hAnsi="Arial" w:cs="Arial"/>
        </w:rPr>
        <w:t xml:space="preserve">econsider </w:t>
      </w:r>
      <w:r>
        <w:rPr>
          <w:rFonts w:ascii="Arial" w:eastAsia="Arial" w:hAnsi="Arial" w:cs="Arial"/>
        </w:rPr>
        <w:t xml:space="preserve">the benefit of using </w:t>
      </w:r>
      <w:r w:rsidR="00A066FE">
        <w:rPr>
          <w:rFonts w:ascii="Arial" w:eastAsia="Arial" w:hAnsi="Arial" w:cs="Arial"/>
        </w:rPr>
        <w:t xml:space="preserve">transmission </w:t>
      </w:r>
      <w:r w:rsidR="00D57655">
        <w:rPr>
          <w:rFonts w:ascii="Arial" w:eastAsia="Arial" w:hAnsi="Arial" w:cs="Arial"/>
        </w:rPr>
        <w:t xml:space="preserve">system upgrades </w:t>
      </w:r>
      <w:r>
        <w:rPr>
          <w:rFonts w:ascii="Arial" w:eastAsia="Arial" w:hAnsi="Arial" w:cs="Arial"/>
        </w:rPr>
        <w:t>to address VRT concerns given the commercial impact that SOL-driven curtailments could have on LELs</w:t>
      </w:r>
      <w:r w:rsidR="00120E2C">
        <w:rPr>
          <w:rFonts w:ascii="Arial" w:eastAsia="Arial" w:hAnsi="Arial" w:cs="Arial"/>
        </w:rPr>
        <w:t>.</w:t>
      </w:r>
    </w:p>
    <w:p w14:paraId="45EC96AF" w14:textId="77777777" w:rsidR="004A18BF" w:rsidRDefault="004A18BF" w:rsidP="00120E2C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</w:p>
    <w:p w14:paraId="632A7C3D" w14:textId="0FEA346B" w:rsidR="004C0D92" w:rsidRDefault="00120E2C" w:rsidP="004C0D92">
      <w:pPr>
        <w:rPr>
          <w:rFonts w:ascii="Arial" w:eastAsia="Arial" w:hAnsi="Arial" w:cs="Arial"/>
        </w:rPr>
      </w:pPr>
      <w:r w:rsidRPr="007C1338">
        <w:rPr>
          <w:rFonts w:ascii="Arial" w:eastAsia="Arial" w:hAnsi="Arial" w:cs="Arial"/>
          <w:b/>
          <w:bCs/>
        </w:rPr>
        <w:t>ERCOT response</w:t>
      </w:r>
      <w:r>
        <w:rPr>
          <w:rFonts w:ascii="Arial" w:eastAsia="Arial" w:hAnsi="Arial" w:cs="Arial"/>
        </w:rPr>
        <w:t>:</w:t>
      </w:r>
      <w:r w:rsidR="00D57655">
        <w:rPr>
          <w:rFonts w:ascii="Arial" w:eastAsia="Arial" w:hAnsi="Arial" w:cs="Arial"/>
        </w:rPr>
        <w:t xml:space="preserve"> </w:t>
      </w:r>
      <w:r w:rsidR="00250EA4">
        <w:rPr>
          <w:rFonts w:ascii="Arial" w:eastAsia="Arial" w:hAnsi="Arial" w:cs="Arial"/>
        </w:rPr>
        <w:t>ERC</w:t>
      </w:r>
      <w:r w:rsidR="00250EA4" w:rsidRPr="00276BE1">
        <w:rPr>
          <w:rFonts w:ascii="Arial" w:eastAsia="Arial" w:hAnsi="Arial" w:cs="Arial"/>
        </w:rPr>
        <w:t xml:space="preserve">OT stands by its conclusion that only a VRT requirement can </w:t>
      </w:r>
      <w:r w:rsidR="00A066FE" w:rsidRPr="00276BE1">
        <w:rPr>
          <w:rFonts w:ascii="Arial" w:eastAsia="Arial" w:hAnsi="Arial" w:cs="Arial"/>
        </w:rPr>
        <w:t xml:space="preserve">fully mitigate the </w:t>
      </w:r>
      <w:r w:rsidR="00E13178" w:rsidRPr="00276BE1">
        <w:rPr>
          <w:rFonts w:ascii="Arial" w:eastAsia="Arial" w:hAnsi="Arial" w:cs="Arial"/>
        </w:rPr>
        <w:t xml:space="preserve">voltage </w:t>
      </w:r>
      <w:r w:rsidR="00A066FE" w:rsidRPr="00276BE1">
        <w:rPr>
          <w:rFonts w:ascii="Arial" w:eastAsia="Arial" w:hAnsi="Arial" w:cs="Arial"/>
        </w:rPr>
        <w:t xml:space="preserve">ride-through risks that LELs pose to grid reliability.  </w:t>
      </w:r>
      <w:r w:rsidR="00B41CFA" w:rsidRPr="00276BE1">
        <w:rPr>
          <w:rFonts w:ascii="Arial" w:eastAsia="Arial" w:hAnsi="Arial" w:cs="Arial"/>
        </w:rPr>
        <w:t xml:space="preserve">Nevertheless, </w:t>
      </w:r>
      <w:r w:rsidR="00D57655" w:rsidRPr="00276BE1">
        <w:rPr>
          <w:rFonts w:ascii="Arial" w:eastAsia="Arial" w:hAnsi="Arial" w:cs="Arial"/>
        </w:rPr>
        <w:t>ERCOT sug</w:t>
      </w:r>
      <w:r w:rsidR="00D57655">
        <w:rPr>
          <w:rFonts w:ascii="Arial" w:eastAsia="Arial" w:hAnsi="Arial" w:cs="Arial"/>
        </w:rPr>
        <w:t xml:space="preserve">gests that this comment </w:t>
      </w:r>
      <w:r w:rsidR="00B41CFA">
        <w:rPr>
          <w:rFonts w:ascii="Arial" w:eastAsia="Arial" w:hAnsi="Arial" w:cs="Arial"/>
        </w:rPr>
        <w:t xml:space="preserve">may have some relevance to </w:t>
      </w:r>
      <w:r w:rsidR="00D57655">
        <w:rPr>
          <w:rFonts w:ascii="Arial" w:eastAsia="Arial" w:hAnsi="Arial" w:cs="Arial"/>
        </w:rPr>
        <w:lastRenderedPageBreak/>
        <w:t xml:space="preserve">stakeholder discussions </w:t>
      </w:r>
      <w:r w:rsidR="00B41CFA">
        <w:rPr>
          <w:rFonts w:ascii="Arial" w:eastAsia="Arial" w:hAnsi="Arial" w:cs="Arial"/>
        </w:rPr>
        <w:t xml:space="preserve">regarding </w:t>
      </w:r>
      <w:r w:rsidR="00D57655">
        <w:rPr>
          <w:rFonts w:ascii="Arial" w:eastAsia="Arial" w:hAnsi="Arial" w:cs="Arial"/>
        </w:rPr>
        <w:t>Planning Guide Revision Request (PGRR) 122, Reliability Performance Criteria for Loss of Load.</w:t>
      </w:r>
      <w:r w:rsidR="00EF231C">
        <w:rPr>
          <w:rFonts w:ascii="Arial" w:eastAsia="Arial" w:hAnsi="Arial" w:cs="Arial"/>
        </w:rPr>
        <w:t xml:space="preserve"> ERCOT </w:t>
      </w:r>
      <w:r w:rsidR="00B41CFA">
        <w:rPr>
          <w:rFonts w:ascii="Arial" w:eastAsia="Arial" w:hAnsi="Arial" w:cs="Arial"/>
        </w:rPr>
        <w:t xml:space="preserve">anticipates </w:t>
      </w:r>
      <w:r w:rsidR="00EF231C">
        <w:rPr>
          <w:rFonts w:ascii="Arial" w:eastAsia="Arial" w:hAnsi="Arial" w:cs="Arial"/>
        </w:rPr>
        <w:t>that PGRR122 discussions will be informed by the ongoing LEL VRT-related stability studies, which ERCOT plans to complete in the first half of 2026.</w:t>
      </w:r>
    </w:p>
    <w:p w14:paraId="5CD7C294" w14:textId="77777777" w:rsidR="004C0D92" w:rsidRPr="009438AB" w:rsidRDefault="004C0D92" w:rsidP="004C0D92">
      <w:pPr>
        <w:rPr>
          <w:rFonts w:ascii="Arial" w:hAnsi="Arial"/>
          <w:lang w:val="en-US"/>
        </w:rPr>
      </w:pPr>
    </w:p>
    <w:tbl>
      <w:tblPr>
        <w:tblW w:w="1044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440"/>
      </w:tblGrid>
      <w:tr w:rsidR="009438AB" w:rsidRPr="009438AB" w14:paraId="0D0A4690" w14:textId="77777777" w:rsidTr="00230F4E">
        <w:trPr>
          <w:trHeight w:val="350"/>
        </w:trPr>
        <w:tc>
          <w:tcPr>
            <w:tcW w:w="1044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A586AE9" w14:textId="77777777" w:rsidR="009438AB" w:rsidRPr="009438AB" w:rsidRDefault="009438AB" w:rsidP="009438AB">
            <w:pPr>
              <w:tabs>
                <w:tab w:val="center" w:pos="4320"/>
                <w:tab w:val="right" w:pos="8640"/>
              </w:tabs>
              <w:jc w:val="center"/>
              <w:rPr>
                <w:rFonts w:ascii="Arial" w:hAnsi="Arial"/>
                <w:b/>
                <w:bCs/>
                <w:lang w:val="en-US"/>
              </w:rPr>
            </w:pPr>
            <w:r w:rsidRPr="009438AB">
              <w:rPr>
                <w:rFonts w:ascii="Arial" w:hAnsi="Arial"/>
                <w:b/>
                <w:bCs/>
                <w:lang w:val="en-US"/>
              </w:rPr>
              <w:t>Revised Cover Page Language</w:t>
            </w:r>
          </w:p>
        </w:tc>
      </w:tr>
    </w:tbl>
    <w:p w14:paraId="5E41B496" w14:textId="77777777" w:rsidR="009438AB" w:rsidRPr="009438AB" w:rsidRDefault="009438AB" w:rsidP="009438AB">
      <w:pPr>
        <w:spacing w:before="120" w:after="120"/>
        <w:rPr>
          <w:rFonts w:ascii="Arial" w:hAnsi="Arial"/>
          <w:lang w:val="en-US"/>
        </w:rPr>
      </w:pPr>
      <w:r w:rsidRPr="009438AB">
        <w:rPr>
          <w:rFonts w:ascii="Arial" w:hAnsi="Arial"/>
          <w:lang w:val="en-US"/>
        </w:rPr>
        <w:t>None</w:t>
      </w:r>
    </w:p>
    <w:tbl>
      <w:tblPr>
        <w:tblW w:w="1044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440"/>
      </w:tblGrid>
      <w:tr w:rsidR="009438AB" w:rsidRPr="009438AB" w14:paraId="09F1CC3A" w14:textId="77777777" w:rsidTr="00230F4E">
        <w:trPr>
          <w:trHeight w:val="350"/>
        </w:trPr>
        <w:tc>
          <w:tcPr>
            <w:tcW w:w="1044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9B9DA20" w14:textId="77777777" w:rsidR="009438AB" w:rsidRPr="009438AB" w:rsidRDefault="009438AB" w:rsidP="009438AB">
            <w:pPr>
              <w:tabs>
                <w:tab w:val="center" w:pos="4320"/>
                <w:tab w:val="right" w:pos="8640"/>
              </w:tabs>
              <w:jc w:val="center"/>
              <w:rPr>
                <w:rFonts w:ascii="Arial" w:hAnsi="Arial"/>
                <w:b/>
                <w:bCs/>
                <w:lang w:val="en-US"/>
              </w:rPr>
            </w:pPr>
            <w:r w:rsidRPr="009438AB">
              <w:rPr>
                <w:rFonts w:ascii="Arial" w:hAnsi="Arial"/>
                <w:b/>
                <w:bCs/>
                <w:lang w:val="en-US"/>
              </w:rPr>
              <w:t>Revised Proposed Protocol Language</w:t>
            </w:r>
          </w:p>
        </w:tc>
      </w:tr>
    </w:tbl>
    <w:p w14:paraId="57BD27D8" w14:textId="237ABB0D" w:rsidR="00331912" w:rsidRPr="009438AB" w:rsidRDefault="009438AB" w:rsidP="009438AB">
      <w:pPr>
        <w:spacing w:before="120" w:after="120"/>
        <w:rPr>
          <w:rFonts w:ascii="Arial" w:hAnsi="Arial"/>
          <w:lang w:val="en-US"/>
        </w:rPr>
      </w:pPr>
      <w:r w:rsidRPr="009438AB">
        <w:rPr>
          <w:rFonts w:ascii="Arial" w:hAnsi="Arial"/>
          <w:lang w:val="en-US"/>
        </w:rPr>
        <w:t>None</w:t>
      </w:r>
    </w:p>
    <w:sectPr w:rsidR="00331912" w:rsidRPr="009438A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EB05A9" w14:textId="77777777" w:rsidR="00F92FB3" w:rsidRDefault="00F92FB3">
      <w:r>
        <w:separator/>
      </w:r>
    </w:p>
  </w:endnote>
  <w:endnote w:type="continuationSeparator" w:id="0">
    <w:p w14:paraId="6C7E199B" w14:textId="77777777" w:rsidR="00F92FB3" w:rsidRDefault="00F92F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ADB5834-426F-4BD1-AA6F-DD0761AC377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5C6B3341-6572-47C2-967F-7A843F8749C2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3" w:fontKey="{8E4AEEDD-7AE7-4098-B966-D95308A37D69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927B01C6-1B0B-4F0C-B321-9AB6659642F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E4B0DEF-BBCA-4C85-A120-4A5362CC20C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08EF17" w14:textId="77777777" w:rsidR="00737A84" w:rsidRDefault="00737A84">
    <w:pPr>
      <w:pStyle w:val="Footer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00E75E" w14:textId="6C958640" w:rsidR="00A11FB8" w:rsidRDefault="0033191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right" w:pos="9360"/>
      </w:tabs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color w:val="000000"/>
        <w:sz w:val="18"/>
        <w:szCs w:val="18"/>
      </w:rPr>
      <w:t>1308</w:t>
    </w:r>
    <w:r w:rsidR="00F92FB3">
      <w:rPr>
        <w:rFonts w:ascii="Arial" w:eastAsia="Arial" w:hAnsi="Arial" w:cs="Arial"/>
        <w:color w:val="000000"/>
        <w:sz w:val="18"/>
        <w:szCs w:val="18"/>
      </w:rPr>
      <w:t>NPRR</w:t>
    </w:r>
    <w:r>
      <w:rPr>
        <w:rFonts w:ascii="Arial" w:eastAsia="Arial" w:hAnsi="Arial" w:cs="Arial"/>
        <w:color w:val="000000"/>
        <w:sz w:val="18"/>
        <w:szCs w:val="18"/>
      </w:rPr>
      <w:t>-</w:t>
    </w:r>
    <w:r w:rsidR="00276BE1">
      <w:rPr>
        <w:rFonts w:ascii="Arial" w:eastAsia="Arial" w:hAnsi="Arial" w:cs="Arial"/>
        <w:color w:val="000000"/>
        <w:sz w:val="18"/>
        <w:szCs w:val="18"/>
      </w:rPr>
      <w:t>0</w:t>
    </w:r>
    <w:r w:rsidR="00F13237">
      <w:rPr>
        <w:rFonts w:ascii="Arial" w:eastAsia="Arial" w:hAnsi="Arial" w:cs="Arial"/>
        <w:color w:val="000000"/>
        <w:sz w:val="18"/>
        <w:szCs w:val="18"/>
      </w:rPr>
      <w:t>4</w:t>
    </w:r>
    <w:r>
      <w:rPr>
        <w:rFonts w:ascii="Arial" w:eastAsia="Arial" w:hAnsi="Arial" w:cs="Arial"/>
        <w:color w:val="000000"/>
        <w:sz w:val="18"/>
        <w:szCs w:val="18"/>
      </w:rPr>
      <w:t xml:space="preserve"> </w:t>
    </w:r>
    <w:r w:rsidR="009C7887">
      <w:rPr>
        <w:rFonts w:ascii="Arial" w:eastAsia="Arial" w:hAnsi="Arial" w:cs="Arial"/>
        <w:color w:val="000000"/>
        <w:sz w:val="18"/>
        <w:szCs w:val="18"/>
      </w:rPr>
      <w:t>ERCOT</w:t>
    </w:r>
    <w:r w:rsidR="00F92FB3">
      <w:rPr>
        <w:rFonts w:ascii="Arial" w:eastAsia="Arial" w:hAnsi="Arial" w:cs="Arial"/>
        <w:color w:val="000000"/>
        <w:sz w:val="18"/>
        <w:szCs w:val="18"/>
      </w:rPr>
      <w:t xml:space="preserve"> Comment</w:t>
    </w:r>
    <w:r>
      <w:rPr>
        <w:rFonts w:ascii="Arial" w:eastAsia="Arial" w:hAnsi="Arial" w:cs="Arial"/>
        <w:color w:val="000000"/>
        <w:sz w:val="18"/>
        <w:szCs w:val="18"/>
      </w:rPr>
      <w:t>s</w:t>
    </w:r>
    <w:r w:rsidR="00F92FB3">
      <w:rPr>
        <w:rFonts w:ascii="Arial" w:eastAsia="Arial" w:hAnsi="Arial" w:cs="Arial"/>
        <w:color w:val="000000"/>
        <w:sz w:val="18"/>
        <w:szCs w:val="18"/>
      </w:rPr>
      <w:t xml:space="preserve"> </w:t>
    </w:r>
    <w:r>
      <w:rPr>
        <w:rFonts w:ascii="Arial" w:eastAsia="Arial" w:hAnsi="Arial" w:cs="Arial"/>
        <w:color w:val="000000"/>
        <w:sz w:val="18"/>
        <w:szCs w:val="18"/>
      </w:rPr>
      <w:t>1</w:t>
    </w:r>
    <w:r w:rsidR="00276BE1">
      <w:rPr>
        <w:rFonts w:ascii="Arial" w:eastAsia="Arial" w:hAnsi="Arial" w:cs="Arial"/>
        <w:color w:val="000000"/>
        <w:sz w:val="18"/>
        <w:szCs w:val="18"/>
      </w:rPr>
      <w:t>210</w:t>
    </w:r>
    <w:r>
      <w:rPr>
        <w:rFonts w:ascii="Arial" w:eastAsia="Arial" w:hAnsi="Arial" w:cs="Arial"/>
        <w:color w:val="000000"/>
        <w:sz w:val="18"/>
        <w:szCs w:val="18"/>
      </w:rPr>
      <w:t>25</w:t>
    </w:r>
    <w:r w:rsidR="00F92FB3">
      <w:rPr>
        <w:rFonts w:ascii="Arial" w:eastAsia="Arial" w:hAnsi="Arial" w:cs="Arial"/>
        <w:color w:val="000000"/>
        <w:sz w:val="18"/>
        <w:szCs w:val="18"/>
      </w:rPr>
      <w:tab/>
    </w:r>
    <w:r>
      <w:rPr>
        <w:rFonts w:ascii="Arial" w:eastAsia="Arial" w:hAnsi="Arial" w:cs="Arial"/>
        <w:color w:val="000000"/>
        <w:sz w:val="18"/>
        <w:szCs w:val="18"/>
      </w:rPr>
      <w:tab/>
    </w:r>
    <w:r w:rsidR="00F92FB3">
      <w:rPr>
        <w:rFonts w:ascii="Arial" w:eastAsia="Arial" w:hAnsi="Arial" w:cs="Arial"/>
        <w:color w:val="000000"/>
        <w:sz w:val="18"/>
        <w:szCs w:val="18"/>
      </w:rPr>
      <w:t xml:space="preserve">Page </w:t>
    </w:r>
    <w:r w:rsidR="00F92FB3">
      <w:rPr>
        <w:rFonts w:ascii="Arial" w:eastAsia="Arial" w:hAnsi="Arial" w:cs="Arial"/>
        <w:color w:val="000000"/>
        <w:sz w:val="18"/>
        <w:szCs w:val="18"/>
      </w:rPr>
      <w:fldChar w:fldCharType="begin"/>
    </w:r>
    <w:r w:rsidR="00F92FB3">
      <w:rPr>
        <w:rFonts w:ascii="Arial" w:eastAsia="Arial" w:hAnsi="Arial" w:cs="Arial"/>
        <w:color w:val="000000"/>
        <w:sz w:val="18"/>
        <w:szCs w:val="18"/>
      </w:rPr>
      <w:instrText>PAGE</w:instrText>
    </w:r>
    <w:r w:rsidR="00F92FB3">
      <w:rPr>
        <w:rFonts w:ascii="Arial" w:eastAsia="Arial" w:hAnsi="Arial" w:cs="Arial"/>
        <w:color w:val="000000"/>
        <w:sz w:val="18"/>
        <w:szCs w:val="18"/>
      </w:rPr>
      <w:fldChar w:fldCharType="separate"/>
    </w:r>
    <w:r w:rsidR="00737A84">
      <w:rPr>
        <w:rFonts w:ascii="Arial" w:eastAsia="Arial" w:hAnsi="Arial" w:cs="Arial"/>
        <w:noProof/>
        <w:color w:val="000000"/>
        <w:sz w:val="18"/>
        <w:szCs w:val="18"/>
      </w:rPr>
      <w:t>1</w:t>
    </w:r>
    <w:r w:rsidR="00F92FB3">
      <w:rPr>
        <w:rFonts w:ascii="Arial" w:eastAsia="Arial" w:hAnsi="Arial" w:cs="Arial"/>
        <w:color w:val="000000"/>
        <w:sz w:val="18"/>
        <w:szCs w:val="18"/>
      </w:rPr>
      <w:fldChar w:fldCharType="end"/>
    </w:r>
    <w:r w:rsidR="00F92FB3">
      <w:rPr>
        <w:rFonts w:ascii="Arial" w:eastAsia="Arial" w:hAnsi="Arial" w:cs="Arial"/>
        <w:color w:val="000000"/>
        <w:sz w:val="18"/>
        <w:szCs w:val="18"/>
      </w:rPr>
      <w:t xml:space="preserve"> of </w:t>
    </w:r>
    <w:r w:rsidR="00F92FB3">
      <w:rPr>
        <w:rFonts w:ascii="Arial" w:eastAsia="Arial" w:hAnsi="Arial" w:cs="Arial"/>
        <w:color w:val="000000"/>
        <w:sz w:val="18"/>
        <w:szCs w:val="18"/>
      </w:rPr>
      <w:fldChar w:fldCharType="begin"/>
    </w:r>
    <w:r w:rsidR="00F92FB3">
      <w:rPr>
        <w:rFonts w:ascii="Arial" w:eastAsia="Arial" w:hAnsi="Arial" w:cs="Arial"/>
        <w:color w:val="000000"/>
        <w:sz w:val="18"/>
        <w:szCs w:val="18"/>
      </w:rPr>
      <w:instrText>NUMPAGES</w:instrText>
    </w:r>
    <w:r w:rsidR="00F92FB3">
      <w:rPr>
        <w:rFonts w:ascii="Arial" w:eastAsia="Arial" w:hAnsi="Arial" w:cs="Arial"/>
        <w:color w:val="000000"/>
        <w:sz w:val="18"/>
        <w:szCs w:val="18"/>
      </w:rPr>
      <w:fldChar w:fldCharType="separate"/>
    </w:r>
    <w:r w:rsidR="00737A84">
      <w:rPr>
        <w:rFonts w:ascii="Arial" w:eastAsia="Arial" w:hAnsi="Arial" w:cs="Arial"/>
        <w:noProof/>
        <w:color w:val="000000"/>
        <w:sz w:val="18"/>
        <w:szCs w:val="18"/>
      </w:rPr>
      <w:t>2</w:t>
    </w:r>
    <w:r w:rsidR="00F92FB3">
      <w:rPr>
        <w:rFonts w:ascii="Arial" w:eastAsia="Arial" w:hAnsi="Arial" w:cs="Arial"/>
        <w:color w:val="000000"/>
        <w:sz w:val="18"/>
        <w:szCs w:val="18"/>
      </w:rPr>
      <w:fldChar w:fldCharType="end"/>
    </w:r>
  </w:p>
  <w:p w14:paraId="0BB8C629" w14:textId="77777777" w:rsidR="00A11FB8" w:rsidRDefault="00F92F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right" w:pos="9360"/>
      </w:tabs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color w:val="000000"/>
        <w:sz w:val="18"/>
        <w:szCs w:val="18"/>
      </w:rPr>
      <w:t>PUBLIC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B8CB18" w14:textId="77777777" w:rsidR="00737A84" w:rsidRDefault="00737A84">
    <w:pPr>
      <w:pStyle w:val="Footer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DDD722" w14:textId="77777777" w:rsidR="00F92FB3" w:rsidRDefault="00F92FB3">
      <w:r>
        <w:separator/>
      </w:r>
    </w:p>
  </w:footnote>
  <w:footnote w:type="continuationSeparator" w:id="0">
    <w:p w14:paraId="33703FE4" w14:textId="77777777" w:rsidR="00F92FB3" w:rsidRDefault="00F92FB3">
      <w:r>
        <w:continuationSeparator/>
      </w:r>
    </w:p>
  </w:footnote>
  <w:footnote w:id="1">
    <w:p w14:paraId="046E6E14" w14:textId="77777777" w:rsidR="003C55F5" w:rsidRPr="00EE1C7A" w:rsidRDefault="003C55F5" w:rsidP="003C55F5">
      <w:pPr>
        <w:pStyle w:val="FootnoteText"/>
        <w:rPr>
          <w:rFonts w:ascii="Arial" w:hAnsi="Arial" w:cs="Arial"/>
          <w:lang w:val="en-US"/>
        </w:rPr>
      </w:pPr>
      <w:r w:rsidRPr="00EE1C7A">
        <w:rPr>
          <w:rStyle w:val="FootnoteReference"/>
          <w:rFonts w:ascii="Arial" w:hAnsi="Arial" w:cs="Arial"/>
        </w:rPr>
        <w:footnoteRef/>
      </w:r>
      <w:r w:rsidRPr="00EE1C7A">
        <w:rPr>
          <w:rFonts w:ascii="Arial" w:hAnsi="Arial" w:cs="Arial"/>
        </w:rPr>
        <w:t xml:space="preserve"> </w:t>
      </w:r>
      <w:r w:rsidRPr="00EE1C7A">
        <w:rPr>
          <w:rFonts w:ascii="Arial" w:hAnsi="Arial" w:cs="Arial"/>
          <w:lang w:val="en-US"/>
        </w:rPr>
        <w:t xml:space="preserve">See Market Notice </w:t>
      </w:r>
      <w:hyperlink r:id="rId1" w:history="1">
        <w:r w:rsidRPr="00EE1C7A">
          <w:rPr>
            <w:rStyle w:val="Hyperlink"/>
            <w:rFonts w:ascii="Arial" w:hAnsi="Arial" w:cs="Arial"/>
            <w:position w:val="0"/>
            <w:lang w:val="en-US"/>
          </w:rPr>
          <w:t>M-B062325-01</w:t>
        </w:r>
      </w:hyperlink>
      <w:r w:rsidRPr="00EE1C7A">
        <w:rPr>
          <w:rFonts w:ascii="Arial" w:hAnsi="Arial" w:cs="Arial"/>
          <w:lang w:val="en-US"/>
        </w:rPr>
        <w:t>.</w:t>
      </w:r>
    </w:p>
  </w:footnote>
  <w:footnote w:id="2">
    <w:p w14:paraId="1B81950A" w14:textId="77777777" w:rsidR="003C55F5" w:rsidRPr="00EE1C7A" w:rsidRDefault="003C55F5" w:rsidP="003C55F5">
      <w:pPr>
        <w:pStyle w:val="FootnoteText"/>
        <w:rPr>
          <w:rFonts w:ascii="Arial" w:hAnsi="Arial" w:cs="Arial"/>
          <w:lang w:val="en-US"/>
        </w:rPr>
      </w:pPr>
      <w:r w:rsidRPr="00EE1C7A">
        <w:rPr>
          <w:rStyle w:val="FootnoteReference"/>
          <w:rFonts w:ascii="Arial" w:hAnsi="Arial" w:cs="Arial"/>
        </w:rPr>
        <w:footnoteRef/>
      </w:r>
      <w:r w:rsidRPr="00EE1C7A">
        <w:rPr>
          <w:rFonts w:ascii="Arial" w:hAnsi="Arial" w:cs="Arial"/>
        </w:rPr>
        <w:t xml:space="preserve"> </w:t>
      </w:r>
      <w:hyperlink r:id="rId2" w:history="1">
        <w:r w:rsidRPr="00EE1C7A">
          <w:rPr>
            <w:rStyle w:val="Hyperlink"/>
            <w:rFonts w:ascii="Arial" w:hAnsi="Arial" w:cs="Arial"/>
            <w:position w:val="0"/>
          </w:rPr>
          <w:t>https://www.ercot.com/files/docs/2025/10/03/Interim-LEL-VRT-assessment-process_LLWG_09192025_revised.pdf</w:t>
        </w:r>
      </w:hyperlink>
      <w:r w:rsidRPr="00EE1C7A">
        <w:rPr>
          <w:rFonts w:ascii="Arial" w:hAnsi="Arial" w:cs="Arial"/>
        </w:rPr>
        <w:t xml:space="preserve">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0C04BB" w14:textId="77777777" w:rsidR="00737A84" w:rsidRDefault="00737A84">
    <w:pPr>
      <w:pStyle w:val="Header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59F5BF" w14:textId="53BA7B05" w:rsidR="00A11FB8" w:rsidRPr="00737A84" w:rsidRDefault="00F92FB3" w:rsidP="00737A8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Arial" w:eastAsia="Arial" w:hAnsi="Arial" w:cs="Arial"/>
        <w:b/>
        <w:bCs/>
        <w:color w:val="000000"/>
        <w:sz w:val="32"/>
        <w:szCs w:val="32"/>
      </w:rPr>
    </w:pPr>
    <w:r>
      <w:rPr>
        <w:rFonts w:ascii="Arial" w:eastAsia="Arial" w:hAnsi="Arial" w:cs="Arial"/>
        <w:b/>
        <w:bCs/>
        <w:color w:val="000000"/>
        <w:sz w:val="32"/>
        <w:szCs w:val="32"/>
      </w:rPr>
      <w:t>NPRR Comments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B519BF" w14:textId="77777777" w:rsidR="00737A84" w:rsidRDefault="00737A84">
    <w:pPr>
      <w:pStyle w:val="Header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9247D0"/>
    <w:multiLevelType w:val="multilevel"/>
    <w:tmpl w:val="94701F62"/>
    <w:lvl w:ilvl="0">
      <w:start w:val="1"/>
      <w:numFmt w:val="decimal"/>
      <w:pStyle w:val="Heading11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pStyle w:val="Heading21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pStyle w:val="Heading31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pStyle w:val="Heading41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47985919"/>
    <w:multiLevelType w:val="hybridMultilevel"/>
    <w:tmpl w:val="60AAB6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B111A0"/>
    <w:multiLevelType w:val="multilevel"/>
    <w:tmpl w:val="ADCE6AD8"/>
    <w:lvl w:ilvl="0">
      <w:start w:val="1"/>
      <w:numFmt w:val="decimal"/>
      <w:pStyle w:val="Bulle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006589487">
    <w:abstractNumId w:val="0"/>
  </w:num>
  <w:num w:numId="2" w16cid:durableId="541284065">
    <w:abstractNumId w:val="2"/>
  </w:num>
  <w:num w:numId="3" w16cid:durableId="1667492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1FB8"/>
    <w:rsid w:val="00006485"/>
    <w:rsid w:val="000304F2"/>
    <w:rsid w:val="00113BD2"/>
    <w:rsid w:val="0012082D"/>
    <w:rsid w:val="00120E2C"/>
    <w:rsid w:val="00176EA1"/>
    <w:rsid w:val="00196A79"/>
    <w:rsid w:val="001B2C5E"/>
    <w:rsid w:val="001B582F"/>
    <w:rsid w:val="001B5BFE"/>
    <w:rsid w:val="001D4F62"/>
    <w:rsid w:val="00215283"/>
    <w:rsid w:val="00225E65"/>
    <w:rsid w:val="00234313"/>
    <w:rsid w:val="00250EA4"/>
    <w:rsid w:val="002713ED"/>
    <w:rsid w:val="00276BE1"/>
    <w:rsid w:val="00293013"/>
    <w:rsid w:val="002C4457"/>
    <w:rsid w:val="002D324D"/>
    <w:rsid w:val="002F0421"/>
    <w:rsid w:val="003100CA"/>
    <w:rsid w:val="003210C5"/>
    <w:rsid w:val="00331912"/>
    <w:rsid w:val="003464F1"/>
    <w:rsid w:val="0034752E"/>
    <w:rsid w:val="00377506"/>
    <w:rsid w:val="003C55F5"/>
    <w:rsid w:val="003D1BF5"/>
    <w:rsid w:val="00414D27"/>
    <w:rsid w:val="00427963"/>
    <w:rsid w:val="004A18BF"/>
    <w:rsid w:val="004C0D92"/>
    <w:rsid w:val="00550310"/>
    <w:rsid w:val="005F2298"/>
    <w:rsid w:val="00643B0B"/>
    <w:rsid w:val="006A17DC"/>
    <w:rsid w:val="006B46F7"/>
    <w:rsid w:val="006F0B89"/>
    <w:rsid w:val="00700BC4"/>
    <w:rsid w:val="00737A84"/>
    <w:rsid w:val="00766E68"/>
    <w:rsid w:val="00776F2F"/>
    <w:rsid w:val="007B245B"/>
    <w:rsid w:val="007B64F7"/>
    <w:rsid w:val="007C1338"/>
    <w:rsid w:val="0082726A"/>
    <w:rsid w:val="008856B8"/>
    <w:rsid w:val="008D29DE"/>
    <w:rsid w:val="008E769C"/>
    <w:rsid w:val="00914C32"/>
    <w:rsid w:val="00917A3B"/>
    <w:rsid w:val="009438AB"/>
    <w:rsid w:val="009614CD"/>
    <w:rsid w:val="009C7887"/>
    <w:rsid w:val="009E0CC5"/>
    <w:rsid w:val="009F360F"/>
    <w:rsid w:val="00A04FA2"/>
    <w:rsid w:val="00A066FE"/>
    <w:rsid w:val="00A11FB8"/>
    <w:rsid w:val="00AA4BB3"/>
    <w:rsid w:val="00B159BD"/>
    <w:rsid w:val="00B41CFA"/>
    <w:rsid w:val="00B743A2"/>
    <w:rsid w:val="00B97F83"/>
    <w:rsid w:val="00C77F06"/>
    <w:rsid w:val="00C953A8"/>
    <w:rsid w:val="00D34BDB"/>
    <w:rsid w:val="00D57655"/>
    <w:rsid w:val="00DE03E5"/>
    <w:rsid w:val="00E13178"/>
    <w:rsid w:val="00E37483"/>
    <w:rsid w:val="00ED05B2"/>
    <w:rsid w:val="00EF2212"/>
    <w:rsid w:val="00EF231C"/>
    <w:rsid w:val="00F13237"/>
    <w:rsid w:val="00F42D33"/>
    <w:rsid w:val="00F92FB3"/>
    <w:rsid w:val="00FF6A43"/>
    <w:rsid w:val="00FF7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D101AA"/>
  <w15:docId w15:val="{B5601F12-598A-450A-898A-D61E9AFC4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paragraph" w:styleId="Heading7">
    <w:name w:val="heading 7"/>
    <w:basedOn w:val="Normal"/>
    <w:next w:val="Normal"/>
    <w:pPr>
      <w:suppressAutoHyphens/>
      <w:spacing w:before="240" w:after="60" w:line="1" w:lineRule="atLeast"/>
      <w:ind w:leftChars="-1" w:left="-1" w:hangingChars="1" w:hanging="1"/>
      <w:textDirection w:val="btLr"/>
      <w:textAlignment w:val="top"/>
      <w:outlineLvl w:val="6"/>
    </w:pPr>
    <w:rPr>
      <w:position w:val="-1"/>
      <w:szCs w:val="20"/>
      <w:lang w:val="en-US"/>
    </w:rPr>
  </w:style>
  <w:style w:type="paragraph" w:styleId="Heading8">
    <w:name w:val="heading 8"/>
    <w:basedOn w:val="Normal"/>
    <w:next w:val="Normal"/>
    <w:pPr>
      <w:suppressAutoHyphens/>
      <w:spacing w:before="240" w:after="60" w:line="1" w:lineRule="atLeast"/>
      <w:ind w:leftChars="-1" w:left="-1" w:hangingChars="1" w:hanging="1"/>
      <w:textDirection w:val="btLr"/>
      <w:textAlignment w:val="top"/>
      <w:outlineLvl w:val="7"/>
    </w:pPr>
    <w:rPr>
      <w:i/>
      <w:position w:val="-1"/>
      <w:szCs w:val="20"/>
      <w:lang w:val="en-US"/>
    </w:rPr>
  </w:style>
  <w:style w:type="paragraph" w:styleId="Heading9">
    <w:name w:val="heading 9"/>
    <w:basedOn w:val="Normal"/>
    <w:next w:val="Normal"/>
    <w:pPr>
      <w:suppressAutoHyphens/>
      <w:spacing w:before="240" w:after="60" w:line="1" w:lineRule="atLeast"/>
      <w:ind w:leftChars="-1" w:left="-1" w:hangingChars="1" w:hanging="1"/>
      <w:textDirection w:val="btLr"/>
      <w:textAlignment w:val="top"/>
      <w:outlineLvl w:val="8"/>
    </w:pPr>
    <w:rPr>
      <w:rFonts w:ascii="Arial" w:hAnsi="Arial"/>
      <w:position w:val="-1"/>
      <w:sz w:val="22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Heading11">
    <w:name w:val="Heading 11"/>
    <w:aliases w:val="h1"/>
    <w:basedOn w:val="Normal"/>
    <w:next w:val="Normal"/>
    <w:pPr>
      <w:keepNext/>
      <w:numPr>
        <w:numId w:val="1"/>
      </w:numPr>
      <w:suppressAutoHyphens/>
      <w:spacing w:after="240" w:line="1" w:lineRule="atLeast"/>
      <w:ind w:leftChars="-1" w:left="-1" w:hangingChars="1" w:hanging="1"/>
      <w:textDirection w:val="btLr"/>
      <w:textAlignment w:val="top"/>
      <w:outlineLvl w:val="0"/>
    </w:pPr>
    <w:rPr>
      <w:b/>
      <w:caps/>
      <w:position w:val="-1"/>
      <w:szCs w:val="20"/>
      <w:lang w:val="en-US"/>
    </w:rPr>
  </w:style>
  <w:style w:type="paragraph" w:customStyle="1" w:styleId="Heading21">
    <w:name w:val="Heading 21"/>
    <w:aliases w:val="h2"/>
    <w:basedOn w:val="Normal"/>
    <w:next w:val="Normal"/>
    <w:pPr>
      <w:keepNext/>
      <w:numPr>
        <w:ilvl w:val="1"/>
        <w:numId w:val="1"/>
      </w:numPr>
      <w:suppressAutoHyphens/>
      <w:spacing w:before="240" w:after="240" w:line="1" w:lineRule="atLeast"/>
      <w:ind w:leftChars="-1" w:left="-1" w:hangingChars="1" w:hanging="1"/>
      <w:textDirection w:val="btLr"/>
      <w:textAlignment w:val="top"/>
      <w:outlineLvl w:val="1"/>
    </w:pPr>
    <w:rPr>
      <w:b/>
      <w:position w:val="-1"/>
      <w:szCs w:val="20"/>
      <w:lang w:val="en-US"/>
    </w:rPr>
  </w:style>
  <w:style w:type="paragraph" w:customStyle="1" w:styleId="Heading31">
    <w:name w:val="Heading 31"/>
    <w:aliases w:val="h3"/>
    <w:basedOn w:val="Normal"/>
    <w:next w:val="Normal"/>
    <w:pPr>
      <w:keepNext/>
      <w:numPr>
        <w:ilvl w:val="2"/>
        <w:numId w:val="1"/>
      </w:numPr>
      <w:suppressAutoHyphens/>
      <w:spacing w:before="120" w:after="120" w:line="1" w:lineRule="atLeast"/>
      <w:ind w:leftChars="-1" w:left="-1" w:hangingChars="1" w:hanging="1"/>
      <w:textDirection w:val="btLr"/>
      <w:textAlignment w:val="top"/>
      <w:outlineLvl w:val="2"/>
    </w:pPr>
    <w:rPr>
      <w:b/>
      <w:bCs/>
      <w:i/>
      <w:iCs/>
      <w:position w:val="-1"/>
      <w:szCs w:val="20"/>
      <w:lang w:val="en-US"/>
    </w:rPr>
  </w:style>
  <w:style w:type="paragraph" w:customStyle="1" w:styleId="Heading41">
    <w:name w:val="Heading 41"/>
    <w:aliases w:val="h4"/>
    <w:basedOn w:val="Normal"/>
    <w:next w:val="Normal"/>
    <w:pPr>
      <w:keepNext/>
      <w:widowControl w:val="0"/>
      <w:numPr>
        <w:ilvl w:val="3"/>
        <w:numId w:val="1"/>
      </w:numPr>
      <w:suppressAutoHyphens/>
      <w:spacing w:before="360" w:after="240" w:line="1" w:lineRule="atLeast"/>
      <w:ind w:leftChars="-1" w:left="-1" w:hangingChars="1" w:hanging="1"/>
      <w:textDirection w:val="btLr"/>
      <w:textAlignment w:val="top"/>
      <w:outlineLvl w:val="3"/>
    </w:pPr>
    <w:rPr>
      <w:b/>
      <w:bCs/>
      <w:snapToGrid w:val="0"/>
      <w:position w:val="-1"/>
      <w:szCs w:val="20"/>
      <w:lang w:val="en-US"/>
    </w:rPr>
  </w:style>
  <w:style w:type="paragraph" w:customStyle="1" w:styleId="Heading51">
    <w:name w:val="Heading 51"/>
    <w:aliases w:val="h5"/>
    <w:basedOn w:val="Normal"/>
    <w:next w:val="Normal"/>
    <w:pPr>
      <w:suppressAutoHyphens/>
      <w:spacing w:before="240" w:after="60" w:line="1" w:lineRule="atLeast"/>
      <w:ind w:leftChars="-1" w:left="-1" w:hangingChars="1" w:hanging="1"/>
      <w:textDirection w:val="btLr"/>
      <w:textAlignment w:val="top"/>
      <w:outlineLvl w:val="4"/>
    </w:pPr>
    <w:rPr>
      <w:b/>
      <w:i/>
      <w:position w:val="-1"/>
      <w:sz w:val="26"/>
      <w:szCs w:val="20"/>
      <w:lang w:val="en-US"/>
    </w:rPr>
  </w:style>
  <w:style w:type="paragraph" w:customStyle="1" w:styleId="Heading61">
    <w:name w:val="Heading 61"/>
    <w:aliases w:val="h6"/>
    <w:basedOn w:val="Normal"/>
    <w:next w:val="Normal"/>
    <w:pPr>
      <w:suppressAutoHyphens/>
      <w:spacing w:before="240" w:after="60" w:line="1" w:lineRule="atLeast"/>
      <w:ind w:leftChars="-1" w:left="-1" w:hangingChars="1" w:hanging="1"/>
      <w:textDirection w:val="btLr"/>
      <w:textAlignment w:val="top"/>
      <w:outlineLvl w:val="5"/>
    </w:pPr>
    <w:rPr>
      <w:b/>
      <w:position w:val="-1"/>
      <w:sz w:val="22"/>
      <w:szCs w:val="20"/>
      <w:lang w:val="en-US"/>
    </w:rPr>
  </w:style>
  <w:style w:type="paragraph" w:styleId="Header">
    <w:name w:val="header"/>
    <w:basedOn w:val="Normal"/>
    <w:pPr>
      <w:tabs>
        <w:tab w:val="center" w:pos="4320"/>
        <w:tab w:val="right" w:pos="8640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hAnsi="Arial"/>
      <w:b/>
      <w:bCs/>
      <w:position w:val="-1"/>
      <w:lang w:val="en-US"/>
    </w:rPr>
  </w:style>
  <w:style w:type="paragraph" w:styleId="Footer">
    <w:name w:val="footer"/>
    <w:basedOn w:val="Normal"/>
    <w:pPr>
      <w:tabs>
        <w:tab w:val="center" w:pos="4320"/>
        <w:tab w:val="right" w:pos="8640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/>
    </w:rPr>
  </w:style>
  <w:style w:type="paragraph" w:customStyle="1" w:styleId="TXUNormal">
    <w:name w:val="TXUNormal"/>
    <w:pPr>
      <w:suppressAutoHyphens/>
      <w:spacing w:after="120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/>
    </w:rPr>
  </w:style>
  <w:style w:type="paragraph" w:customStyle="1" w:styleId="TXUHeader">
    <w:name w:val="TXUHeader"/>
    <w:basedOn w:val="TXUNormal"/>
    <w:pPr>
      <w:tabs>
        <w:tab w:val="right" w:pos="9360"/>
      </w:tabs>
      <w:spacing w:after="0"/>
    </w:pPr>
    <w:rPr>
      <w:noProof/>
      <w:sz w:val="16"/>
    </w:rPr>
  </w:style>
  <w:style w:type="paragraph" w:customStyle="1" w:styleId="TXUHeaderForm">
    <w:name w:val="TXUHeaderForm"/>
    <w:basedOn w:val="TXUHeader"/>
    <w:next w:val="Normal"/>
    <w:rPr>
      <w:sz w:val="24"/>
    </w:rPr>
  </w:style>
  <w:style w:type="paragraph" w:customStyle="1" w:styleId="TXUSubject">
    <w:name w:val="TXUSubject"/>
    <w:basedOn w:val="TXUNormal"/>
    <w:next w:val="TXUNormal"/>
    <w:pPr>
      <w:spacing w:after="240"/>
    </w:pPr>
    <w:rPr>
      <w:b/>
    </w:rPr>
  </w:style>
  <w:style w:type="paragraph" w:customStyle="1" w:styleId="TXUFooter">
    <w:name w:val="TXUFooter"/>
    <w:basedOn w:val="TXUNormal"/>
    <w:pPr>
      <w:pBdr>
        <w:top w:val="single" w:sz="4" w:space="1" w:color="auto"/>
      </w:pBdr>
      <w:tabs>
        <w:tab w:val="center" w:pos="4536"/>
        <w:tab w:val="right" w:pos="9360"/>
      </w:tabs>
      <w:spacing w:after="0"/>
    </w:pPr>
    <w:rPr>
      <w:sz w:val="16"/>
    </w:rPr>
  </w:style>
  <w:style w:type="paragraph" w:customStyle="1" w:styleId="TXUFooterPage">
    <w:name w:val="TXUFooterPage"/>
    <w:basedOn w:val="TXUFooter"/>
    <w:next w:val="TXUFooter"/>
    <w:rPr>
      <w:sz w:val="20"/>
    </w:rPr>
  </w:style>
  <w:style w:type="paragraph" w:customStyle="1" w:styleId="Comments">
    <w:name w:val="Comments"/>
    <w:basedOn w:val="Normal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CCCCCC"/>
      <w:suppressAutoHyphens/>
      <w:spacing w:before="120" w:after="120" w:line="1" w:lineRule="atLeast"/>
      <w:ind w:leftChars="-1" w:left="720" w:right="720" w:hangingChars="1" w:hanging="1"/>
      <w:textDirection w:val="btLr"/>
      <w:textAlignment w:val="top"/>
      <w:outlineLvl w:val="0"/>
    </w:pPr>
    <w:rPr>
      <w:position w:val="-1"/>
      <w:szCs w:val="20"/>
      <w:lang w:val="en-US"/>
    </w:rPr>
  </w:style>
  <w:style w:type="character" w:styleId="Hyperlink">
    <w:name w:val="Hyperlink"/>
    <w:basedOn w:val="DefaultParagraphFont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BodyText">
    <w:name w:val="Body Text"/>
    <w:basedOn w:val="Normal"/>
    <w:pPr>
      <w:suppressAutoHyphen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/>
    </w:rPr>
  </w:style>
  <w:style w:type="paragraph" w:styleId="BodyTextIndent">
    <w:name w:val="Body Text Indent"/>
    <w:basedOn w:val="Normal"/>
    <w:pPr>
      <w:suppressAutoHyphens/>
      <w:spacing w:before="120" w:after="120" w:line="1" w:lineRule="atLeast"/>
      <w:ind w:leftChars="-1" w:left="720" w:hangingChars="1" w:hanging="1"/>
      <w:textDirection w:val="btLr"/>
      <w:textAlignment w:val="top"/>
      <w:outlineLvl w:val="0"/>
    </w:pPr>
    <w:rPr>
      <w:position w:val="-1"/>
      <w:lang w:val="en-US"/>
    </w:rPr>
  </w:style>
  <w:style w:type="paragraph" w:customStyle="1" w:styleId="Bullet">
    <w:name w:val="Bullet"/>
    <w:basedOn w:val="Normal"/>
    <w:pPr>
      <w:numPr>
        <w:numId w:val="2"/>
      </w:numPr>
      <w:suppressAutoHyphens/>
      <w:spacing w:before="60" w:after="120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Cs w:val="20"/>
      <w:lang w:val="en-US"/>
    </w:rPr>
  </w:style>
  <w:style w:type="paragraph" w:styleId="BalloonText">
    <w:name w:val="Balloon Text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ahoma" w:hAnsi="Tahoma" w:cs="Tahoma"/>
      <w:position w:val="-1"/>
      <w:sz w:val="16"/>
      <w:szCs w:val="16"/>
      <w:lang w:val="en-US"/>
    </w:rPr>
  </w:style>
  <w:style w:type="paragraph" w:customStyle="1" w:styleId="NormalArial">
    <w:name w:val="Normal+Arial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hAnsi="Arial"/>
      <w:position w:val="-1"/>
      <w:lang w:val="en-US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CommentText">
    <w:name w:val="annotation text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rPr>
      <w:b/>
      <w:bCs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character" w:styleId="UnresolvedMention">
    <w:name w:val="Unresolved Mention"/>
    <w:basedOn w:val="DefaultParagraphFont"/>
    <w:uiPriority w:val="99"/>
    <w:semiHidden/>
    <w:unhideWhenUsed/>
    <w:rsid w:val="0033191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7C1338"/>
    <w:pPr>
      <w:ind w:left="720"/>
      <w:contextualSpacing/>
    </w:pPr>
  </w:style>
  <w:style w:type="paragraph" w:styleId="Revision">
    <w:name w:val="Revision"/>
    <w:hidden/>
    <w:uiPriority w:val="99"/>
    <w:semiHidden/>
    <w:rsid w:val="00293013"/>
  </w:style>
  <w:style w:type="paragraph" w:styleId="FootnoteText">
    <w:name w:val="footnote text"/>
    <w:basedOn w:val="Normal"/>
    <w:link w:val="FootnoteTextChar"/>
    <w:uiPriority w:val="99"/>
    <w:semiHidden/>
    <w:unhideWhenUsed/>
    <w:rsid w:val="009F360F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F360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F360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jbillo@ercot.com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mailto:chrismatos@google.com" TargetMode="Externa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https://www.ercot.com/mktrules/issues/NPRR1308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ercot.com/files/docs/2025/10/03/Interim-LEL-VRT-assessment-process_LLWG_09192025_revised.pdf" TargetMode="External"/><Relationship Id="rId1" Type="http://schemas.openxmlformats.org/officeDocument/2006/relationships/hyperlink" Target="https://www.ercot.com/services/comm/mkt_notices/M-B062325-0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yjLd56xJwSgYPgdIyn+/brwgUQ==">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36696EBC-C81C-468C-9932-A7573E7E81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752</Words>
  <Characters>4288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ERCOT</Company>
  <LinksUpToDate>false</LinksUpToDate>
  <CharactersWithSpaces>5030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ERCOT/if</dc:creator>
  <cp:lastModifiedBy>ERCOT</cp:lastModifiedBy>
  <cp:revision>3</cp:revision>
  <dcterms:created xsi:type="dcterms:W3CDTF">2025-12-10T18:31:00Z</dcterms:created>
  <dcterms:modified xsi:type="dcterms:W3CDTF">2025-12-10T18:32:00Z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084cbda-52b8-46fb-a7b7-cb5bd465ed85_Enabled">
    <vt:lpwstr>true</vt:lpwstr>
  </property>
  <property fmtid="{D5CDD505-2E9C-101B-9397-08002B2CF9AE}" pid="3" name="MSIP_Label_7084cbda-52b8-46fb-a7b7-cb5bd465ed85_SetDate">
    <vt:lpwstr>2025-12-04T13:03:29Z</vt:lpwstr>
  </property>
  <property fmtid="{D5CDD505-2E9C-101B-9397-08002B2CF9AE}" pid="4" name="MSIP_Label_7084cbda-52b8-46fb-a7b7-cb5bd465ed85_Method">
    <vt:lpwstr>Standard</vt:lpwstr>
  </property>
  <property fmtid="{D5CDD505-2E9C-101B-9397-08002B2CF9AE}" pid="5" name="MSIP_Label_7084cbda-52b8-46fb-a7b7-cb5bd465ed85_Name">
    <vt:lpwstr>Internal</vt:lpwstr>
  </property>
  <property fmtid="{D5CDD505-2E9C-101B-9397-08002B2CF9AE}" pid="6" name="MSIP_Label_7084cbda-52b8-46fb-a7b7-cb5bd465ed85_SiteId">
    <vt:lpwstr>0afb747d-bff7-4596-a9fc-950ef9e0ec45</vt:lpwstr>
  </property>
  <property fmtid="{D5CDD505-2E9C-101B-9397-08002B2CF9AE}" pid="7" name="MSIP_Label_7084cbda-52b8-46fb-a7b7-cb5bd465ed85_ActionId">
    <vt:lpwstr>e664732c-0659-4a1c-b43a-eeedd944d589</vt:lpwstr>
  </property>
  <property fmtid="{D5CDD505-2E9C-101B-9397-08002B2CF9AE}" pid="8" name="MSIP_Label_7084cbda-52b8-46fb-a7b7-cb5bd465ed85_ContentBits">
    <vt:lpwstr>0</vt:lpwstr>
  </property>
  <property fmtid="{D5CDD505-2E9C-101B-9397-08002B2CF9AE}" pid="9" name="MSIP_Label_7084cbda-52b8-46fb-a7b7-cb5bd465ed85_Tag">
    <vt:lpwstr>10, 3, 0, 1</vt:lpwstr>
  </property>
</Properties>
</file>