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900"/>
        <w:gridCol w:w="6660"/>
      </w:tblGrid>
      <w:tr w:rsidR="00A11FB8" w14:paraId="6AA008CA" w14:textId="77777777">
        <w:tc>
          <w:tcPr>
            <w:tcW w:w="1620" w:type="dxa"/>
            <w:tcBorders>
              <w:bottom w:val="single" w:sz="4" w:space="0" w:color="000000"/>
            </w:tcBorders>
            <w:shd w:val="clear" w:color="auto" w:fill="FFFFFF"/>
            <w:vAlign w:val="center"/>
          </w:tcPr>
          <w:p w14:paraId="10D7AEE2" w14:textId="77777777" w:rsidR="00A11FB8" w:rsidRDefault="00F92FB3">
            <w:pPr>
              <w:pBdr>
                <w:top w:val="nil"/>
                <w:left w:val="nil"/>
                <w:bottom w:val="nil"/>
                <w:right w:val="nil"/>
                <w:between w:val="nil"/>
              </w:pBdr>
              <w:tabs>
                <w:tab w:val="center" w:pos="4320"/>
                <w:tab w:val="right" w:pos="8640"/>
              </w:tabs>
              <w:rPr>
                <w:rFonts w:ascii="Verdana" w:eastAsia="Verdana" w:hAnsi="Verdana" w:cs="Verdana"/>
                <w:b/>
                <w:bCs/>
                <w:color w:val="000000"/>
                <w:sz w:val="22"/>
                <w:szCs w:val="22"/>
              </w:rPr>
            </w:pPr>
            <w:r>
              <w:rPr>
                <w:rFonts w:ascii="Arial" w:eastAsia="Arial" w:hAnsi="Arial" w:cs="Arial"/>
                <w:b/>
                <w:bCs/>
                <w:color w:val="000000"/>
              </w:rPr>
              <w:t>NPRR Number</w:t>
            </w:r>
          </w:p>
        </w:tc>
        <w:tc>
          <w:tcPr>
            <w:tcW w:w="1260" w:type="dxa"/>
            <w:tcBorders>
              <w:bottom w:val="single" w:sz="4" w:space="0" w:color="000000"/>
            </w:tcBorders>
            <w:vAlign w:val="center"/>
          </w:tcPr>
          <w:p w14:paraId="3D5CCA46" w14:textId="1349B827" w:rsidR="00A11FB8" w:rsidRDefault="00331912">
            <w:pPr>
              <w:pBdr>
                <w:top w:val="nil"/>
                <w:left w:val="nil"/>
                <w:bottom w:val="nil"/>
                <w:right w:val="nil"/>
                <w:between w:val="nil"/>
              </w:pBdr>
              <w:tabs>
                <w:tab w:val="center" w:pos="4320"/>
                <w:tab w:val="right" w:pos="8640"/>
              </w:tabs>
              <w:rPr>
                <w:rFonts w:ascii="Arial" w:eastAsia="Arial" w:hAnsi="Arial" w:cs="Arial"/>
                <w:b/>
                <w:bCs/>
                <w:color w:val="000000"/>
              </w:rPr>
            </w:pPr>
            <w:hyperlink r:id="rId8" w:history="1">
              <w:r w:rsidR="00F92FB3" w:rsidRPr="00331912">
                <w:rPr>
                  <w:rStyle w:val="Hyperlink"/>
                  <w:rFonts w:ascii="Arial" w:eastAsia="Arial" w:hAnsi="Arial" w:cs="Arial"/>
                  <w:b/>
                  <w:bCs/>
                  <w:position w:val="0"/>
                </w:rPr>
                <w:t>1308</w:t>
              </w:r>
            </w:hyperlink>
          </w:p>
        </w:tc>
        <w:tc>
          <w:tcPr>
            <w:tcW w:w="900" w:type="dxa"/>
            <w:tcBorders>
              <w:bottom w:val="single" w:sz="4" w:space="0" w:color="000000"/>
            </w:tcBorders>
            <w:shd w:val="clear" w:color="auto" w:fill="FFFFFF"/>
            <w:vAlign w:val="center"/>
          </w:tcPr>
          <w:p w14:paraId="2BC8C5C9"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NPRR Title</w:t>
            </w:r>
          </w:p>
        </w:tc>
        <w:tc>
          <w:tcPr>
            <w:tcW w:w="6660" w:type="dxa"/>
            <w:tcBorders>
              <w:bottom w:val="single" w:sz="4" w:space="0" w:color="000000"/>
            </w:tcBorders>
            <w:vAlign w:val="center"/>
          </w:tcPr>
          <w:p w14:paraId="50586824"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rPr>
              <w:t xml:space="preserve">Large </w:t>
            </w:r>
            <w:proofErr w:type="gramStart"/>
            <w:r>
              <w:rPr>
                <w:rFonts w:ascii="Arial" w:eastAsia="Arial" w:hAnsi="Arial" w:cs="Arial"/>
                <w:b/>
                <w:bCs/>
              </w:rPr>
              <w:t>Electronic Load</w:t>
            </w:r>
            <w:proofErr w:type="gramEnd"/>
            <w:r>
              <w:rPr>
                <w:rFonts w:ascii="Arial" w:eastAsia="Arial" w:hAnsi="Arial" w:cs="Arial"/>
                <w:b/>
                <w:bCs/>
              </w:rPr>
              <w:t xml:space="preserve"> Voltage Ride Through</w:t>
            </w:r>
          </w:p>
        </w:tc>
      </w:tr>
      <w:tr w:rsidR="00A11FB8" w14:paraId="7AD9CB42" w14:textId="77777777">
        <w:trPr>
          <w:trHeight w:val="413"/>
        </w:trPr>
        <w:tc>
          <w:tcPr>
            <w:tcW w:w="2880" w:type="dxa"/>
            <w:gridSpan w:val="2"/>
            <w:tcBorders>
              <w:top w:val="nil"/>
              <w:left w:val="nil"/>
              <w:bottom w:val="single" w:sz="4" w:space="0" w:color="000000"/>
              <w:right w:val="nil"/>
            </w:tcBorders>
            <w:vAlign w:val="center"/>
          </w:tcPr>
          <w:p w14:paraId="187E13D0" w14:textId="77777777" w:rsidR="00A11FB8" w:rsidRDefault="00A11FB8">
            <w:pPr>
              <w:pBdr>
                <w:top w:val="nil"/>
                <w:left w:val="nil"/>
                <w:bottom w:val="nil"/>
                <w:right w:val="nil"/>
                <w:between w:val="nil"/>
              </w:pBdr>
              <w:rPr>
                <w:rFonts w:ascii="Arial" w:eastAsia="Arial" w:hAnsi="Arial" w:cs="Arial"/>
                <w:color w:val="000000"/>
              </w:rPr>
            </w:pPr>
          </w:p>
        </w:tc>
        <w:tc>
          <w:tcPr>
            <w:tcW w:w="7560" w:type="dxa"/>
            <w:gridSpan w:val="2"/>
            <w:tcBorders>
              <w:top w:val="single" w:sz="4" w:space="0" w:color="000000"/>
              <w:left w:val="nil"/>
              <w:bottom w:val="nil"/>
              <w:right w:val="nil"/>
            </w:tcBorders>
            <w:vAlign w:val="center"/>
          </w:tcPr>
          <w:p w14:paraId="37CAD1A7" w14:textId="77777777" w:rsidR="00A11FB8" w:rsidRDefault="00A11FB8">
            <w:pPr>
              <w:pBdr>
                <w:top w:val="nil"/>
                <w:left w:val="nil"/>
                <w:bottom w:val="nil"/>
                <w:right w:val="nil"/>
                <w:between w:val="nil"/>
              </w:pBdr>
              <w:rPr>
                <w:rFonts w:ascii="Arial" w:eastAsia="Arial" w:hAnsi="Arial" w:cs="Arial"/>
                <w:color w:val="000000"/>
              </w:rPr>
            </w:pPr>
          </w:p>
        </w:tc>
      </w:tr>
      <w:tr w:rsidR="00A11FB8" w14:paraId="7C30690E" w14:textId="77777777">
        <w:trPr>
          <w:trHeight w:val="440"/>
        </w:trPr>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105789C8"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Date</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094D793A" w14:textId="6BEF012C" w:rsidR="00A11FB8" w:rsidRDefault="00F92FB3">
            <w:pPr>
              <w:pBdr>
                <w:top w:val="nil"/>
                <w:left w:val="nil"/>
                <w:bottom w:val="nil"/>
                <w:right w:val="nil"/>
                <w:between w:val="nil"/>
              </w:pBdr>
              <w:rPr>
                <w:rFonts w:ascii="Arial" w:eastAsia="Arial" w:hAnsi="Arial" w:cs="Arial"/>
                <w:color w:val="000000"/>
              </w:rPr>
            </w:pPr>
            <w:r>
              <w:rPr>
                <w:rFonts w:ascii="Arial" w:eastAsia="Arial" w:hAnsi="Arial" w:cs="Arial"/>
              </w:rPr>
              <w:t>Dec</w:t>
            </w:r>
            <w:r w:rsidR="00737A84">
              <w:rPr>
                <w:rFonts w:ascii="Arial" w:eastAsia="Arial" w:hAnsi="Arial" w:cs="Arial"/>
              </w:rPr>
              <w:t>ember 4</w:t>
            </w:r>
            <w:r>
              <w:rPr>
                <w:rFonts w:ascii="Arial" w:eastAsia="Arial" w:hAnsi="Arial" w:cs="Arial"/>
              </w:rPr>
              <w:t xml:space="preserve">, </w:t>
            </w:r>
            <w:proofErr w:type="gramStart"/>
            <w:r>
              <w:rPr>
                <w:rFonts w:ascii="Arial" w:eastAsia="Arial" w:hAnsi="Arial" w:cs="Arial"/>
              </w:rPr>
              <w:t>2025</w:t>
            </w:r>
            <w:proofErr w:type="gramEnd"/>
            <w:r>
              <w:rPr>
                <w:rFonts w:ascii="Arial" w:eastAsia="Arial" w:hAnsi="Arial" w:cs="Arial"/>
              </w:rPr>
              <w:t xml:space="preserve"> </w:t>
            </w:r>
          </w:p>
        </w:tc>
      </w:tr>
      <w:tr w:rsidR="00A11FB8" w14:paraId="1230152E" w14:textId="77777777">
        <w:trPr>
          <w:trHeight w:val="467"/>
        </w:trPr>
        <w:tc>
          <w:tcPr>
            <w:tcW w:w="2880" w:type="dxa"/>
            <w:gridSpan w:val="2"/>
            <w:tcBorders>
              <w:top w:val="single" w:sz="4" w:space="0" w:color="000000"/>
              <w:left w:val="nil"/>
              <w:bottom w:val="nil"/>
              <w:right w:val="nil"/>
            </w:tcBorders>
            <w:shd w:val="clear" w:color="auto" w:fill="FFFFFF"/>
            <w:vAlign w:val="center"/>
          </w:tcPr>
          <w:p w14:paraId="683B26C2" w14:textId="77777777" w:rsidR="00A11FB8" w:rsidRDefault="00A11FB8">
            <w:pPr>
              <w:pBdr>
                <w:top w:val="nil"/>
                <w:left w:val="nil"/>
                <w:bottom w:val="nil"/>
                <w:right w:val="nil"/>
                <w:between w:val="nil"/>
              </w:pBdr>
              <w:rPr>
                <w:rFonts w:ascii="Arial" w:eastAsia="Arial" w:hAnsi="Arial" w:cs="Arial"/>
                <w:color w:val="000000"/>
              </w:rPr>
            </w:pPr>
          </w:p>
        </w:tc>
        <w:tc>
          <w:tcPr>
            <w:tcW w:w="7560" w:type="dxa"/>
            <w:gridSpan w:val="2"/>
            <w:tcBorders>
              <w:top w:val="nil"/>
              <w:left w:val="nil"/>
              <w:bottom w:val="nil"/>
              <w:right w:val="nil"/>
            </w:tcBorders>
            <w:vAlign w:val="center"/>
          </w:tcPr>
          <w:p w14:paraId="404AD73D" w14:textId="77777777" w:rsidR="00A11FB8" w:rsidRDefault="00A11FB8">
            <w:pPr>
              <w:pBdr>
                <w:top w:val="nil"/>
                <w:left w:val="nil"/>
                <w:bottom w:val="nil"/>
                <w:right w:val="nil"/>
                <w:between w:val="nil"/>
              </w:pBdr>
              <w:rPr>
                <w:rFonts w:ascii="Arial" w:eastAsia="Arial" w:hAnsi="Arial" w:cs="Arial"/>
                <w:color w:val="000000"/>
              </w:rPr>
            </w:pPr>
          </w:p>
        </w:tc>
      </w:tr>
      <w:tr w:rsidR="00A11FB8" w14:paraId="4F061573" w14:textId="77777777">
        <w:trPr>
          <w:trHeight w:val="440"/>
        </w:trPr>
        <w:tc>
          <w:tcPr>
            <w:tcW w:w="10440" w:type="dxa"/>
            <w:gridSpan w:val="4"/>
            <w:tcBorders>
              <w:top w:val="single" w:sz="4" w:space="0" w:color="000000"/>
            </w:tcBorders>
            <w:shd w:val="clear" w:color="auto" w:fill="FFFFFF"/>
            <w:vAlign w:val="center"/>
          </w:tcPr>
          <w:p w14:paraId="59A94D44" w14:textId="77777777" w:rsidR="00A11FB8" w:rsidRDefault="00F92FB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Submitter’s Information</w:t>
            </w:r>
          </w:p>
        </w:tc>
      </w:tr>
      <w:tr w:rsidR="00A11FB8" w14:paraId="17DFC5C7" w14:textId="77777777">
        <w:trPr>
          <w:trHeight w:val="350"/>
        </w:trPr>
        <w:tc>
          <w:tcPr>
            <w:tcW w:w="2880" w:type="dxa"/>
            <w:gridSpan w:val="2"/>
            <w:shd w:val="clear" w:color="auto" w:fill="FFFFFF"/>
            <w:vAlign w:val="center"/>
          </w:tcPr>
          <w:p w14:paraId="3771BE43"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Name</w:t>
            </w:r>
          </w:p>
        </w:tc>
        <w:tc>
          <w:tcPr>
            <w:tcW w:w="7560" w:type="dxa"/>
            <w:gridSpan w:val="2"/>
            <w:vAlign w:val="center"/>
          </w:tcPr>
          <w:p w14:paraId="219CCFE2" w14:textId="77777777" w:rsidR="00A11FB8" w:rsidRPr="00F92FB3" w:rsidRDefault="00F92FB3">
            <w:pPr>
              <w:pBdr>
                <w:top w:val="nil"/>
                <w:left w:val="nil"/>
                <w:bottom w:val="nil"/>
                <w:right w:val="nil"/>
                <w:between w:val="nil"/>
              </w:pBdr>
              <w:rPr>
                <w:rFonts w:ascii="Arial" w:eastAsia="Arial" w:hAnsi="Arial" w:cs="Arial"/>
              </w:rPr>
            </w:pPr>
            <w:hyperlink r:id="rId9">
              <w:r w:rsidRPr="00F92FB3">
                <w:rPr>
                  <w:rFonts w:ascii="Arial" w:eastAsia="Arial" w:hAnsi="Arial" w:cs="Arial"/>
                </w:rPr>
                <w:t>Chris Matos</w:t>
              </w:r>
            </w:hyperlink>
          </w:p>
        </w:tc>
      </w:tr>
      <w:tr w:rsidR="00A11FB8" w14:paraId="49E0B5CF" w14:textId="77777777">
        <w:trPr>
          <w:trHeight w:val="350"/>
        </w:trPr>
        <w:tc>
          <w:tcPr>
            <w:tcW w:w="2880" w:type="dxa"/>
            <w:gridSpan w:val="2"/>
            <w:shd w:val="clear" w:color="auto" w:fill="FFFFFF"/>
            <w:vAlign w:val="center"/>
          </w:tcPr>
          <w:p w14:paraId="7EB3315D"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E-mail Address</w:t>
            </w:r>
          </w:p>
        </w:tc>
        <w:tc>
          <w:tcPr>
            <w:tcW w:w="7560" w:type="dxa"/>
            <w:gridSpan w:val="2"/>
            <w:vAlign w:val="center"/>
          </w:tcPr>
          <w:p w14:paraId="3B79C754" w14:textId="77777777" w:rsidR="00A11FB8" w:rsidRDefault="00F92FB3">
            <w:pPr>
              <w:pBdr>
                <w:top w:val="nil"/>
                <w:left w:val="nil"/>
                <w:bottom w:val="nil"/>
                <w:right w:val="nil"/>
                <w:between w:val="nil"/>
              </w:pBdr>
              <w:rPr>
                <w:rFonts w:ascii="Arial" w:eastAsia="Arial" w:hAnsi="Arial" w:cs="Arial"/>
                <w:color w:val="000000"/>
              </w:rPr>
            </w:pPr>
            <w:hyperlink r:id="rId10">
              <w:r>
                <w:rPr>
                  <w:rFonts w:ascii="Arial" w:eastAsia="Arial" w:hAnsi="Arial" w:cs="Arial"/>
                  <w:color w:val="1155CC"/>
                  <w:u w:val="single"/>
                </w:rPr>
                <w:t>chrismatos@google.com</w:t>
              </w:r>
            </w:hyperlink>
            <w:r>
              <w:rPr>
                <w:rFonts w:ascii="Arial" w:eastAsia="Arial" w:hAnsi="Arial" w:cs="Arial"/>
              </w:rPr>
              <w:t xml:space="preserve"> </w:t>
            </w:r>
          </w:p>
        </w:tc>
      </w:tr>
      <w:tr w:rsidR="00A11FB8" w14:paraId="15E1CD60" w14:textId="77777777">
        <w:trPr>
          <w:trHeight w:val="350"/>
        </w:trPr>
        <w:tc>
          <w:tcPr>
            <w:tcW w:w="2880" w:type="dxa"/>
            <w:gridSpan w:val="2"/>
            <w:shd w:val="clear" w:color="auto" w:fill="FFFFFF"/>
            <w:vAlign w:val="center"/>
          </w:tcPr>
          <w:p w14:paraId="4CABAD4D"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Company</w:t>
            </w:r>
          </w:p>
        </w:tc>
        <w:tc>
          <w:tcPr>
            <w:tcW w:w="7560" w:type="dxa"/>
            <w:gridSpan w:val="2"/>
            <w:vAlign w:val="center"/>
          </w:tcPr>
          <w:p w14:paraId="71243A69" w14:textId="77777777" w:rsidR="00A11FB8" w:rsidRDefault="00F92FB3">
            <w:pPr>
              <w:pBdr>
                <w:top w:val="nil"/>
                <w:left w:val="nil"/>
                <w:bottom w:val="nil"/>
                <w:right w:val="nil"/>
                <w:between w:val="nil"/>
              </w:pBdr>
              <w:rPr>
                <w:rFonts w:ascii="Arial" w:eastAsia="Arial" w:hAnsi="Arial" w:cs="Arial"/>
                <w:color w:val="000000"/>
              </w:rPr>
            </w:pPr>
            <w:r>
              <w:rPr>
                <w:rFonts w:ascii="Arial" w:eastAsia="Arial" w:hAnsi="Arial" w:cs="Arial"/>
              </w:rPr>
              <w:t>Google LLC</w:t>
            </w:r>
          </w:p>
        </w:tc>
      </w:tr>
      <w:tr w:rsidR="00A11FB8" w14:paraId="1DD38C7C" w14:textId="77777777">
        <w:trPr>
          <w:trHeight w:val="350"/>
        </w:trPr>
        <w:tc>
          <w:tcPr>
            <w:tcW w:w="2880" w:type="dxa"/>
            <w:gridSpan w:val="2"/>
            <w:tcBorders>
              <w:bottom w:val="single" w:sz="4" w:space="0" w:color="000000"/>
            </w:tcBorders>
            <w:shd w:val="clear" w:color="auto" w:fill="FFFFFF"/>
            <w:vAlign w:val="center"/>
          </w:tcPr>
          <w:p w14:paraId="12909FD7"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Phone Number</w:t>
            </w:r>
          </w:p>
        </w:tc>
        <w:tc>
          <w:tcPr>
            <w:tcW w:w="7560" w:type="dxa"/>
            <w:gridSpan w:val="2"/>
            <w:tcBorders>
              <w:bottom w:val="single" w:sz="4" w:space="0" w:color="000000"/>
            </w:tcBorders>
            <w:vAlign w:val="center"/>
          </w:tcPr>
          <w:p w14:paraId="5150A4EA" w14:textId="77777777" w:rsidR="00A11FB8" w:rsidRDefault="00A11FB8">
            <w:pPr>
              <w:pBdr>
                <w:top w:val="nil"/>
                <w:left w:val="nil"/>
                <w:bottom w:val="nil"/>
                <w:right w:val="nil"/>
                <w:between w:val="nil"/>
              </w:pBdr>
              <w:rPr>
                <w:rFonts w:ascii="Arial" w:eastAsia="Arial" w:hAnsi="Arial" w:cs="Arial"/>
                <w:color w:val="000000"/>
              </w:rPr>
            </w:pPr>
          </w:p>
        </w:tc>
      </w:tr>
      <w:tr w:rsidR="00A11FB8" w14:paraId="378442BE" w14:textId="77777777">
        <w:trPr>
          <w:trHeight w:val="350"/>
        </w:trPr>
        <w:tc>
          <w:tcPr>
            <w:tcW w:w="2880" w:type="dxa"/>
            <w:gridSpan w:val="2"/>
            <w:shd w:val="clear" w:color="auto" w:fill="FFFFFF"/>
            <w:vAlign w:val="center"/>
          </w:tcPr>
          <w:p w14:paraId="57C144F7"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Cell Number</w:t>
            </w:r>
          </w:p>
        </w:tc>
        <w:tc>
          <w:tcPr>
            <w:tcW w:w="7560" w:type="dxa"/>
            <w:gridSpan w:val="2"/>
            <w:tcBorders>
              <w:bottom w:val="single" w:sz="4" w:space="0" w:color="000000"/>
            </w:tcBorders>
            <w:vAlign w:val="center"/>
          </w:tcPr>
          <w:p w14:paraId="2C7FA25B" w14:textId="3FD4C3D5" w:rsidR="00A11FB8" w:rsidRDefault="00F92FB3">
            <w:pPr>
              <w:rPr>
                <w:rFonts w:ascii="Arial" w:eastAsia="Arial" w:hAnsi="Arial" w:cs="Arial"/>
              </w:rPr>
            </w:pPr>
            <w:r>
              <w:rPr>
                <w:rFonts w:ascii="Arial" w:eastAsia="Arial" w:hAnsi="Arial" w:cs="Arial"/>
              </w:rPr>
              <w:t>650</w:t>
            </w:r>
            <w:r w:rsidR="00737A84">
              <w:rPr>
                <w:rFonts w:ascii="Arial" w:eastAsia="Arial" w:hAnsi="Arial" w:cs="Arial"/>
              </w:rPr>
              <w:t>-</w:t>
            </w:r>
            <w:r>
              <w:rPr>
                <w:rFonts w:ascii="Arial" w:eastAsia="Arial" w:hAnsi="Arial" w:cs="Arial"/>
              </w:rPr>
              <w:t>930</w:t>
            </w:r>
            <w:r w:rsidR="00737A84">
              <w:rPr>
                <w:rFonts w:ascii="Arial" w:eastAsia="Arial" w:hAnsi="Arial" w:cs="Arial"/>
              </w:rPr>
              <w:t>-</w:t>
            </w:r>
            <w:r>
              <w:rPr>
                <w:rFonts w:ascii="Arial" w:eastAsia="Arial" w:hAnsi="Arial" w:cs="Arial"/>
              </w:rPr>
              <w:t>6764</w:t>
            </w:r>
          </w:p>
        </w:tc>
      </w:tr>
      <w:tr w:rsidR="00A11FB8" w14:paraId="4008578C" w14:textId="77777777">
        <w:trPr>
          <w:trHeight w:val="350"/>
        </w:trPr>
        <w:tc>
          <w:tcPr>
            <w:tcW w:w="2880" w:type="dxa"/>
            <w:gridSpan w:val="2"/>
            <w:tcBorders>
              <w:bottom w:val="single" w:sz="4" w:space="0" w:color="000000"/>
            </w:tcBorders>
            <w:shd w:val="clear" w:color="auto" w:fill="FFFFFF"/>
            <w:vAlign w:val="center"/>
          </w:tcPr>
          <w:p w14:paraId="68014A03" w14:textId="77777777" w:rsidR="00A11FB8" w:rsidRDefault="00F92FB3">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Market Segment</w:t>
            </w:r>
          </w:p>
        </w:tc>
        <w:tc>
          <w:tcPr>
            <w:tcW w:w="7560" w:type="dxa"/>
            <w:gridSpan w:val="2"/>
            <w:tcBorders>
              <w:bottom w:val="single" w:sz="4" w:space="0" w:color="000000"/>
            </w:tcBorders>
            <w:vAlign w:val="center"/>
          </w:tcPr>
          <w:p w14:paraId="148150E0" w14:textId="3943FCDA" w:rsidR="00A11FB8" w:rsidRDefault="00F92FB3">
            <w:pPr>
              <w:pBdr>
                <w:top w:val="nil"/>
                <w:left w:val="nil"/>
                <w:bottom w:val="nil"/>
                <w:right w:val="nil"/>
                <w:between w:val="nil"/>
              </w:pBdr>
              <w:rPr>
                <w:rFonts w:ascii="Arial" w:eastAsia="Arial" w:hAnsi="Arial" w:cs="Arial"/>
                <w:color w:val="000000"/>
              </w:rPr>
            </w:pPr>
            <w:r>
              <w:rPr>
                <w:rFonts w:ascii="Arial" w:eastAsia="Arial" w:hAnsi="Arial" w:cs="Arial"/>
              </w:rPr>
              <w:t>Industrial</w:t>
            </w:r>
            <w:r w:rsidR="00737A84">
              <w:rPr>
                <w:rFonts w:ascii="Arial" w:eastAsia="Arial" w:hAnsi="Arial" w:cs="Arial"/>
              </w:rPr>
              <w:t xml:space="preserve"> Consumer</w:t>
            </w:r>
          </w:p>
        </w:tc>
      </w:tr>
    </w:tbl>
    <w:p w14:paraId="5591021A" w14:textId="77777777" w:rsidR="00A11FB8" w:rsidRDefault="00A11FB8">
      <w:pPr>
        <w:pBdr>
          <w:top w:val="nil"/>
          <w:left w:val="nil"/>
          <w:bottom w:val="nil"/>
          <w:right w:val="nil"/>
          <w:between w:val="nil"/>
        </w:pBdr>
        <w:rPr>
          <w:rFonts w:ascii="Arial" w:eastAsia="Arial" w:hAnsi="Arial" w:cs="Arial"/>
          <w:color w:val="000000"/>
        </w:rPr>
      </w:pPr>
    </w:p>
    <w:tbl>
      <w:tblPr>
        <w:tblStyle w:val="a4"/>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A11FB8" w14:paraId="282393F6" w14:textId="77777777">
        <w:trPr>
          <w:trHeight w:val="422"/>
          <w:jc w:val="center"/>
        </w:trPr>
        <w:tc>
          <w:tcPr>
            <w:tcW w:w="10440" w:type="dxa"/>
            <w:vAlign w:val="center"/>
          </w:tcPr>
          <w:p w14:paraId="370A7B29" w14:textId="77777777" w:rsidR="00A11FB8" w:rsidRDefault="00F92FB3">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Comments</w:t>
            </w:r>
          </w:p>
        </w:tc>
      </w:tr>
    </w:tbl>
    <w:p w14:paraId="77F00374" w14:textId="77777777" w:rsidR="00A11FB8" w:rsidRDefault="00A11FB8">
      <w:pPr>
        <w:pBdr>
          <w:top w:val="nil"/>
          <w:left w:val="nil"/>
          <w:bottom w:val="nil"/>
          <w:right w:val="nil"/>
          <w:between w:val="nil"/>
        </w:pBdr>
        <w:rPr>
          <w:rFonts w:ascii="Arial" w:eastAsia="Arial" w:hAnsi="Arial" w:cs="Arial"/>
          <w:color w:val="000000"/>
        </w:rPr>
      </w:pPr>
    </w:p>
    <w:p w14:paraId="4DC17718" w14:textId="56A68124" w:rsidR="00A11FB8" w:rsidRDefault="00F92FB3">
      <w:pPr>
        <w:pBdr>
          <w:top w:val="nil"/>
          <w:left w:val="nil"/>
          <w:bottom w:val="nil"/>
          <w:right w:val="nil"/>
          <w:between w:val="nil"/>
        </w:pBdr>
        <w:rPr>
          <w:rFonts w:ascii="Arial" w:eastAsia="Arial" w:hAnsi="Arial" w:cs="Arial"/>
        </w:rPr>
      </w:pPr>
      <w:r>
        <w:rPr>
          <w:rFonts w:ascii="Arial" w:eastAsia="Arial" w:hAnsi="Arial" w:cs="Arial"/>
        </w:rPr>
        <w:t xml:space="preserve">Google submits these comments relating to </w:t>
      </w:r>
      <w:r w:rsidR="00737A84">
        <w:rPr>
          <w:rFonts w:ascii="Arial" w:eastAsia="Arial" w:hAnsi="Arial" w:cs="Arial"/>
        </w:rPr>
        <w:t>Nodal Protocol Revision Request (</w:t>
      </w:r>
      <w:r>
        <w:rPr>
          <w:rFonts w:ascii="Arial" w:eastAsia="Arial" w:hAnsi="Arial" w:cs="Arial"/>
        </w:rPr>
        <w:t>NPRR</w:t>
      </w:r>
      <w:r w:rsidR="00737A84">
        <w:rPr>
          <w:rFonts w:ascii="Arial" w:eastAsia="Arial" w:hAnsi="Arial" w:cs="Arial"/>
        </w:rPr>
        <w:t>)</w:t>
      </w:r>
      <w:r>
        <w:rPr>
          <w:rFonts w:ascii="Arial" w:eastAsia="Arial" w:hAnsi="Arial" w:cs="Arial"/>
        </w:rPr>
        <w:t xml:space="preserve"> 1308 and relating to </w:t>
      </w:r>
      <w:r w:rsidR="00331912">
        <w:rPr>
          <w:rFonts w:ascii="Arial" w:eastAsia="Arial" w:hAnsi="Arial" w:cs="Arial"/>
        </w:rPr>
        <w:t>s</w:t>
      </w:r>
      <w:r>
        <w:rPr>
          <w:rFonts w:ascii="Arial" w:eastAsia="Arial" w:hAnsi="Arial" w:cs="Arial"/>
        </w:rPr>
        <w:t xml:space="preserve">ystem </w:t>
      </w:r>
      <w:r w:rsidR="00331912">
        <w:rPr>
          <w:rFonts w:ascii="Arial" w:eastAsia="Arial" w:hAnsi="Arial" w:cs="Arial"/>
        </w:rPr>
        <w:t>o</w:t>
      </w:r>
      <w:r>
        <w:rPr>
          <w:rFonts w:ascii="Arial" w:eastAsia="Arial" w:hAnsi="Arial" w:cs="Arial"/>
        </w:rPr>
        <w:t xml:space="preserve">perating </w:t>
      </w:r>
      <w:r w:rsidR="00331912">
        <w:rPr>
          <w:rFonts w:ascii="Arial" w:eastAsia="Arial" w:hAnsi="Arial" w:cs="Arial"/>
        </w:rPr>
        <w:t>l</w:t>
      </w:r>
      <w:r>
        <w:rPr>
          <w:rFonts w:ascii="Arial" w:eastAsia="Arial" w:hAnsi="Arial" w:cs="Arial"/>
        </w:rPr>
        <w:t>imit (</w:t>
      </w:r>
      <w:r w:rsidR="00331912">
        <w:rPr>
          <w:rFonts w:ascii="Arial" w:eastAsia="Arial" w:hAnsi="Arial" w:cs="Arial"/>
        </w:rPr>
        <w:t>“</w:t>
      </w:r>
      <w:r>
        <w:rPr>
          <w:rFonts w:ascii="Arial" w:eastAsia="Arial" w:hAnsi="Arial" w:cs="Arial"/>
        </w:rPr>
        <w:t>SOL</w:t>
      </w:r>
      <w:r w:rsidR="00331912">
        <w:rPr>
          <w:rFonts w:ascii="Arial" w:eastAsia="Arial" w:hAnsi="Arial" w:cs="Arial"/>
        </w:rPr>
        <w:t>”</w:t>
      </w:r>
      <w:r>
        <w:rPr>
          <w:rFonts w:ascii="Arial" w:eastAsia="Arial" w:hAnsi="Arial" w:cs="Arial"/>
        </w:rPr>
        <w:t xml:space="preserve">) at the request of the Large Load Working Group (LLWG).  </w:t>
      </w:r>
    </w:p>
    <w:p w14:paraId="1202BA99" w14:textId="77777777" w:rsidR="00A11FB8" w:rsidRDefault="00A11FB8">
      <w:pPr>
        <w:pBdr>
          <w:top w:val="nil"/>
          <w:left w:val="nil"/>
          <w:bottom w:val="nil"/>
          <w:right w:val="nil"/>
          <w:between w:val="nil"/>
        </w:pBdr>
        <w:rPr>
          <w:rFonts w:ascii="Arial" w:eastAsia="Arial" w:hAnsi="Arial" w:cs="Arial"/>
        </w:rPr>
      </w:pPr>
    </w:p>
    <w:p w14:paraId="0DBD421F" w14:textId="053FF03D" w:rsidR="00A11FB8" w:rsidRDefault="00F92FB3">
      <w:pPr>
        <w:pBdr>
          <w:top w:val="nil"/>
          <w:left w:val="nil"/>
          <w:bottom w:val="nil"/>
          <w:right w:val="nil"/>
          <w:between w:val="nil"/>
        </w:pBdr>
        <w:rPr>
          <w:rFonts w:ascii="Arial" w:eastAsia="Arial" w:hAnsi="Arial" w:cs="Arial"/>
        </w:rPr>
      </w:pPr>
      <w:r>
        <w:rPr>
          <w:rFonts w:ascii="Arial" w:eastAsia="Arial" w:hAnsi="Arial" w:cs="Arial"/>
        </w:rPr>
        <w:t xml:space="preserve">At its November 20, </w:t>
      </w:r>
      <w:proofErr w:type="gramStart"/>
      <w:r>
        <w:rPr>
          <w:rFonts w:ascii="Arial" w:eastAsia="Arial" w:hAnsi="Arial" w:cs="Arial"/>
        </w:rPr>
        <w:t>2025</w:t>
      </w:r>
      <w:proofErr w:type="gramEnd"/>
      <w:r>
        <w:rPr>
          <w:rFonts w:ascii="Arial" w:eastAsia="Arial" w:hAnsi="Arial" w:cs="Arial"/>
        </w:rPr>
        <w:t xml:space="preserve"> meeting, ERCOT proposed both a </w:t>
      </w:r>
      <w:r w:rsidR="00331912">
        <w:rPr>
          <w:rFonts w:ascii="Arial" w:eastAsia="Arial" w:hAnsi="Arial" w:cs="Arial"/>
        </w:rPr>
        <w:t>v</w:t>
      </w:r>
      <w:r>
        <w:rPr>
          <w:rFonts w:ascii="Arial" w:eastAsia="Arial" w:hAnsi="Arial" w:cs="Arial"/>
        </w:rPr>
        <w:t xml:space="preserve">oltage </w:t>
      </w:r>
      <w:r w:rsidR="00331912">
        <w:rPr>
          <w:rFonts w:ascii="Arial" w:eastAsia="Arial" w:hAnsi="Arial" w:cs="Arial"/>
        </w:rPr>
        <w:t>r</w:t>
      </w:r>
      <w:r>
        <w:rPr>
          <w:rFonts w:ascii="Arial" w:eastAsia="Arial" w:hAnsi="Arial" w:cs="Arial"/>
        </w:rPr>
        <w:t>ide</w:t>
      </w:r>
      <w:r w:rsidR="00331912">
        <w:rPr>
          <w:rFonts w:ascii="Arial" w:eastAsia="Arial" w:hAnsi="Arial" w:cs="Arial"/>
        </w:rPr>
        <w:t>-t</w:t>
      </w:r>
      <w:r>
        <w:rPr>
          <w:rFonts w:ascii="Arial" w:eastAsia="Arial" w:hAnsi="Arial" w:cs="Arial"/>
        </w:rPr>
        <w:t>hrough (</w:t>
      </w:r>
      <w:r w:rsidR="00331912">
        <w:rPr>
          <w:rFonts w:ascii="Arial" w:eastAsia="Arial" w:hAnsi="Arial" w:cs="Arial"/>
        </w:rPr>
        <w:t>“</w:t>
      </w:r>
      <w:r>
        <w:rPr>
          <w:rFonts w:ascii="Arial" w:eastAsia="Arial" w:hAnsi="Arial" w:cs="Arial"/>
        </w:rPr>
        <w:t>VRT</w:t>
      </w:r>
      <w:r w:rsidR="00331912">
        <w:rPr>
          <w:rFonts w:ascii="Arial" w:eastAsia="Arial" w:hAnsi="Arial" w:cs="Arial"/>
        </w:rPr>
        <w:t>”</w:t>
      </w:r>
      <w:r>
        <w:rPr>
          <w:rFonts w:ascii="Arial" w:eastAsia="Arial" w:hAnsi="Arial" w:cs="Arial"/>
        </w:rPr>
        <w:t xml:space="preserve">) standard as well as a SOL of 2,600 MWs for loads- existing or future- who cannot meet the proposed VRT standard. ERCOT further iterated that it will not approve load studies after November 14th, </w:t>
      </w:r>
      <w:proofErr w:type="gramStart"/>
      <w:r>
        <w:rPr>
          <w:rFonts w:ascii="Arial" w:eastAsia="Arial" w:hAnsi="Arial" w:cs="Arial"/>
        </w:rPr>
        <w:t>2025</w:t>
      </w:r>
      <w:proofErr w:type="gramEnd"/>
      <w:r>
        <w:rPr>
          <w:rFonts w:ascii="Arial" w:eastAsia="Arial" w:hAnsi="Arial" w:cs="Arial"/>
        </w:rPr>
        <w:t xml:space="preserve"> for loads that cannot meet these proposed VRT requirements. </w:t>
      </w:r>
    </w:p>
    <w:p w14:paraId="309E5E21" w14:textId="77777777" w:rsidR="00A11FB8" w:rsidRDefault="00A11FB8">
      <w:pPr>
        <w:pBdr>
          <w:top w:val="nil"/>
          <w:left w:val="nil"/>
          <w:bottom w:val="nil"/>
          <w:right w:val="nil"/>
          <w:between w:val="nil"/>
        </w:pBdr>
        <w:rPr>
          <w:rFonts w:ascii="Arial" w:eastAsia="Arial" w:hAnsi="Arial" w:cs="Arial"/>
        </w:rPr>
      </w:pPr>
    </w:p>
    <w:p w14:paraId="468DDAAD" w14:textId="7FC84F12" w:rsidR="00A11FB8" w:rsidRDefault="00F92FB3">
      <w:pPr>
        <w:pBdr>
          <w:top w:val="nil"/>
          <w:left w:val="nil"/>
          <w:bottom w:val="nil"/>
          <w:right w:val="nil"/>
          <w:between w:val="nil"/>
        </w:pBdr>
        <w:rPr>
          <w:rFonts w:ascii="Arial" w:eastAsia="Arial" w:hAnsi="Arial" w:cs="Arial"/>
        </w:rPr>
      </w:pPr>
      <w:r>
        <w:rPr>
          <w:rFonts w:ascii="Arial" w:eastAsia="Arial" w:hAnsi="Arial" w:cs="Arial"/>
        </w:rPr>
        <w:t xml:space="preserve">Concurrently, ERCOT, with the support of </w:t>
      </w:r>
      <w:r w:rsidR="00737A84">
        <w:rPr>
          <w:rFonts w:ascii="Arial" w:eastAsia="Arial" w:hAnsi="Arial" w:cs="Arial"/>
        </w:rPr>
        <w:t>L</w:t>
      </w:r>
      <w:r>
        <w:rPr>
          <w:rFonts w:ascii="Arial" w:eastAsia="Arial" w:hAnsi="Arial" w:cs="Arial"/>
        </w:rPr>
        <w:t xml:space="preserve">arge </w:t>
      </w:r>
      <w:r w:rsidR="00737A84">
        <w:rPr>
          <w:rFonts w:ascii="Arial" w:eastAsia="Arial" w:hAnsi="Arial" w:cs="Arial"/>
        </w:rPr>
        <w:t>L</w:t>
      </w:r>
      <w:r>
        <w:rPr>
          <w:rFonts w:ascii="Arial" w:eastAsia="Arial" w:hAnsi="Arial" w:cs="Arial"/>
        </w:rPr>
        <w:t xml:space="preserve">oads, has approved a 765kV backbone, at an estimated $23B of capital investment, to address the reliable interconnection of continued load growth, including many </w:t>
      </w:r>
      <w:r w:rsidR="00331912">
        <w:rPr>
          <w:rFonts w:ascii="Arial" w:eastAsia="Arial" w:hAnsi="Arial" w:cs="Arial"/>
        </w:rPr>
        <w:t>L</w:t>
      </w:r>
      <w:r>
        <w:rPr>
          <w:rFonts w:ascii="Arial" w:eastAsia="Arial" w:hAnsi="Arial" w:cs="Arial"/>
        </w:rPr>
        <w:t xml:space="preserve">arge </w:t>
      </w:r>
      <w:r w:rsidR="00331912">
        <w:rPr>
          <w:rFonts w:ascii="Arial" w:eastAsia="Arial" w:hAnsi="Arial" w:cs="Arial"/>
        </w:rPr>
        <w:t>L</w:t>
      </w:r>
      <w:r>
        <w:rPr>
          <w:rFonts w:ascii="Arial" w:eastAsia="Arial" w:hAnsi="Arial" w:cs="Arial"/>
        </w:rPr>
        <w:t>oad customers. Oncor has separately proposed nearly $5B in separate and additional transmission projects to support forecasted load growth in its territory. Consequently, Google estimates there is at least $28B in total capital investment in pending and approved transmission upgrades. These upgrades are premised on 50 GWs of load forecasted in the 2024 Regional Transmission Plan and the expectation that more than 50</w:t>
      </w:r>
      <w:r w:rsidR="00331912">
        <w:rPr>
          <w:rFonts w:ascii="Arial" w:eastAsia="Arial" w:hAnsi="Arial" w:cs="Arial"/>
        </w:rPr>
        <w:t xml:space="preserve"> </w:t>
      </w:r>
      <w:r>
        <w:rPr>
          <w:rFonts w:ascii="Arial" w:eastAsia="Arial" w:hAnsi="Arial" w:cs="Arial"/>
        </w:rPr>
        <w:t>GWs will seek interconnection. This prediction has seemingly played out as ERCOT estimated there are now 130</w:t>
      </w:r>
      <w:r w:rsidR="00331912">
        <w:rPr>
          <w:rFonts w:ascii="Arial" w:eastAsia="Arial" w:hAnsi="Arial" w:cs="Arial"/>
        </w:rPr>
        <w:t xml:space="preserve"> </w:t>
      </w:r>
      <w:r>
        <w:rPr>
          <w:rFonts w:ascii="Arial" w:eastAsia="Arial" w:hAnsi="Arial" w:cs="Arial"/>
        </w:rPr>
        <w:t xml:space="preserve">GWs of </w:t>
      </w:r>
      <w:r w:rsidR="00331912">
        <w:rPr>
          <w:rFonts w:ascii="Arial" w:eastAsia="Arial" w:hAnsi="Arial" w:cs="Arial"/>
        </w:rPr>
        <w:t>L</w:t>
      </w:r>
      <w:r>
        <w:rPr>
          <w:rFonts w:ascii="Arial" w:eastAsia="Arial" w:hAnsi="Arial" w:cs="Arial"/>
        </w:rPr>
        <w:t xml:space="preserve">arge </w:t>
      </w:r>
      <w:r w:rsidR="00331912">
        <w:rPr>
          <w:rFonts w:ascii="Arial" w:eastAsia="Arial" w:hAnsi="Arial" w:cs="Arial"/>
        </w:rPr>
        <w:t>L</w:t>
      </w:r>
      <w:r>
        <w:rPr>
          <w:rFonts w:ascii="Arial" w:eastAsia="Arial" w:hAnsi="Arial" w:cs="Arial"/>
        </w:rPr>
        <w:t xml:space="preserve">oad requests according to ERCOT’s latest presentation on the </w:t>
      </w:r>
      <w:r w:rsidR="00331912">
        <w:rPr>
          <w:rFonts w:ascii="Arial" w:eastAsia="Arial" w:hAnsi="Arial" w:cs="Arial"/>
        </w:rPr>
        <w:t>L</w:t>
      </w:r>
      <w:r>
        <w:rPr>
          <w:rFonts w:ascii="Arial" w:eastAsia="Arial" w:hAnsi="Arial" w:cs="Arial"/>
        </w:rPr>
        <w:t xml:space="preserve">arge </w:t>
      </w:r>
      <w:r w:rsidR="00331912">
        <w:rPr>
          <w:rFonts w:ascii="Arial" w:eastAsia="Arial" w:hAnsi="Arial" w:cs="Arial"/>
        </w:rPr>
        <w:t>L</w:t>
      </w:r>
      <w:r>
        <w:rPr>
          <w:rFonts w:ascii="Arial" w:eastAsia="Arial" w:hAnsi="Arial" w:cs="Arial"/>
        </w:rPr>
        <w:t xml:space="preserve">oad interconnection queue. </w:t>
      </w:r>
    </w:p>
    <w:p w14:paraId="4B0AEBA6" w14:textId="77777777" w:rsidR="00A11FB8" w:rsidRDefault="00A11FB8">
      <w:pPr>
        <w:pBdr>
          <w:top w:val="nil"/>
          <w:left w:val="nil"/>
          <w:bottom w:val="nil"/>
          <w:right w:val="nil"/>
          <w:between w:val="nil"/>
        </w:pBdr>
        <w:rPr>
          <w:rFonts w:ascii="Arial" w:eastAsia="Arial" w:hAnsi="Arial" w:cs="Arial"/>
        </w:rPr>
      </w:pPr>
    </w:p>
    <w:p w14:paraId="7CFF201C" w14:textId="77777777" w:rsidR="00A11FB8" w:rsidRDefault="00F92FB3">
      <w:pPr>
        <w:pBdr>
          <w:top w:val="nil"/>
          <w:left w:val="nil"/>
          <w:bottom w:val="nil"/>
          <w:right w:val="nil"/>
          <w:between w:val="nil"/>
        </w:pBdr>
        <w:rPr>
          <w:rFonts w:ascii="Arial" w:eastAsia="Arial" w:hAnsi="Arial" w:cs="Arial"/>
        </w:rPr>
      </w:pPr>
      <w:r>
        <w:rPr>
          <w:rFonts w:ascii="Arial" w:eastAsia="Arial" w:hAnsi="Arial" w:cs="Arial"/>
        </w:rPr>
        <w:t xml:space="preserve">Stakeholders have no insight as to how much, if any, of the new loads can meet these  proposed VRT capabilities. Since ERCOT has indicated it will not be approving new loads until they do exhibit these proposed VRT standards, then stakeholders will have </w:t>
      </w:r>
      <w:r>
        <w:rPr>
          <w:rFonts w:ascii="Arial" w:eastAsia="Arial" w:hAnsi="Arial" w:cs="Arial"/>
        </w:rPr>
        <w:lastRenderedPageBreak/>
        <w:t>to assume gigawatts of planned load are unable to energize and pay for the transmission being constructed to integrate them.</w:t>
      </w:r>
    </w:p>
    <w:p w14:paraId="627FC616" w14:textId="77777777" w:rsidR="00A11FB8" w:rsidRDefault="00A11FB8">
      <w:pPr>
        <w:pBdr>
          <w:top w:val="nil"/>
          <w:left w:val="nil"/>
          <w:bottom w:val="nil"/>
          <w:right w:val="nil"/>
          <w:between w:val="nil"/>
        </w:pBdr>
        <w:rPr>
          <w:rFonts w:ascii="Arial" w:eastAsia="Arial" w:hAnsi="Arial" w:cs="Arial"/>
        </w:rPr>
      </w:pPr>
    </w:p>
    <w:p w14:paraId="5ADF13D4" w14:textId="3CCDDA09" w:rsidR="00A11FB8" w:rsidRDefault="00F92FB3">
      <w:pPr>
        <w:pBdr>
          <w:top w:val="nil"/>
          <w:left w:val="nil"/>
          <w:bottom w:val="nil"/>
          <w:right w:val="nil"/>
          <w:between w:val="nil"/>
        </w:pBdr>
        <w:rPr>
          <w:rFonts w:ascii="Arial" w:eastAsia="Arial" w:hAnsi="Arial" w:cs="Arial"/>
        </w:rPr>
      </w:pPr>
      <w:r>
        <w:rPr>
          <w:rFonts w:ascii="Arial" w:eastAsia="Arial" w:hAnsi="Arial" w:cs="Arial"/>
        </w:rPr>
        <w:t xml:space="preserve">Furthermore, the </w:t>
      </w:r>
      <w:r w:rsidR="00737A84">
        <w:rPr>
          <w:rFonts w:ascii="Arial" w:eastAsia="Arial" w:hAnsi="Arial" w:cs="Arial"/>
        </w:rPr>
        <w:t>L</w:t>
      </w:r>
      <w:r>
        <w:rPr>
          <w:rFonts w:ascii="Arial" w:eastAsia="Arial" w:hAnsi="Arial" w:cs="Arial"/>
        </w:rPr>
        <w:t xml:space="preserve">arge </w:t>
      </w:r>
      <w:r w:rsidR="00737A84">
        <w:rPr>
          <w:rFonts w:ascii="Arial" w:eastAsia="Arial" w:hAnsi="Arial" w:cs="Arial"/>
        </w:rPr>
        <w:t>L</w:t>
      </w:r>
      <w:r>
        <w:rPr>
          <w:rFonts w:ascii="Arial" w:eastAsia="Arial" w:hAnsi="Arial" w:cs="Arial"/>
        </w:rPr>
        <w:t xml:space="preserve">oads with approved studies are now at risk of being operationally curtailed. This has two negative economic consequences. First, it risks bankrupting the project finance of these loads because they will be subject to curtailment that was not forecasted based on the rules in which they </w:t>
      </w:r>
      <w:proofErr w:type="gramStart"/>
      <w:r>
        <w:rPr>
          <w:rFonts w:ascii="Arial" w:eastAsia="Arial" w:hAnsi="Arial" w:cs="Arial"/>
        </w:rPr>
        <w:t>energized</w:t>
      </w:r>
      <w:proofErr w:type="gramEnd"/>
      <w:r>
        <w:rPr>
          <w:rFonts w:ascii="Arial" w:eastAsia="Arial" w:hAnsi="Arial" w:cs="Arial"/>
        </w:rPr>
        <w:t xml:space="preserve">. Second, if a substantial amount of these loads </w:t>
      </w:r>
      <w:proofErr w:type="gramStart"/>
      <w:r>
        <w:rPr>
          <w:rFonts w:ascii="Arial" w:eastAsia="Arial" w:hAnsi="Arial" w:cs="Arial"/>
        </w:rPr>
        <w:t>are</w:t>
      </w:r>
      <w:proofErr w:type="gramEnd"/>
      <w:r>
        <w:rPr>
          <w:rFonts w:ascii="Arial" w:eastAsia="Arial" w:hAnsi="Arial" w:cs="Arial"/>
        </w:rPr>
        <w:t xml:space="preserve"> curtailed during </w:t>
      </w:r>
      <w:r w:rsidR="00331912">
        <w:rPr>
          <w:rFonts w:ascii="Arial" w:eastAsia="Arial" w:hAnsi="Arial" w:cs="Arial"/>
        </w:rPr>
        <w:t>4-Coincident Peak (</w:t>
      </w:r>
      <w:r>
        <w:rPr>
          <w:rFonts w:ascii="Arial" w:eastAsia="Arial" w:hAnsi="Arial" w:cs="Arial"/>
        </w:rPr>
        <w:t>4</w:t>
      </w:r>
      <w:r w:rsidR="00331912">
        <w:rPr>
          <w:rFonts w:ascii="Arial" w:eastAsia="Arial" w:hAnsi="Arial" w:cs="Arial"/>
        </w:rPr>
        <w:t>-</w:t>
      </w:r>
      <w:r>
        <w:rPr>
          <w:rFonts w:ascii="Arial" w:eastAsia="Arial" w:hAnsi="Arial" w:cs="Arial"/>
        </w:rPr>
        <w:t>CP</w:t>
      </w:r>
      <w:r w:rsidR="00331912">
        <w:rPr>
          <w:rFonts w:ascii="Arial" w:eastAsia="Arial" w:hAnsi="Arial" w:cs="Arial"/>
        </w:rPr>
        <w:t>)</w:t>
      </w:r>
      <w:r>
        <w:rPr>
          <w:rFonts w:ascii="Arial" w:eastAsia="Arial" w:hAnsi="Arial" w:cs="Arial"/>
        </w:rPr>
        <w:t xml:space="preserve"> intervals, they will not be accounted for the purpose of transmission cost allocation. This creates a scenario where transmission costs are shifted to other consumers, risking significant rate shock to those consumers who will absorb the costs.</w:t>
      </w:r>
    </w:p>
    <w:p w14:paraId="3B08A40D" w14:textId="77777777" w:rsidR="00A11FB8" w:rsidRDefault="00A11FB8">
      <w:pPr>
        <w:pBdr>
          <w:top w:val="nil"/>
          <w:left w:val="nil"/>
          <w:bottom w:val="nil"/>
          <w:right w:val="nil"/>
          <w:between w:val="nil"/>
        </w:pBdr>
        <w:rPr>
          <w:rFonts w:ascii="Arial" w:eastAsia="Arial" w:hAnsi="Arial" w:cs="Arial"/>
        </w:rPr>
      </w:pPr>
    </w:p>
    <w:p w14:paraId="558A601C" w14:textId="4032602A" w:rsidR="00A11FB8" w:rsidRDefault="00F92FB3">
      <w:pPr>
        <w:rPr>
          <w:rFonts w:ascii="Arial" w:eastAsia="Arial" w:hAnsi="Arial" w:cs="Arial"/>
        </w:rPr>
      </w:pPr>
      <w:r>
        <w:rPr>
          <w:rFonts w:ascii="Arial" w:eastAsia="Arial" w:hAnsi="Arial" w:cs="Arial"/>
        </w:rPr>
        <w:t>While ERCOT’s primary purview is operational reliability, its current proposals will also have profound economic and cost-allocation ramifications. Under these standards, there appears to be fundamental disconnect between planning and operations: ERCOT has $28 billion in planned transmission upgrades predicated on at least 50</w:t>
      </w:r>
      <w:r w:rsidR="00331912">
        <w:rPr>
          <w:rFonts w:ascii="Arial" w:eastAsia="Arial" w:hAnsi="Arial" w:cs="Arial"/>
        </w:rPr>
        <w:t xml:space="preserve"> </w:t>
      </w:r>
      <w:r>
        <w:rPr>
          <w:rFonts w:ascii="Arial" w:eastAsia="Arial" w:hAnsi="Arial" w:cs="Arial"/>
        </w:rPr>
        <w:t>GW of near-term load growth, yet ERCOT’s proposed VRT and SOL operational standards risk preventing that load from materializing in the appropriate time, if at all.</w:t>
      </w:r>
    </w:p>
    <w:p w14:paraId="389606C3" w14:textId="77777777" w:rsidR="00A11FB8" w:rsidRDefault="00A11FB8">
      <w:pPr>
        <w:pBdr>
          <w:top w:val="nil"/>
          <w:left w:val="nil"/>
          <w:bottom w:val="nil"/>
          <w:right w:val="nil"/>
          <w:between w:val="nil"/>
        </w:pBdr>
        <w:rPr>
          <w:rFonts w:ascii="Arial" w:eastAsia="Arial" w:hAnsi="Arial" w:cs="Arial"/>
        </w:rPr>
      </w:pPr>
    </w:p>
    <w:p w14:paraId="6E8E3297" w14:textId="77777777" w:rsidR="00A11FB8" w:rsidRDefault="00F92FB3">
      <w:pPr>
        <w:pBdr>
          <w:top w:val="nil"/>
          <w:left w:val="nil"/>
          <w:bottom w:val="nil"/>
          <w:right w:val="nil"/>
          <w:between w:val="nil"/>
        </w:pBdr>
        <w:rPr>
          <w:rFonts w:ascii="Arial" w:eastAsia="Arial" w:hAnsi="Arial" w:cs="Arial"/>
        </w:rPr>
      </w:pPr>
      <w:r>
        <w:rPr>
          <w:rFonts w:ascii="Arial" w:eastAsia="Arial" w:hAnsi="Arial" w:cs="Arial"/>
        </w:rPr>
        <w:t>Google requests ERCOT take the following steps to address these concerns:</w:t>
      </w:r>
    </w:p>
    <w:p w14:paraId="6037BD32" w14:textId="77777777" w:rsidR="00A11FB8" w:rsidRDefault="00A11FB8">
      <w:pPr>
        <w:pBdr>
          <w:top w:val="nil"/>
          <w:left w:val="nil"/>
          <w:bottom w:val="nil"/>
          <w:right w:val="nil"/>
          <w:between w:val="nil"/>
        </w:pBdr>
        <w:rPr>
          <w:rFonts w:ascii="Arial" w:eastAsia="Arial" w:hAnsi="Arial" w:cs="Arial"/>
        </w:rPr>
      </w:pPr>
    </w:p>
    <w:p w14:paraId="55620832" w14:textId="6756F9C9" w:rsidR="00A11FB8" w:rsidRDefault="00F92FB3">
      <w:pPr>
        <w:numPr>
          <w:ilvl w:val="0"/>
          <w:numId w:val="1"/>
        </w:numPr>
        <w:pBdr>
          <w:top w:val="nil"/>
          <w:left w:val="nil"/>
          <w:bottom w:val="nil"/>
          <w:right w:val="nil"/>
          <w:between w:val="nil"/>
        </w:pBdr>
        <w:rPr>
          <w:rFonts w:ascii="Arial" w:eastAsia="Arial" w:hAnsi="Arial" w:cs="Arial"/>
        </w:rPr>
      </w:pPr>
      <w:r>
        <w:rPr>
          <w:rFonts w:ascii="Arial" w:eastAsia="Arial" w:hAnsi="Arial" w:cs="Arial"/>
          <w:b/>
          <w:bCs/>
        </w:rPr>
        <w:t>Notify loads regarding compliance status.</w:t>
      </w:r>
      <w:r>
        <w:rPr>
          <w:rFonts w:ascii="Arial" w:eastAsia="Arial" w:hAnsi="Arial" w:cs="Arial"/>
        </w:rPr>
        <w:t xml:space="preserve"> ERCOT seeks to enforce substantial requirements on new and existing </w:t>
      </w:r>
      <w:proofErr w:type="gramStart"/>
      <w:r>
        <w:rPr>
          <w:rFonts w:ascii="Arial" w:eastAsia="Arial" w:hAnsi="Arial" w:cs="Arial"/>
        </w:rPr>
        <w:t>loads</w:t>
      </w:r>
      <w:proofErr w:type="gramEnd"/>
      <w:r>
        <w:rPr>
          <w:rFonts w:ascii="Arial" w:eastAsia="Arial" w:hAnsi="Arial" w:cs="Arial"/>
        </w:rPr>
        <w:t xml:space="preserve"> without approved rules. Many of these loads comply with current rules and have submitted required studies in a timely manner. ERCOT should notify all </w:t>
      </w:r>
      <w:r w:rsidR="00331912">
        <w:rPr>
          <w:rFonts w:ascii="Arial" w:eastAsia="Arial" w:hAnsi="Arial" w:cs="Arial"/>
        </w:rPr>
        <w:t>L</w:t>
      </w:r>
      <w:r>
        <w:rPr>
          <w:rFonts w:ascii="Arial" w:eastAsia="Arial" w:hAnsi="Arial" w:cs="Arial"/>
        </w:rPr>
        <w:t xml:space="preserve">arge </w:t>
      </w:r>
      <w:r w:rsidR="00331912">
        <w:rPr>
          <w:rFonts w:ascii="Arial" w:eastAsia="Arial" w:hAnsi="Arial" w:cs="Arial"/>
        </w:rPr>
        <w:t>L</w:t>
      </w:r>
      <w:r>
        <w:rPr>
          <w:rFonts w:ascii="Arial" w:eastAsia="Arial" w:hAnsi="Arial" w:cs="Arial"/>
        </w:rPr>
        <w:t xml:space="preserve">oads that have sent planning studies and possess a </w:t>
      </w:r>
      <w:r w:rsidR="00331912">
        <w:rPr>
          <w:rFonts w:ascii="Arial" w:eastAsia="Arial" w:hAnsi="Arial" w:cs="Arial"/>
        </w:rPr>
        <w:t>Large Load Interconnection Study (</w:t>
      </w:r>
      <w:r>
        <w:rPr>
          <w:rFonts w:ascii="Arial" w:eastAsia="Arial" w:hAnsi="Arial" w:cs="Arial"/>
        </w:rPr>
        <w:t>LLIS</w:t>
      </w:r>
      <w:r w:rsidR="00331912">
        <w:rPr>
          <w:rFonts w:ascii="Arial" w:eastAsia="Arial" w:hAnsi="Arial" w:cs="Arial"/>
        </w:rPr>
        <w:t>)</w:t>
      </w:r>
      <w:r>
        <w:rPr>
          <w:rFonts w:ascii="Arial" w:eastAsia="Arial" w:hAnsi="Arial" w:cs="Arial"/>
        </w:rPr>
        <w:t xml:space="preserve"> number as to </w:t>
      </w:r>
      <w:proofErr w:type="gramStart"/>
      <w:r>
        <w:rPr>
          <w:rFonts w:ascii="Arial" w:eastAsia="Arial" w:hAnsi="Arial" w:cs="Arial"/>
        </w:rPr>
        <w:t>whether or not</w:t>
      </w:r>
      <w:proofErr w:type="gramEnd"/>
      <w:r>
        <w:rPr>
          <w:rFonts w:ascii="Arial" w:eastAsia="Arial" w:hAnsi="Arial" w:cs="Arial"/>
        </w:rPr>
        <w:t xml:space="preserve"> they meet the drafted requirements. ERCOT must clearly communicate its intent to enforce these proposed standards retroactively. </w:t>
      </w:r>
    </w:p>
    <w:p w14:paraId="2CE1489F" w14:textId="77777777" w:rsidR="00A11FB8" w:rsidRDefault="00A11FB8">
      <w:pPr>
        <w:pBdr>
          <w:top w:val="nil"/>
          <w:left w:val="nil"/>
          <w:bottom w:val="nil"/>
          <w:right w:val="nil"/>
          <w:between w:val="nil"/>
        </w:pBdr>
        <w:ind w:left="720"/>
        <w:rPr>
          <w:rFonts w:ascii="Arial" w:eastAsia="Arial" w:hAnsi="Arial" w:cs="Arial"/>
        </w:rPr>
      </w:pPr>
    </w:p>
    <w:p w14:paraId="59ABC929" w14:textId="77777777" w:rsidR="00A11FB8" w:rsidRDefault="00F92FB3">
      <w:pPr>
        <w:numPr>
          <w:ilvl w:val="0"/>
          <w:numId w:val="1"/>
        </w:numPr>
        <w:pBdr>
          <w:top w:val="nil"/>
          <w:left w:val="nil"/>
          <w:bottom w:val="nil"/>
          <w:right w:val="nil"/>
          <w:between w:val="nil"/>
        </w:pBdr>
        <w:rPr>
          <w:rFonts w:ascii="Arial" w:eastAsia="Arial" w:hAnsi="Arial" w:cs="Arial"/>
        </w:rPr>
      </w:pPr>
      <w:r>
        <w:rPr>
          <w:rFonts w:ascii="Arial" w:eastAsia="Arial" w:hAnsi="Arial" w:cs="Arial"/>
          <w:b/>
          <w:bCs/>
        </w:rPr>
        <w:t>Provide a compliance forecast update.</w:t>
      </w:r>
      <w:r>
        <w:rPr>
          <w:rFonts w:ascii="Arial" w:eastAsia="Arial" w:hAnsi="Arial" w:cs="Arial"/>
        </w:rPr>
        <w:t xml:space="preserve"> In addition to notifying individual loads, ERCOT should inform stakeholders regarding the aggregate volume of load it expects will not meet the VRT standard, based on submitted LLIS studies. </w:t>
      </w:r>
    </w:p>
    <w:p w14:paraId="2E511C16" w14:textId="77777777" w:rsidR="00A11FB8" w:rsidRDefault="00A11FB8">
      <w:pPr>
        <w:pBdr>
          <w:top w:val="nil"/>
          <w:left w:val="nil"/>
          <w:bottom w:val="nil"/>
          <w:right w:val="nil"/>
          <w:between w:val="nil"/>
        </w:pBdr>
        <w:ind w:left="720"/>
        <w:rPr>
          <w:rFonts w:ascii="Arial" w:eastAsia="Arial" w:hAnsi="Arial" w:cs="Arial"/>
        </w:rPr>
      </w:pPr>
    </w:p>
    <w:p w14:paraId="78AF4AEF" w14:textId="77777777" w:rsidR="00A11FB8" w:rsidRDefault="00F92FB3">
      <w:pPr>
        <w:numPr>
          <w:ilvl w:val="0"/>
          <w:numId w:val="1"/>
        </w:numPr>
        <w:pBdr>
          <w:top w:val="nil"/>
          <w:left w:val="nil"/>
          <w:bottom w:val="nil"/>
          <w:right w:val="nil"/>
          <w:between w:val="nil"/>
        </w:pBdr>
        <w:rPr>
          <w:rFonts w:ascii="Arial" w:eastAsia="Arial" w:hAnsi="Arial" w:cs="Arial"/>
        </w:rPr>
      </w:pPr>
      <w:r>
        <w:rPr>
          <w:rFonts w:ascii="Arial" w:eastAsia="Arial" w:hAnsi="Arial" w:cs="Arial"/>
          <w:b/>
          <w:bCs/>
        </w:rPr>
        <w:t>Clarify the scope of SOL enforcement.</w:t>
      </w:r>
      <w:r>
        <w:rPr>
          <w:rFonts w:ascii="Arial" w:eastAsia="Arial" w:hAnsi="Arial" w:cs="Arial"/>
        </w:rPr>
        <w:t xml:space="preserve"> ERCOT has yet to make clear which existing loads, and what quantities of those loads, will be subject to the SOL. ERCOT must provide notice to loads that will become subject to the SOL criteria, specifying: 1) the affected regions, 2) the amount of load subject to the standard in those regions, and 3) whether specific loads should expect curtailment.</w:t>
      </w:r>
    </w:p>
    <w:p w14:paraId="77DAB5F2" w14:textId="77777777" w:rsidR="00A11FB8" w:rsidRDefault="00A11FB8">
      <w:pPr>
        <w:pBdr>
          <w:top w:val="nil"/>
          <w:left w:val="nil"/>
          <w:bottom w:val="nil"/>
          <w:right w:val="nil"/>
          <w:between w:val="nil"/>
        </w:pBdr>
        <w:ind w:left="1440"/>
        <w:rPr>
          <w:rFonts w:ascii="Arial" w:eastAsia="Arial" w:hAnsi="Arial" w:cs="Arial"/>
        </w:rPr>
      </w:pPr>
    </w:p>
    <w:p w14:paraId="786E815E" w14:textId="733A37D5" w:rsidR="009438AB" w:rsidRPr="009438AB" w:rsidRDefault="00F92FB3" w:rsidP="009438AB">
      <w:pPr>
        <w:numPr>
          <w:ilvl w:val="0"/>
          <w:numId w:val="1"/>
        </w:numPr>
        <w:pBdr>
          <w:top w:val="nil"/>
          <w:left w:val="nil"/>
          <w:bottom w:val="nil"/>
          <w:right w:val="nil"/>
          <w:between w:val="nil"/>
        </w:pBdr>
        <w:rPr>
          <w:rFonts w:ascii="Arial" w:eastAsia="Arial" w:hAnsi="Arial" w:cs="Arial"/>
        </w:rPr>
      </w:pPr>
      <w:r>
        <w:rPr>
          <w:rFonts w:ascii="Arial" w:eastAsia="Arial" w:hAnsi="Arial" w:cs="Arial"/>
          <w:b/>
          <w:bCs/>
        </w:rPr>
        <w:t>Reconsider system upgrades for grid hardening</w:t>
      </w:r>
      <w:r>
        <w:rPr>
          <w:rFonts w:ascii="Arial" w:eastAsia="Arial" w:hAnsi="Arial" w:cs="Arial"/>
        </w:rPr>
        <w:t xml:space="preserve">. At the October 24th LLWG meeting, ERCOT presented a study of transmission reinforcements that would strengthen grid stability in the event of a large load outage. ERCOT deemed these upgrades "sub-optimal" because they do not guarantee grid support equivalent reliability to a VRT standard. Google posits that ERCOT should reconsider these grid reinforcements as an alternative to </w:t>
      </w:r>
      <w:proofErr w:type="gramStart"/>
      <w:r>
        <w:rPr>
          <w:rFonts w:ascii="Arial" w:eastAsia="Arial" w:hAnsi="Arial" w:cs="Arial"/>
        </w:rPr>
        <w:t>a SOL</w:t>
      </w:r>
      <w:proofErr w:type="gramEnd"/>
      <w:r>
        <w:rPr>
          <w:rFonts w:ascii="Arial" w:eastAsia="Arial" w:hAnsi="Arial" w:cs="Arial"/>
        </w:rPr>
        <w:t xml:space="preserve">. While these upgrades may not fully resolve ERCOT’s concerns, they may be justified when </w:t>
      </w:r>
      <w:r>
        <w:rPr>
          <w:rFonts w:ascii="Arial" w:eastAsia="Arial" w:hAnsi="Arial" w:cs="Arial"/>
        </w:rPr>
        <w:lastRenderedPageBreak/>
        <w:t>weighed against the potential econo</w:t>
      </w:r>
      <w:r>
        <w:rPr>
          <w:rFonts w:ascii="Arial" w:eastAsia="Arial" w:hAnsi="Arial" w:cs="Arial"/>
        </w:rPr>
        <w:t>mic costs of load curtailment under the proposed SOL.</w:t>
      </w:r>
    </w:p>
    <w:p w14:paraId="4265E6EA" w14:textId="77777777" w:rsidR="009438AB" w:rsidRPr="009438AB" w:rsidRDefault="009438AB" w:rsidP="009438AB">
      <w:pPr>
        <w:rPr>
          <w:rFonts w:ascii="Arial" w:hAnsi="Arial"/>
          <w:lang w:val="en-US"/>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438AB" w:rsidRPr="009438AB" w14:paraId="0D0A4690" w14:textId="77777777" w:rsidTr="00230F4E">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5A586AE9" w14:textId="77777777" w:rsidR="009438AB" w:rsidRPr="009438AB" w:rsidRDefault="009438AB" w:rsidP="009438AB">
            <w:pPr>
              <w:tabs>
                <w:tab w:val="center" w:pos="4320"/>
                <w:tab w:val="right" w:pos="8640"/>
              </w:tabs>
              <w:jc w:val="center"/>
              <w:rPr>
                <w:rFonts w:ascii="Arial" w:hAnsi="Arial"/>
                <w:b/>
                <w:bCs/>
                <w:lang w:val="en-US"/>
              </w:rPr>
            </w:pPr>
            <w:r w:rsidRPr="009438AB">
              <w:rPr>
                <w:rFonts w:ascii="Arial" w:hAnsi="Arial"/>
                <w:b/>
                <w:bCs/>
                <w:lang w:val="en-US"/>
              </w:rPr>
              <w:t>Revised Cover Page Language</w:t>
            </w:r>
          </w:p>
        </w:tc>
      </w:tr>
    </w:tbl>
    <w:p w14:paraId="5E41B496" w14:textId="77777777" w:rsidR="009438AB" w:rsidRPr="009438AB" w:rsidRDefault="009438AB" w:rsidP="009438AB">
      <w:pPr>
        <w:spacing w:before="120" w:after="120"/>
        <w:rPr>
          <w:rFonts w:ascii="Arial" w:hAnsi="Arial"/>
          <w:lang w:val="en-US"/>
        </w:rPr>
      </w:pPr>
      <w:r w:rsidRPr="009438AB">
        <w:rPr>
          <w:rFonts w:ascii="Arial" w:hAnsi="Arial"/>
          <w:lang w:val="en-US"/>
        </w:rP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438AB" w:rsidRPr="009438AB" w14:paraId="09F1CC3A" w14:textId="77777777" w:rsidTr="00230F4E">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19B9DA20" w14:textId="77777777" w:rsidR="009438AB" w:rsidRPr="009438AB" w:rsidRDefault="009438AB" w:rsidP="009438AB">
            <w:pPr>
              <w:tabs>
                <w:tab w:val="center" w:pos="4320"/>
                <w:tab w:val="right" w:pos="8640"/>
              </w:tabs>
              <w:jc w:val="center"/>
              <w:rPr>
                <w:rFonts w:ascii="Arial" w:hAnsi="Arial"/>
                <w:b/>
                <w:bCs/>
                <w:lang w:val="en-US"/>
              </w:rPr>
            </w:pPr>
            <w:r w:rsidRPr="009438AB">
              <w:rPr>
                <w:rFonts w:ascii="Arial" w:hAnsi="Arial"/>
                <w:b/>
                <w:bCs/>
                <w:lang w:val="en-US"/>
              </w:rPr>
              <w:t>Revised Proposed Protocol Language</w:t>
            </w:r>
          </w:p>
        </w:tc>
      </w:tr>
    </w:tbl>
    <w:p w14:paraId="57BD27D8" w14:textId="237ABB0D" w:rsidR="00331912" w:rsidRPr="009438AB" w:rsidRDefault="009438AB" w:rsidP="009438AB">
      <w:pPr>
        <w:spacing w:before="120" w:after="120"/>
        <w:rPr>
          <w:rFonts w:ascii="Arial" w:hAnsi="Arial"/>
          <w:lang w:val="en-US"/>
        </w:rPr>
      </w:pPr>
      <w:r w:rsidRPr="009438AB">
        <w:rPr>
          <w:rFonts w:ascii="Arial" w:hAnsi="Arial"/>
          <w:lang w:val="en-US"/>
        </w:rPr>
        <w:t>None</w:t>
      </w:r>
    </w:p>
    <w:sectPr w:rsidR="00331912" w:rsidRPr="009438A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B05A9" w14:textId="77777777" w:rsidR="00F92FB3" w:rsidRDefault="00F92FB3">
      <w:r>
        <w:separator/>
      </w:r>
    </w:p>
  </w:endnote>
  <w:endnote w:type="continuationSeparator" w:id="0">
    <w:p w14:paraId="6C7E199B" w14:textId="77777777" w:rsidR="00F92FB3" w:rsidRDefault="00F9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2EB2AE-3909-4895-9603-4B6374C99915}"/>
  </w:font>
  <w:font w:name="Georgia">
    <w:panose1 w:val="02040502050405020303"/>
    <w:charset w:val="00"/>
    <w:family w:val="auto"/>
    <w:pitch w:val="default"/>
    <w:embedItalic r:id="rId2" w:fontKey="{FFDB8AA9-0B42-402F-87AE-8BA9F1A2FE87}"/>
  </w:font>
  <w:font w:name="Verdana">
    <w:panose1 w:val="020B0604030504040204"/>
    <w:charset w:val="00"/>
    <w:family w:val="swiss"/>
    <w:pitch w:val="variable"/>
    <w:sig w:usb0="A00006FF" w:usb1="4000205B" w:usb2="00000010" w:usb3="00000000" w:csb0="0000019F" w:csb1="00000000"/>
    <w:embedBold r:id="rId3" w:fontKey="{ACC5916D-C57F-4C9D-9CEC-6103F5305E3D}"/>
  </w:font>
  <w:font w:name="Calibri">
    <w:panose1 w:val="020F0502020204030204"/>
    <w:charset w:val="00"/>
    <w:family w:val="swiss"/>
    <w:pitch w:val="variable"/>
    <w:sig w:usb0="E4002EFF" w:usb1="C200247B" w:usb2="00000009" w:usb3="00000000" w:csb0="000001FF" w:csb1="00000000"/>
    <w:embedRegular r:id="rId4" w:fontKey="{F9985AB6-7166-4DF8-8AE5-A10C9E0CDB07}"/>
  </w:font>
  <w:font w:name="Cambria">
    <w:panose1 w:val="02040503050406030204"/>
    <w:charset w:val="00"/>
    <w:family w:val="roman"/>
    <w:pitch w:val="variable"/>
    <w:sig w:usb0="E00006FF" w:usb1="420024FF" w:usb2="02000000" w:usb3="00000000" w:csb0="0000019F" w:csb1="00000000"/>
    <w:embedRegular r:id="rId5" w:fontKey="{7786D21B-CF73-4418-AAF0-FDCAE72B12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EF17" w14:textId="77777777" w:rsidR="00737A84" w:rsidRDefault="00737A84">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E75E" w14:textId="7F59419C" w:rsidR="00A11FB8" w:rsidRDefault="00331912">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1308</w:t>
    </w:r>
    <w:r w:rsidR="00F92FB3">
      <w:rPr>
        <w:rFonts w:ascii="Arial" w:eastAsia="Arial" w:hAnsi="Arial" w:cs="Arial"/>
        <w:color w:val="000000"/>
        <w:sz w:val="18"/>
        <w:szCs w:val="18"/>
      </w:rPr>
      <w:t>NPRR</w:t>
    </w:r>
    <w:r>
      <w:rPr>
        <w:rFonts w:ascii="Arial" w:eastAsia="Arial" w:hAnsi="Arial" w:cs="Arial"/>
        <w:color w:val="000000"/>
        <w:sz w:val="18"/>
        <w:szCs w:val="18"/>
      </w:rPr>
      <w:t>-03 Google</w:t>
    </w:r>
    <w:r w:rsidR="00F92FB3">
      <w:rPr>
        <w:rFonts w:ascii="Arial" w:eastAsia="Arial" w:hAnsi="Arial" w:cs="Arial"/>
        <w:color w:val="000000"/>
        <w:sz w:val="18"/>
        <w:szCs w:val="18"/>
      </w:rPr>
      <w:t xml:space="preserve"> Comment</w:t>
    </w:r>
    <w:r>
      <w:rPr>
        <w:rFonts w:ascii="Arial" w:eastAsia="Arial" w:hAnsi="Arial" w:cs="Arial"/>
        <w:color w:val="000000"/>
        <w:sz w:val="18"/>
        <w:szCs w:val="18"/>
      </w:rPr>
      <w:t>s</w:t>
    </w:r>
    <w:r w:rsidR="00F92FB3">
      <w:rPr>
        <w:rFonts w:ascii="Arial" w:eastAsia="Arial" w:hAnsi="Arial" w:cs="Arial"/>
        <w:color w:val="000000"/>
        <w:sz w:val="18"/>
        <w:szCs w:val="18"/>
      </w:rPr>
      <w:t xml:space="preserve"> </w:t>
    </w:r>
    <w:r>
      <w:rPr>
        <w:rFonts w:ascii="Arial" w:eastAsia="Arial" w:hAnsi="Arial" w:cs="Arial"/>
        <w:color w:val="000000"/>
        <w:sz w:val="18"/>
        <w:szCs w:val="18"/>
      </w:rPr>
      <w:t>120425</w:t>
    </w:r>
    <w:r w:rsidR="00F92FB3">
      <w:rPr>
        <w:rFonts w:ascii="Arial" w:eastAsia="Arial" w:hAnsi="Arial" w:cs="Arial"/>
        <w:color w:val="000000"/>
        <w:sz w:val="18"/>
        <w:szCs w:val="18"/>
      </w:rPr>
      <w:tab/>
    </w:r>
    <w:r>
      <w:rPr>
        <w:rFonts w:ascii="Arial" w:eastAsia="Arial" w:hAnsi="Arial" w:cs="Arial"/>
        <w:color w:val="000000"/>
        <w:sz w:val="18"/>
        <w:szCs w:val="18"/>
      </w:rPr>
      <w:tab/>
    </w:r>
    <w:r w:rsidR="00F92FB3">
      <w:rPr>
        <w:rFonts w:ascii="Arial" w:eastAsia="Arial" w:hAnsi="Arial" w:cs="Arial"/>
        <w:color w:val="000000"/>
        <w:sz w:val="18"/>
        <w:szCs w:val="18"/>
      </w:rPr>
      <w:t xml:space="preserve">Page </w:t>
    </w:r>
    <w:r w:rsidR="00F92FB3">
      <w:rPr>
        <w:rFonts w:ascii="Arial" w:eastAsia="Arial" w:hAnsi="Arial" w:cs="Arial"/>
        <w:color w:val="000000"/>
        <w:sz w:val="18"/>
        <w:szCs w:val="18"/>
      </w:rPr>
      <w:fldChar w:fldCharType="begin"/>
    </w:r>
    <w:r w:rsidR="00F92FB3">
      <w:rPr>
        <w:rFonts w:ascii="Arial" w:eastAsia="Arial" w:hAnsi="Arial" w:cs="Arial"/>
        <w:color w:val="000000"/>
        <w:sz w:val="18"/>
        <w:szCs w:val="18"/>
      </w:rPr>
      <w:instrText>PAGE</w:instrText>
    </w:r>
    <w:r w:rsidR="00F92FB3">
      <w:rPr>
        <w:rFonts w:ascii="Arial" w:eastAsia="Arial" w:hAnsi="Arial" w:cs="Arial"/>
        <w:color w:val="000000"/>
        <w:sz w:val="18"/>
        <w:szCs w:val="18"/>
      </w:rPr>
      <w:fldChar w:fldCharType="separate"/>
    </w:r>
    <w:r w:rsidR="00737A84">
      <w:rPr>
        <w:rFonts w:ascii="Arial" w:eastAsia="Arial" w:hAnsi="Arial" w:cs="Arial"/>
        <w:noProof/>
        <w:color w:val="000000"/>
        <w:sz w:val="18"/>
        <w:szCs w:val="18"/>
      </w:rPr>
      <w:t>1</w:t>
    </w:r>
    <w:r w:rsidR="00F92FB3">
      <w:rPr>
        <w:rFonts w:ascii="Arial" w:eastAsia="Arial" w:hAnsi="Arial" w:cs="Arial"/>
        <w:color w:val="000000"/>
        <w:sz w:val="18"/>
        <w:szCs w:val="18"/>
      </w:rPr>
      <w:fldChar w:fldCharType="end"/>
    </w:r>
    <w:r w:rsidR="00F92FB3">
      <w:rPr>
        <w:rFonts w:ascii="Arial" w:eastAsia="Arial" w:hAnsi="Arial" w:cs="Arial"/>
        <w:color w:val="000000"/>
        <w:sz w:val="18"/>
        <w:szCs w:val="18"/>
      </w:rPr>
      <w:t xml:space="preserve"> of </w:t>
    </w:r>
    <w:r w:rsidR="00F92FB3">
      <w:rPr>
        <w:rFonts w:ascii="Arial" w:eastAsia="Arial" w:hAnsi="Arial" w:cs="Arial"/>
        <w:color w:val="000000"/>
        <w:sz w:val="18"/>
        <w:szCs w:val="18"/>
      </w:rPr>
      <w:fldChar w:fldCharType="begin"/>
    </w:r>
    <w:r w:rsidR="00F92FB3">
      <w:rPr>
        <w:rFonts w:ascii="Arial" w:eastAsia="Arial" w:hAnsi="Arial" w:cs="Arial"/>
        <w:color w:val="000000"/>
        <w:sz w:val="18"/>
        <w:szCs w:val="18"/>
      </w:rPr>
      <w:instrText>NUMPAGES</w:instrText>
    </w:r>
    <w:r w:rsidR="00F92FB3">
      <w:rPr>
        <w:rFonts w:ascii="Arial" w:eastAsia="Arial" w:hAnsi="Arial" w:cs="Arial"/>
        <w:color w:val="000000"/>
        <w:sz w:val="18"/>
        <w:szCs w:val="18"/>
      </w:rPr>
      <w:fldChar w:fldCharType="separate"/>
    </w:r>
    <w:r w:rsidR="00737A84">
      <w:rPr>
        <w:rFonts w:ascii="Arial" w:eastAsia="Arial" w:hAnsi="Arial" w:cs="Arial"/>
        <w:noProof/>
        <w:color w:val="000000"/>
        <w:sz w:val="18"/>
        <w:szCs w:val="18"/>
      </w:rPr>
      <w:t>2</w:t>
    </w:r>
    <w:r w:rsidR="00F92FB3">
      <w:rPr>
        <w:rFonts w:ascii="Arial" w:eastAsia="Arial" w:hAnsi="Arial" w:cs="Arial"/>
        <w:color w:val="000000"/>
        <w:sz w:val="18"/>
        <w:szCs w:val="18"/>
      </w:rPr>
      <w:fldChar w:fldCharType="end"/>
    </w:r>
  </w:p>
  <w:p w14:paraId="0BB8C629" w14:textId="77777777" w:rsidR="00A11FB8" w:rsidRDefault="00F92FB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CB18" w14:textId="77777777" w:rsidR="00737A84" w:rsidRDefault="00737A84">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D722" w14:textId="77777777" w:rsidR="00F92FB3" w:rsidRDefault="00F92FB3">
      <w:r>
        <w:separator/>
      </w:r>
    </w:p>
  </w:footnote>
  <w:footnote w:type="continuationSeparator" w:id="0">
    <w:p w14:paraId="33703FE4" w14:textId="77777777" w:rsidR="00F92FB3" w:rsidRDefault="00F92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04BB" w14:textId="77777777" w:rsidR="00737A84" w:rsidRDefault="00737A84">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F5BF" w14:textId="53BA7B05" w:rsidR="00A11FB8" w:rsidRPr="00737A84" w:rsidRDefault="00F92FB3" w:rsidP="00737A84">
    <w:pPr>
      <w:pBdr>
        <w:top w:val="nil"/>
        <w:left w:val="nil"/>
        <w:bottom w:val="nil"/>
        <w:right w:val="nil"/>
        <w:between w:val="nil"/>
      </w:pBdr>
      <w:tabs>
        <w:tab w:val="center" w:pos="4320"/>
        <w:tab w:val="right" w:pos="8640"/>
      </w:tabs>
      <w:jc w:val="center"/>
      <w:rPr>
        <w:rFonts w:ascii="Arial" w:eastAsia="Arial" w:hAnsi="Arial" w:cs="Arial"/>
        <w:b/>
        <w:bCs/>
        <w:color w:val="000000"/>
        <w:sz w:val="32"/>
        <w:szCs w:val="32"/>
      </w:rPr>
    </w:pPr>
    <w:r>
      <w:rPr>
        <w:rFonts w:ascii="Arial" w:eastAsia="Arial" w:hAnsi="Arial" w:cs="Arial"/>
        <w:b/>
        <w:bCs/>
        <w:color w:val="000000"/>
        <w:sz w:val="32"/>
        <w:szCs w:val="32"/>
      </w:rPr>
      <w:t>N</w:t>
    </w:r>
    <w:r>
      <w:rPr>
        <w:rFonts w:ascii="Arial" w:eastAsia="Arial" w:hAnsi="Arial" w:cs="Arial"/>
        <w:b/>
        <w:bCs/>
        <w:color w:val="000000"/>
        <w:sz w:val="32"/>
        <w:szCs w:val="32"/>
      </w:rPr>
      <w:t>PRR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19BF" w14:textId="77777777" w:rsidR="00737A84" w:rsidRDefault="00737A84">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9247D0"/>
    <w:multiLevelType w:val="multilevel"/>
    <w:tmpl w:val="94701F62"/>
    <w:lvl w:ilvl="0">
      <w:start w:val="1"/>
      <w:numFmt w:val="decimal"/>
      <w:pStyle w:val="Heading1"/>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B111A0"/>
    <w:multiLevelType w:val="multilevel"/>
    <w:tmpl w:val="ADCE6AD8"/>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06589487">
    <w:abstractNumId w:val="0"/>
  </w:num>
  <w:num w:numId="2" w16cid:durableId="541284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B8"/>
    <w:rsid w:val="00331912"/>
    <w:rsid w:val="003464F1"/>
    <w:rsid w:val="00737A84"/>
    <w:rsid w:val="009438AB"/>
    <w:rsid w:val="00A11FB8"/>
    <w:rsid w:val="00F92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101AA"/>
  <w15:docId w15:val="{B5601F12-598A-450A-898A-D61E9AFC4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Normal"/>
    <w:next w:val="Normal"/>
    <w:uiPriority w:val="9"/>
    <w:qFormat/>
    <w:pPr>
      <w:keepNext/>
      <w:keepLines/>
      <w:spacing w:before="480" w:after="120"/>
      <w:outlineLvl w:val="0"/>
    </w:pPr>
    <w:rPr>
      <w:b/>
      <w:bCs/>
      <w:sz w:val="48"/>
      <w:szCs w:val="48"/>
    </w:rPr>
  </w:style>
  <w:style w:type="paragraph" w:styleId="Heading20">
    <w:name w:val="heading 2"/>
    <w:basedOn w:val="Normal"/>
    <w:next w:val="Normal"/>
    <w:uiPriority w:val="9"/>
    <w:semiHidden/>
    <w:unhideWhenUsed/>
    <w:qFormat/>
    <w:pPr>
      <w:keepNext/>
      <w:keepLines/>
      <w:spacing w:before="360" w:after="80"/>
      <w:outlineLvl w:val="1"/>
    </w:pPr>
    <w:rPr>
      <w:b/>
      <w:bCs/>
      <w:sz w:val="36"/>
      <w:szCs w:val="36"/>
    </w:rPr>
  </w:style>
  <w:style w:type="paragraph" w:styleId="Heading30">
    <w:name w:val="heading 3"/>
    <w:basedOn w:val="Normal"/>
    <w:next w:val="Normal"/>
    <w:uiPriority w:val="9"/>
    <w:semiHidden/>
    <w:unhideWhenUsed/>
    <w:qFormat/>
    <w:pPr>
      <w:keepNext/>
      <w:keepLines/>
      <w:spacing w:before="280" w:after="80"/>
      <w:outlineLvl w:val="2"/>
    </w:pPr>
    <w:rPr>
      <w:b/>
      <w:bCs/>
      <w:sz w:val="28"/>
      <w:szCs w:val="28"/>
    </w:rPr>
  </w:style>
  <w:style w:type="paragraph" w:styleId="Heading40">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szCs w:val="20"/>
      <w:lang w:val="en-US"/>
    </w:rPr>
  </w:style>
  <w:style w:type="paragraph" w:styleId="Heading8">
    <w:name w:val="heading 8"/>
    <w:basedOn w:val="Normal"/>
    <w:next w:val="Normal"/>
    <w:pPr>
      <w:suppressAutoHyphens/>
      <w:spacing w:before="240" w:after="60" w:line="1" w:lineRule="atLeast"/>
      <w:ind w:leftChars="-1" w:left="-1" w:hangingChars="1" w:hanging="1"/>
      <w:textDirection w:val="btLr"/>
      <w:textAlignment w:val="top"/>
      <w:outlineLvl w:val="7"/>
    </w:pPr>
    <w:rPr>
      <w:i/>
      <w:position w:val="-1"/>
      <w:szCs w:val="20"/>
      <w:lang w:val="en-US"/>
    </w:rPr>
  </w:style>
  <w:style w:type="paragraph" w:styleId="Heading9">
    <w:name w:val="heading 9"/>
    <w:basedOn w:val="Normal"/>
    <w:next w:val="Normal"/>
    <w:pPr>
      <w:suppressAutoHyphens/>
      <w:spacing w:before="240" w:after="60" w:line="1" w:lineRule="atLeast"/>
      <w:ind w:leftChars="-1" w:left="-1" w:hangingChars="1" w:hanging="1"/>
      <w:textDirection w:val="btLr"/>
      <w:textAlignment w:val="top"/>
      <w:outlineLvl w:val="8"/>
    </w:pPr>
    <w:rPr>
      <w:rFonts w:ascii="Arial" w:hAnsi="Arial"/>
      <w:position w:val="-1"/>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Heading1">
    <w:name w:val="heading 1"/>
    <w:aliases w:val="h1"/>
    <w:basedOn w:val="Normal"/>
    <w:next w:val="Normal"/>
    <w:pPr>
      <w:keepNext/>
      <w:numPr>
        <w:numId w:val="1"/>
      </w:numPr>
      <w:suppressAutoHyphens/>
      <w:spacing w:after="240" w:line="1" w:lineRule="atLeast"/>
      <w:ind w:leftChars="-1" w:left="-1" w:hangingChars="1" w:hanging="1"/>
      <w:textDirection w:val="btLr"/>
      <w:textAlignment w:val="top"/>
      <w:outlineLvl w:val="0"/>
    </w:pPr>
    <w:rPr>
      <w:b/>
      <w:caps/>
      <w:position w:val="-1"/>
      <w:szCs w:val="20"/>
      <w:lang w:val="en-US"/>
    </w:rPr>
  </w:style>
  <w:style w:type="paragraph" w:customStyle="1" w:styleId="Heading2">
    <w:name w:val="heading 2"/>
    <w:aliases w:val="h2"/>
    <w:basedOn w:val="Normal"/>
    <w:next w:val="Normal"/>
    <w:pPr>
      <w:keepNext/>
      <w:numPr>
        <w:ilvl w:val="1"/>
        <w:numId w:val="1"/>
      </w:numPr>
      <w:suppressAutoHyphens/>
      <w:spacing w:before="240" w:after="240" w:line="1" w:lineRule="atLeast"/>
      <w:ind w:leftChars="-1" w:left="-1" w:hangingChars="1" w:hanging="1"/>
      <w:textDirection w:val="btLr"/>
      <w:textAlignment w:val="top"/>
      <w:outlineLvl w:val="1"/>
    </w:pPr>
    <w:rPr>
      <w:b/>
      <w:position w:val="-1"/>
      <w:szCs w:val="20"/>
      <w:lang w:val="en-US"/>
    </w:rPr>
  </w:style>
  <w:style w:type="paragraph" w:customStyle="1" w:styleId="Heading3">
    <w:name w:val="heading 3"/>
    <w:aliases w:val="h3"/>
    <w:basedOn w:val="Normal"/>
    <w:next w:val="Normal"/>
    <w:pPr>
      <w:keepNext/>
      <w:numPr>
        <w:ilvl w:val="2"/>
        <w:numId w:val="1"/>
      </w:numPr>
      <w:suppressAutoHyphens/>
      <w:spacing w:before="120" w:after="120" w:line="1" w:lineRule="atLeast"/>
      <w:ind w:leftChars="-1" w:left="-1" w:hangingChars="1" w:hanging="1"/>
      <w:textDirection w:val="btLr"/>
      <w:textAlignment w:val="top"/>
      <w:outlineLvl w:val="2"/>
    </w:pPr>
    <w:rPr>
      <w:b/>
      <w:bCs/>
      <w:i/>
      <w:iCs/>
      <w:position w:val="-1"/>
      <w:szCs w:val="20"/>
      <w:lang w:val="en-US"/>
    </w:rPr>
  </w:style>
  <w:style w:type="paragraph" w:customStyle="1" w:styleId="Heading4">
    <w:name w:val="heading 4"/>
    <w:aliases w:val="h4"/>
    <w:basedOn w:val="Normal"/>
    <w:next w:val="Normal"/>
    <w:pPr>
      <w:keepNext/>
      <w:widowControl w:val="0"/>
      <w:numPr>
        <w:ilvl w:val="3"/>
        <w:numId w:val="1"/>
      </w:numPr>
      <w:suppressAutoHyphens/>
      <w:spacing w:before="360" w:after="240" w:line="1" w:lineRule="atLeast"/>
      <w:ind w:leftChars="-1" w:left="-1" w:hangingChars="1" w:hanging="1"/>
      <w:textDirection w:val="btLr"/>
      <w:textAlignment w:val="top"/>
      <w:outlineLvl w:val="3"/>
    </w:pPr>
    <w:rPr>
      <w:b/>
      <w:bCs/>
      <w:snapToGrid w:val="0"/>
      <w:position w:val="-1"/>
      <w:szCs w:val="20"/>
      <w:lang w:val="en-US"/>
    </w:rPr>
  </w:style>
  <w:style w:type="paragraph" w:customStyle="1" w:styleId="Heading50">
    <w:name w:val="heading 5"/>
    <w:aliases w:val="h5"/>
    <w:basedOn w:val="Normal"/>
    <w:next w:val="Normal"/>
    <w:pPr>
      <w:suppressAutoHyphens/>
      <w:spacing w:before="240" w:after="60" w:line="1" w:lineRule="atLeast"/>
      <w:ind w:leftChars="-1" w:left="-1" w:hangingChars="1" w:hanging="1"/>
      <w:textDirection w:val="btLr"/>
      <w:textAlignment w:val="top"/>
      <w:outlineLvl w:val="4"/>
    </w:pPr>
    <w:rPr>
      <w:b/>
      <w:i/>
      <w:position w:val="-1"/>
      <w:sz w:val="26"/>
      <w:szCs w:val="20"/>
      <w:lang w:val="en-US"/>
    </w:rPr>
  </w:style>
  <w:style w:type="paragraph" w:customStyle="1" w:styleId="Heading60">
    <w:name w:val="heading 6"/>
    <w:aliases w:val="h6"/>
    <w:basedOn w:val="Normal"/>
    <w:next w:val="Normal"/>
    <w:pPr>
      <w:suppressAutoHyphens/>
      <w:spacing w:before="240" w:after="60" w:line="1" w:lineRule="atLeast"/>
      <w:ind w:leftChars="-1" w:left="-1" w:hangingChars="1" w:hanging="1"/>
      <w:textDirection w:val="btLr"/>
      <w:textAlignment w:val="top"/>
      <w:outlineLvl w:val="5"/>
    </w:pPr>
    <w:rPr>
      <w:b/>
      <w:position w:val="-1"/>
      <w:sz w:val="22"/>
      <w:szCs w:val="20"/>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rFonts w:ascii="Arial" w:hAnsi="Arial"/>
      <w:b/>
      <w:bCs/>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customStyle="1" w:styleId="TXUNormal">
    <w:name w:val="TXUNormal"/>
    <w:pPr>
      <w:suppressAutoHyphens/>
      <w:spacing w:after="120" w:line="1" w:lineRule="atLeast"/>
      <w:ind w:leftChars="-1" w:left="-1" w:hangingChars="1" w:hanging="1"/>
      <w:textDirection w:val="btLr"/>
      <w:textAlignment w:val="top"/>
      <w:outlineLvl w:val="0"/>
    </w:pPr>
    <w:rPr>
      <w:position w:val="-1"/>
      <w:lang w:val="en-US"/>
    </w:rPr>
  </w:style>
  <w:style w:type="paragraph" w:customStyle="1" w:styleId="TXUHeader">
    <w:name w:val="TXUHeader"/>
    <w:basedOn w:val="TXUNormal"/>
    <w:pPr>
      <w:tabs>
        <w:tab w:val="right" w:pos="9360"/>
      </w:tabs>
      <w:spacing w:after="0"/>
    </w:pPr>
    <w:rPr>
      <w:noProof/>
      <w:sz w:val="16"/>
      <w:lang/>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uppressAutoHyphens/>
      <w:spacing w:before="120" w:after="120" w:line="1" w:lineRule="atLeast"/>
      <w:ind w:leftChars="-1" w:left="720" w:right="720" w:hangingChars="1" w:hanging="1"/>
      <w:textDirection w:val="btLr"/>
      <w:textAlignment w:val="top"/>
      <w:outlineLvl w:val="0"/>
    </w:pPr>
    <w:rPr>
      <w:position w:val="-1"/>
      <w:szCs w:val="20"/>
      <w:lang w:val="en-US"/>
    </w:rPr>
  </w:style>
  <w:style w:type="character" w:styleId="Hyperlink">
    <w:name w:val="Hyperlink"/>
    <w:basedOn w:val="DefaultParagraphFont"/>
    <w:rPr>
      <w:color w:val="0000FF"/>
      <w:w w:val="100"/>
      <w:position w:val="-1"/>
      <w:u w:val="single"/>
      <w:effect w:val="none"/>
      <w:vertAlign w:val="baseline"/>
      <w:cs w:val="0"/>
      <w:em w:val="none"/>
    </w:rPr>
  </w:style>
  <w:style w:type="paragraph" w:styleId="BodyText">
    <w:name w:val="Body Text"/>
    <w:basedOn w:val="Normal"/>
    <w:pPr>
      <w:suppressAutoHyphens/>
      <w:spacing w:before="120" w:after="120" w:line="1" w:lineRule="atLeast"/>
      <w:ind w:leftChars="-1" w:left="-1" w:hangingChars="1" w:hanging="1"/>
      <w:textDirection w:val="btLr"/>
      <w:textAlignment w:val="top"/>
      <w:outlineLvl w:val="0"/>
    </w:pPr>
    <w:rPr>
      <w:position w:val="-1"/>
      <w:lang w:val="en-US"/>
    </w:rPr>
  </w:style>
  <w:style w:type="paragraph" w:styleId="BodyTextIndent">
    <w:name w:val="Body Text Indent"/>
    <w:basedOn w:val="Normal"/>
    <w:pPr>
      <w:suppressAutoHyphens/>
      <w:spacing w:before="120" w:after="120" w:line="1" w:lineRule="atLeast"/>
      <w:ind w:leftChars="-1" w:left="720" w:hangingChars="1" w:hanging="1"/>
      <w:textDirection w:val="btLr"/>
      <w:textAlignment w:val="top"/>
      <w:outlineLvl w:val="0"/>
    </w:pPr>
    <w:rPr>
      <w:position w:val="-1"/>
      <w:lang w:val="en-US"/>
    </w:rPr>
  </w:style>
  <w:style w:type="paragraph" w:customStyle="1" w:styleId="Bullet">
    <w:name w:val="Bullet"/>
    <w:basedOn w:val="Normal"/>
    <w:pPr>
      <w:numPr>
        <w:numId w:val="2"/>
      </w:numPr>
      <w:suppressAutoHyphens/>
      <w:spacing w:before="60" w:after="120" w:line="1" w:lineRule="atLeast"/>
      <w:ind w:leftChars="-1" w:left="-1" w:hangingChars="1" w:hanging="1"/>
      <w:textDirection w:val="btLr"/>
      <w:textAlignment w:val="top"/>
      <w:outlineLvl w:val="0"/>
    </w:pPr>
    <w:rPr>
      <w:position w:val="-1"/>
      <w:szCs w:val="20"/>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customStyle="1" w:styleId="NormalArial">
    <w:name w:val="Normal+Arial"/>
    <w:basedOn w:val="Normal"/>
    <w:pPr>
      <w:suppressAutoHyphens/>
      <w:spacing w:line="1" w:lineRule="atLeast"/>
      <w:ind w:leftChars="-1" w:left="-1" w:hangingChars="1" w:hanging="1"/>
      <w:textDirection w:val="btLr"/>
      <w:textAlignment w:val="top"/>
      <w:outlineLvl w:val="0"/>
    </w:pPr>
    <w:rPr>
      <w:rFonts w:ascii="Arial" w:hAnsi="Arial"/>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paragraph" w:styleId="CommentSubject">
    <w:name w:val="annotation subject"/>
    <w:basedOn w:val="CommentText"/>
    <w:next w:val="CommentText"/>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331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NPRR130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hrismatos@google.com" TargetMode="External"/><Relationship Id="rId4" Type="http://schemas.openxmlformats.org/officeDocument/2006/relationships/settings" Target="settings.xml"/><Relationship Id="rId9" Type="http://schemas.openxmlformats.org/officeDocument/2006/relationships/hyperlink" Target="mailto:chrismatos@googl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jLd56xJwSgYPgdIyn+/brwgUQ==">CgMxLjA4AGolChRzdWdnZXN0LnBhajIyNDJmc21nZhINVHlsZXIgSHVlYm5lcmolChRzdWdnZXN0LmxnN2RjMTRmNjF3OBINVHlsZXIgSHVlYm5lcmolChRzdWdnZXN0LndvbWYwYzNtcnl4dhINVHlsZXIgSHVlYm5lcmolChRzdWdnZXN0LnZnbmd0OHVrdGprcRINVHlsZXIgSHVlYm5lcmolChRzdWdnZXN0LmY3dnFoNGg2ank2dhINVHlsZXIgSHVlYm5lcmolChRzdWdnZXN0Lmxjc2hjcTM3eXN3bhINVHlsZXIgSHVlYm5lcmolChRzdWdnZXN0LnhnbDFwMDlsbnc1NBINVHlsZXIgSHVlYm5lcmolChRzdWdnZXN0LngzYXRheGIyNGJoaxINVHlsZXIgSHVlYm5lcmolChRzdWdnZXN0LjcyMmp3ZzdlZTd6MRINVHlsZXIgSHVlYm5lcmolChRzdWdnZXN0LjgwZzI5d21hNDQydBINVHlsZXIgSHVlYm5lcmolChRzdWdnZXN0LjFqbHFlYjJoejlveBINVHlsZXIgSHVlYm5lcmolChRzdWdnZXN0LmducnNoMjU1bGk4dBINVHlsZXIgSHVlYm5lcmolChRzdWdnZXN0LnQ3eXYxYm1naTBrMBINVHlsZXIgSHVlYm5lcmolChRzdWdnZXN0LmRpOG94Mm9naXRkMBINVHlsZXIgSHVlYm5lcmolChRzdWdnZXN0LjFqemlzZmU2azFneBINVHlsZXIgSHVlYm5lcmolChRzdWdnZXN0LnU0MG1zdTJ4bHUxaxINVHlsZXIgSHVlYm5lcmokChNzdWdnZXN0LjJwdmt4bzkzZmZ2Eg1UeWxlciBIdWVibmVyaiQKE3N1Z2dlc3QuNmRlM3IydW1yNXcSDVR5bGVyIEh1ZWJuZXJyITFtaVF4WFNuVnMteDdZdzN3c2w0NnBYcFB0YmdGaTMw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733</Words>
  <Characters>4553</Characters>
  <Application>Microsoft Office Word</Application>
  <DocSecurity>0</DocSecurity>
  <Lines>1138</Lines>
  <Paragraphs>440</Paragraphs>
  <ScaleCrop>false</ScaleCrop>
  <HeadingPairs>
    <vt:vector size="2" baseType="variant">
      <vt:variant>
        <vt:lpstr>Title</vt:lpstr>
      </vt:variant>
      <vt:variant>
        <vt:i4>1</vt:i4>
      </vt:variant>
    </vt:vector>
  </HeadingPairs>
  <TitlesOfParts>
    <vt:vector size="1" baseType="lpstr">
      <vt:lpstr/>
    </vt:vector>
  </TitlesOfParts>
  <Company>ERCOT</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ERCOT/if</dc:creator>
  <cp:lastModifiedBy>ERCOT Market Rules</cp:lastModifiedBy>
  <cp:revision>4</cp:revision>
  <dcterms:created xsi:type="dcterms:W3CDTF">2025-12-04T13:03:00Z</dcterms:created>
  <dcterms:modified xsi:type="dcterms:W3CDTF">2025-12-04T13:11:00Z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2025-12-04T13:03:29Z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e664732c-0659-4a1c-b43a-eeedd944d589</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