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32ADF80A" w:rsidR="003F580A" w:rsidRDefault="00BD655B" w:rsidP="003F580A">
      <w:pPr>
        <w:spacing w:before="360"/>
        <w:jc w:val="center"/>
        <w:rPr>
          <w:b/>
          <w:szCs w:val="24"/>
        </w:rPr>
      </w:pPr>
      <w:r>
        <w:rPr>
          <w:b/>
          <w:szCs w:val="24"/>
        </w:rPr>
        <w:t>April</w:t>
      </w:r>
      <w:r w:rsidR="003F580A">
        <w:rPr>
          <w:b/>
          <w:szCs w:val="24"/>
        </w:rPr>
        <w:t xml:space="preserve"> 1, 202</w:t>
      </w:r>
      <w:r>
        <w:rPr>
          <w:b/>
          <w:szCs w:val="24"/>
        </w:rPr>
        <w:t>5</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16EC5517"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6822B0">
          <w:rPr>
            <w:webHidden/>
          </w:rPr>
          <w:t>26-1</w:t>
        </w:r>
        <w:r w:rsidR="00793B91">
          <w:rPr>
            <w:webHidden/>
          </w:rPr>
          <w:fldChar w:fldCharType="end"/>
        </w:r>
      </w:hyperlink>
    </w:p>
    <w:p w14:paraId="45691230" w14:textId="6C6C7324" w:rsidR="00793B91" w:rsidRPr="00E028C2" w:rsidRDefault="00793B91">
      <w:pPr>
        <w:pStyle w:val="TOC2"/>
        <w:rPr>
          <w:rFonts w:asciiTheme="minorHAnsi" w:eastAsiaTheme="minorEastAsia" w:hAnsiTheme="minorHAnsi" w:cstheme="minorBidi"/>
          <w:noProof/>
        </w:rPr>
      </w:pPr>
      <w:hyperlink w:anchor="_Toc141427850" w:history="1">
        <w:r w:rsidRPr="00E028C2">
          <w:rPr>
            <w:rStyle w:val="Hyperlink"/>
            <w:noProof/>
            <w:u w:val="none"/>
          </w:rPr>
          <w:t>26.1</w:t>
        </w:r>
        <w:r w:rsidRPr="00E028C2">
          <w:rPr>
            <w:rFonts w:asciiTheme="minorHAnsi" w:eastAsiaTheme="minorEastAsia" w:hAnsiTheme="minorHAnsi" w:cstheme="minorBidi"/>
            <w:noProof/>
          </w:rPr>
          <w:tab/>
        </w:r>
        <w:r w:rsidRPr="00E028C2">
          <w:rPr>
            <w:rStyle w:val="Hyperlink"/>
            <w:noProof/>
            <w:u w:val="none"/>
          </w:rPr>
          <w:t>Overview</w:t>
        </w:r>
        <w:r w:rsidRPr="00E028C2">
          <w:rPr>
            <w:noProof/>
            <w:webHidden/>
          </w:rPr>
          <w:tab/>
        </w:r>
        <w:r w:rsidRPr="00E028C2">
          <w:rPr>
            <w:noProof/>
            <w:webHidden/>
          </w:rPr>
          <w:fldChar w:fldCharType="begin"/>
        </w:r>
        <w:r w:rsidRPr="00E028C2">
          <w:rPr>
            <w:noProof/>
            <w:webHidden/>
          </w:rPr>
          <w:instrText xml:space="preserve"> PAGEREF _Toc141427850 \h </w:instrText>
        </w:r>
        <w:r w:rsidRPr="00E028C2">
          <w:rPr>
            <w:noProof/>
            <w:webHidden/>
          </w:rPr>
        </w:r>
        <w:r w:rsidRPr="00E028C2">
          <w:rPr>
            <w:noProof/>
            <w:webHidden/>
          </w:rPr>
          <w:fldChar w:fldCharType="separate"/>
        </w:r>
        <w:r w:rsidR="006822B0">
          <w:rPr>
            <w:noProof/>
            <w:webHidden/>
          </w:rPr>
          <w:t>26-1</w:t>
        </w:r>
        <w:r w:rsidRPr="00E028C2">
          <w:rPr>
            <w:noProof/>
            <w:webHidden/>
          </w:rPr>
          <w:fldChar w:fldCharType="end"/>
        </w:r>
      </w:hyperlink>
    </w:p>
    <w:p w14:paraId="6AEB83F7" w14:textId="43B31719" w:rsidR="00793B91" w:rsidRPr="00E028C2" w:rsidRDefault="00793B91">
      <w:pPr>
        <w:pStyle w:val="TOC2"/>
        <w:rPr>
          <w:rFonts w:asciiTheme="minorHAnsi" w:eastAsiaTheme="minorEastAsia" w:hAnsiTheme="minorHAnsi" w:cstheme="minorBidi"/>
          <w:noProof/>
        </w:rPr>
      </w:pPr>
      <w:hyperlink w:anchor="_Toc141427851" w:history="1">
        <w:r w:rsidRPr="00E028C2">
          <w:rPr>
            <w:rStyle w:val="Hyperlink"/>
            <w:noProof/>
            <w:u w:val="none"/>
          </w:rPr>
          <w:t>26.2</w:t>
        </w:r>
        <w:r w:rsidRPr="00E028C2">
          <w:rPr>
            <w:rFonts w:asciiTheme="minorHAnsi" w:eastAsiaTheme="minorEastAsia" w:hAnsiTheme="minorHAnsi" w:cstheme="minorBidi"/>
            <w:noProof/>
          </w:rPr>
          <w:tab/>
        </w:r>
        <w:r w:rsidRPr="00E028C2">
          <w:rPr>
            <w:rStyle w:val="Hyperlink"/>
            <w:noProof/>
            <w:u w:val="none"/>
          </w:rPr>
          <w:t>Securitization Default Charges</w:t>
        </w:r>
        <w:r w:rsidRPr="00E028C2">
          <w:rPr>
            <w:noProof/>
            <w:webHidden/>
          </w:rPr>
          <w:tab/>
        </w:r>
        <w:r w:rsidRPr="00E028C2">
          <w:rPr>
            <w:noProof/>
            <w:webHidden/>
          </w:rPr>
          <w:fldChar w:fldCharType="begin"/>
        </w:r>
        <w:r w:rsidRPr="00E028C2">
          <w:rPr>
            <w:noProof/>
            <w:webHidden/>
          </w:rPr>
          <w:instrText xml:space="preserve"> PAGEREF _Toc141427851 \h </w:instrText>
        </w:r>
        <w:r w:rsidRPr="00E028C2">
          <w:rPr>
            <w:noProof/>
            <w:webHidden/>
          </w:rPr>
        </w:r>
        <w:r w:rsidRPr="00E028C2">
          <w:rPr>
            <w:noProof/>
            <w:webHidden/>
          </w:rPr>
          <w:fldChar w:fldCharType="separate"/>
        </w:r>
        <w:r w:rsidR="006822B0">
          <w:rPr>
            <w:noProof/>
            <w:webHidden/>
          </w:rPr>
          <w:t>26-1</w:t>
        </w:r>
        <w:r w:rsidRPr="00E028C2">
          <w:rPr>
            <w:noProof/>
            <w:webHidden/>
          </w:rPr>
          <w:fldChar w:fldCharType="end"/>
        </w:r>
      </w:hyperlink>
    </w:p>
    <w:p w14:paraId="68329456" w14:textId="3DCAE03A" w:rsidR="00793B91" w:rsidRPr="00E028C2" w:rsidRDefault="00793B91">
      <w:pPr>
        <w:pStyle w:val="TOC2"/>
        <w:rPr>
          <w:rFonts w:asciiTheme="minorHAnsi" w:eastAsiaTheme="minorEastAsia" w:hAnsiTheme="minorHAnsi" w:cstheme="minorBidi"/>
          <w:noProof/>
        </w:rPr>
      </w:pPr>
      <w:hyperlink w:anchor="_Toc141427852" w:history="1">
        <w:r w:rsidRPr="00E028C2">
          <w:rPr>
            <w:rStyle w:val="Hyperlink"/>
            <w:noProof/>
            <w:u w:val="none"/>
          </w:rPr>
          <w:t xml:space="preserve">26.3 </w:t>
        </w:r>
        <w:r w:rsidRPr="00E028C2">
          <w:rPr>
            <w:rFonts w:asciiTheme="minorHAnsi" w:eastAsiaTheme="minorEastAsia" w:hAnsiTheme="minorHAnsi" w:cstheme="minorBidi"/>
            <w:noProof/>
          </w:rPr>
          <w:tab/>
        </w:r>
        <w:r w:rsidRPr="00E028C2">
          <w:rPr>
            <w:rStyle w:val="Hyperlink"/>
            <w:noProof/>
            <w:u w:val="none"/>
          </w:rPr>
          <w:t>Securitization Default Charge Invoices</w:t>
        </w:r>
        <w:r w:rsidRPr="00E028C2">
          <w:rPr>
            <w:noProof/>
            <w:webHidden/>
          </w:rPr>
          <w:tab/>
        </w:r>
        <w:r w:rsidRPr="00E028C2">
          <w:rPr>
            <w:noProof/>
            <w:webHidden/>
          </w:rPr>
          <w:fldChar w:fldCharType="begin"/>
        </w:r>
        <w:r w:rsidRPr="00E028C2">
          <w:rPr>
            <w:noProof/>
            <w:webHidden/>
          </w:rPr>
          <w:instrText xml:space="preserve"> PAGEREF _Toc141427852 \h </w:instrText>
        </w:r>
        <w:r w:rsidRPr="00E028C2">
          <w:rPr>
            <w:noProof/>
            <w:webHidden/>
          </w:rPr>
        </w:r>
        <w:r w:rsidRPr="00E028C2">
          <w:rPr>
            <w:noProof/>
            <w:webHidden/>
          </w:rPr>
          <w:fldChar w:fldCharType="separate"/>
        </w:r>
        <w:r w:rsidR="006822B0">
          <w:rPr>
            <w:noProof/>
            <w:webHidden/>
          </w:rPr>
          <w:t>26-7</w:t>
        </w:r>
        <w:r w:rsidRPr="00E028C2">
          <w:rPr>
            <w:noProof/>
            <w:webHidden/>
          </w:rPr>
          <w:fldChar w:fldCharType="end"/>
        </w:r>
      </w:hyperlink>
    </w:p>
    <w:p w14:paraId="77719FF3" w14:textId="588A7CF8" w:rsidR="00793B91" w:rsidRPr="00E028C2" w:rsidRDefault="00793B91" w:rsidP="00E028C2">
      <w:pPr>
        <w:pStyle w:val="TOC3"/>
        <w:rPr>
          <w:rFonts w:asciiTheme="minorHAnsi" w:eastAsiaTheme="minorEastAsia" w:hAnsiTheme="minorHAnsi" w:cstheme="minorBidi"/>
          <w:i w:val="0"/>
          <w:iCs w:val="0"/>
          <w:noProof/>
        </w:rPr>
      </w:pPr>
      <w:hyperlink w:anchor="_Toc141427853" w:history="1">
        <w:r w:rsidRPr="00E028C2">
          <w:rPr>
            <w:rStyle w:val="Hyperlink"/>
            <w:i w:val="0"/>
            <w:iCs w:val="0"/>
            <w:noProof/>
            <w:u w:val="none"/>
          </w:rPr>
          <w:t>26.3.1</w:t>
        </w:r>
        <w:r w:rsidRPr="00E028C2">
          <w:rPr>
            <w:rFonts w:asciiTheme="minorHAnsi" w:eastAsiaTheme="minorEastAsia" w:hAnsiTheme="minorHAnsi" w:cstheme="minorBidi"/>
            <w:i w:val="0"/>
            <w:iCs w:val="0"/>
            <w:noProof/>
          </w:rPr>
          <w:tab/>
        </w:r>
        <w:r w:rsidRPr="00E028C2">
          <w:rPr>
            <w:rStyle w:val="Hyperlink"/>
            <w:i w:val="0"/>
            <w:iCs w:val="0"/>
            <w:noProof/>
            <w:u w:val="none"/>
          </w:rPr>
          <w:t>Payment Process for Securitization Default Charge Invoices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_Toc141427853 \h </w:instrText>
        </w:r>
        <w:r w:rsidRPr="00E028C2">
          <w:rPr>
            <w:i w:val="0"/>
            <w:iCs w:val="0"/>
            <w:noProof/>
            <w:webHidden/>
          </w:rPr>
        </w:r>
        <w:r w:rsidRPr="00E028C2">
          <w:rPr>
            <w:i w:val="0"/>
            <w:iCs w:val="0"/>
            <w:noProof/>
            <w:webHidden/>
          </w:rPr>
          <w:fldChar w:fldCharType="separate"/>
        </w:r>
        <w:r w:rsidR="006822B0">
          <w:rPr>
            <w:i w:val="0"/>
            <w:iCs w:val="0"/>
            <w:noProof/>
            <w:webHidden/>
          </w:rPr>
          <w:t>26-8</w:t>
        </w:r>
        <w:r w:rsidRPr="00E028C2">
          <w:rPr>
            <w:i w:val="0"/>
            <w:iCs w:val="0"/>
            <w:noProof/>
            <w:webHidden/>
          </w:rPr>
          <w:fldChar w:fldCharType="end"/>
        </w:r>
      </w:hyperlink>
    </w:p>
    <w:p w14:paraId="5D121F04" w14:textId="58AE7184" w:rsidR="00793B91" w:rsidRPr="00E028C2" w:rsidRDefault="00793B91">
      <w:pPr>
        <w:pStyle w:val="TOC4"/>
        <w:rPr>
          <w:rFonts w:asciiTheme="minorHAnsi" w:eastAsiaTheme="minorEastAsia" w:hAnsiTheme="minorHAnsi" w:cstheme="minorBidi"/>
          <w:noProof/>
          <w:sz w:val="20"/>
          <w:szCs w:val="20"/>
        </w:rPr>
      </w:pPr>
      <w:hyperlink w:anchor="_Toc141427854" w:history="1">
        <w:r w:rsidRPr="00E028C2">
          <w:rPr>
            <w:rStyle w:val="Hyperlink"/>
            <w:noProof/>
            <w:sz w:val="20"/>
            <w:szCs w:val="20"/>
            <w:u w:val="none"/>
          </w:rPr>
          <w:t>26.3.1.1</w:t>
        </w:r>
        <w:r w:rsidRPr="00E028C2">
          <w:rPr>
            <w:rFonts w:asciiTheme="minorHAnsi" w:eastAsiaTheme="minorEastAsia" w:hAnsiTheme="minorHAnsi" w:cstheme="minorBidi"/>
            <w:noProof/>
            <w:sz w:val="20"/>
            <w:szCs w:val="20"/>
          </w:rPr>
          <w:tab/>
        </w:r>
        <w:r w:rsidRPr="00E028C2">
          <w:rPr>
            <w:rStyle w:val="Hyperlink"/>
            <w:noProof/>
            <w:sz w:val="20"/>
            <w:szCs w:val="20"/>
            <w:u w:val="none"/>
          </w:rPr>
          <w:t>Invoice Recipient Payment to ERCOT for Securitization Default Charge Invoices</w:t>
        </w:r>
        <w:r w:rsidRPr="00E028C2">
          <w:rPr>
            <w:noProof/>
            <w:webHidden/>
            <w:sz w:val="20"/>
            <w:szCs w:val="20"/>
          </w:rPr>
          <w:tab/>
        </w:r>
        <w:r w:rsidRPr="00E028C2">
          <w:rPr>
            <w:noProof/>
            <w:webHidden/>
            <w:sz w:val="20"/>
            <w:szCs w:val="20"/>
          </w:rPr>
          <w:fldChar w:fldCharType="begin"/>
        </w:r>
        <w:r w:rsidRPr="00E028C2">
          <w:rPr>
            <w:noProof/>
            <w:webHidden/>
            <w:sz w:val="20"/>
            <w:szCs w:val="20"/>
          </w:rPr>
          <w:instrText xml:space="preserve"> PAGEREF _Toc141427854 \h </w:instrText>
        </w:r>
        <w:r w:rsidRPr="00E028C2">
          <w:rPr>
            <w:noProof/>
            <w:webHidden/>
            <w:sz w:val="20"/>
            <w:szCs w:val="20"/>
          </w:rPr>
        </w:r>
        <w:r w:rsidRPr="00E028C2">
          <w:rPr>
            <w:noProof/>
            <w:webHidden/>
            <w:sz w:val="20"/>
            <w:szCs w:val="20"/>
          </w:rPr>
          <w:fldChar w:fldCharType="separate"/>
        </w:r>
        <w:r w:rsidR="006822B0">
          <w:rPr>
            <w:noProof/>
            <w:webHidden/>
            <w:sz w:val="20"/>
            <w:szCs w:val="20"/>
          </w:rPr>
          <w:t>26-8</w:t>
        </w:r>
        <w:r w:rsidRPr="00E028C2">
          <w:rPr>
            <w:noProof/>
            <w:webHidden/>
            <w:sz w:val="20"/>
            <w:szCs w:val="20"/>
          </w:rPr>
          <w:fldChar w:fldCharType="end"/>
        </w:r>
      </w:hyperlink>
    </w:p>
    <w:p w14:paraId="1B3CD278" w14:textId="6A459C67" w:rsidR="00793B91" w:rsidRPr="00E028C2" w:rsidRDefault="00793B91">
      <w:pPr>
        <w:pStyle w:val="TOC4"/>
        <w:rPr>
          <w:rFonts w:asciiTheme="minorHAnsi" w:eastAsiaTheme="minorEastAsia" w:hAnsiTheme="minorHAnsi" w:cstheme="minorBidi"/>
          <w:noProof/>
          <w:sz w:val="20"/>
          <w:szCs w:val="20"/>
        </w:rPr>
      </w:pPr>
      <w:hyperlink w:anchor="_Toc141427855" w:history="1">
        <w:r w:rsidRPr="00E028C2">
          <w:rPr>
            <w:rStyle w:val="Hyperlink"/>
            <w:noProof/>
            <w:sz w:val="20"/>
            <w:szCs w:val="20"/>
            <w:u w:val="none"/>
          </w:rPr>
          <w:t>26.3.1.2</w:t>
        </w:r>
        <w:r w:rsidRPr="00E028C2">
          <w:rPr>
            <w:rFonts w:asciiTheme="minorHAnsi" w:eastAsiaTheme="minorEastAsia" w:hAnsiTheme="minorHAnsi" w:cstheme="minorBidi"/>
            <w:noProof/>
            <w:sz w:val="20"/>
            <w:szCs w:val="20"/>
          </w:rPr>
          <w:tab/>
        </w:r>
        <w:r w:rsidRPr="00E028C2">
          <w:rPr>
            <w:rStyle w:val="Hyperlink"/>
            <w:noProof/>
            <w:sz w:val="20"/>
            <w:szCs w:val="20"/>
            <w:u w:val="none"/>
          </w:rPr>
          <w:t>Insufficient Payments by Invoice Recipients for Securitization Default Charge Invoices</w:t>
        </w:r>
        <w:r w:rsidRPr="00E028C2">
          <w:rPr>
            <w:noProof/>
            <w:webHidden/>
            <w:sz w:val="20"/>
            <w:szCs w:val="20"/>
          </w:rPr>
          <w:tab/>
        </w:r>
        <w:r w:rsidRPr="00E028C2">
          <w:rPr>
            <w:noProof/>
            <w:webHidden/>
            <w:sz w:val="20"/>
            <w:szCs w:val="20"/>
          </w:rPr>
          <w:fldChar w:fldCharType="begin"/>
        </w:r>
        <w:r w:rsidRPr="00E028C2">
          <w:rPr>
            <w:noProof/>
            <w:webHidden/>
            <w:sz w:val="20"/>
            <w:szCs w:val="20"/>
          </w:rPr>
          <w:instrText xml:space="preserve"> PAGEREF _Toc141427855 \h </w:instrText>
        </w:r>
        <w:r w:rsidRPr="00E028C2">
          <w:rPr>
            <w:noProof/>
            <w:webHidden/>
            <w:sz w:val="20"/>
            <w:szCs w:val="20"/>
          </w:rPr>
        </w:r>
        <w:r w:rsidRPr="00E028C2">
          <w:rPr>
            <w:noProof/>
            <w:webHidden/>
            <w:sz w:val="20"/>
            <w:szCs w:val="20"/>
          </w:rPr>
          <w:fldChar w:fldCharType="separate"/>
        </w:r>
        <w:r w:rsidR="006822B0">
          <w:rPr>
            <w:noProof/>
            <w:webHidden/>
            <w:sz w:val="20"/>
            <w:szCs w:val="20"/>
          </w:rPr>
          <w:t>26-9</w:t>
        </w:r>
        <w:r w:rsidRPr="00E028C2">
          <w:rPr>
            <w:noProof/>
            <w:webHidden/>
            <w:sz w:val="20"/>
            <w:szCs w:val="20"/>
          </w:rPr>
          <w:fldChar w:fldCharType="end"/>
        </w:r>
      </w:hyperlink>
    </w:p>
    <w:p w14:paraId="0762FC4C" w14:textId="073D324D" w:rsidR="00793B91" w:rsidRPr="00E028C2" w:rsidRDefault="00793B91">
      <w:pPr>
        <w:pStyle w:val="TOC2"/>
        <w:rPr>
          <w:rFonts w:asciiTheme="minorHAnsi" w:eastAsiaTheme="minorEastAsia" w:hAnsiTheme="minorHAnsi" w:cstheme="minorBidi"/>
          <w:noProof/>
        </w:rPr>
      </w:pPr>
      <w:hyperlink w:anchor="_Toc141427856" w:history="1">
        <w:r w:rsidRPr="00E028C2">
          <w:rPr>
            <w:rStyle w:val="Hyperlink"/>
            <w:noProof/>
            <w:u w:val="none"/>
          </w:rPr>
          <w:t xml:space="preserve">26.4 </w:t>
        </w:r>
        <w:r w:rsidRPr="00E028C2">
          <w:rPr>
            <w:rFonts w:asciiTheme="minorHAnsi" w:eastAsiaTheme="minorEastAsia" w:hAnsiTheme="minorHAnsi" w:cstheme="minorBidi"/>
            <w:noProof/>
          </w:rPr>
          <w:tab/>
        </w:r>
        <w:r w:rsidRPr="00E028C2">
          <w:rPr>
            <w:rStyle w:val="Hyperlink"/>
            <w:noProof/>
            <w:u w:val="none"/>
          </w:rPr>
          <w:t>Securitization Default Charge Supporting Data Reporting</w:t>
        </w:r>
        <w:r w:rsidRPr="00E028C2">
          <w:rPr>
            <w:noProof/>
            <w:webHidden/>
          </w:rPr>
          <w:tab/>
        </w:r>
        <w:r w:rsidRPr="00E028C2">
          <w:rPr>
            <w:noProof/>
            <w:webHidden/>
          </w:rPr>
          <w:fldChar w:fldCharType="begin"/>
        </w:r>
        <w:r w:rsidRPr="00E028C2">
          <w:rPr>
            <w:noProof/>
            <w:webHidden/>
          </w:rPr>
          <w:instrText xml:space="preserve"> PAGEREF _Toc141427856 \h </w:instrText>
        </w:r>
        <w:r w:rsidRPr="00E028C2">
          <w:rPr>
            <w:noProof/>
            <w:webHidden/>
          </w:rPr>
        </w:r>
        <w:r w:rsidRPr="00E028C2">
          <w:rPr>
            <w:noProof/>
            <w:webHidden/>
          </w:rPr>
          <w:fldChar w:fldCharType="separate"/>
        </w:r>
        <w:r w:rsidR="006822B0">
          <w:rPr>
            <w:noProof/>
            <w:webHidden/>
          </w:rPr>
          <w:t>26-10</w:t>
        </w:r>
        <w:r w:rsidRPr="00E028C2">
          <w:rPr>
            <w:noProof/>
            <w:webHidden/>
          </w:rPr>
          <w:fldChar w:fldCharType="end"/>
        </w:r>
      </w:hyperlink>
    </w:p>
    <w:p w14:paraId="7B7593A6" w14:textId="04AD97FC" w:rsidR="00793B91" w:rsidRPr="00E028C2" w:rsidRDefault="00793B91">
      <w:pPr>
        <w:pStyle w:val="TOC2"/>
        <w:rPr>
          <w:rFonts w:asciiTheme="minorHAnsi" w:eastAsiaTheme="minorEastAsia" w:hAnsiTheme="minorHAnsi" w:cstheme="minorBidi"/>
          <w:noProof/>
        </w:rPr>
      </w:pPr>
      <w:hyperlink w:anchor="_Toc141427857" w:history="1">
        <w:r w:rsidRPr="00E028C2">
          <w:rPr>
            <w:rStyle w:val="Hyperlink"/>
            <w:noProof/>
            <w:u w:val="none"/>
          </w:rPr>
          <w:t>26.5</w:t>
        </w:r>
        <w:r w:rsidRPr="00E028C2">
          <w:rPr>
            <w:rFonts w:asciiTheme="minorHAnsi" w:eastAsiaTheme="minorEastAsia" w:hAnsiTheme="minorHAnsi" w:cstheme="minorBidi"/>
            <w:noProof/>
          </w:rPr>
          <w:tab/>
        </w:r>
        <w:r w:rsidRPr="00E028C2">
          <w:rPr>
            <w:rStyle w:val="Hyperlink"/>
            <w:noProof/>
            <w:u w:val="none"/>
          </w:rPr>
          <w:t>Securitization Default Charge Escrow Deposit Requirements</w:t>
        </w:r>
        <w:r w:rsidRPr="00E028C2">
          <w:rPr>
            <w:noProof/>
            <w:webHidden/>
          </w:rPr>
          <w:tab/>
        </w:r>
        <w:r w:rsidRPr="00E028C2">
          <w:rPr>
            <w:noProof/>
            <w:webHidden/>
          </w:rPr>
          <w:fldChar w:fldCharType="begin"/>
        </w:r>
        <w:r w:rsidRPr="00E028C2">
          <w:rPr>
            <w:noProof/>
            <w:webHidden/>
          </w:rPr>
          <w:instrText xml:space="preserve"> PAGEREF _Toc141427857 \h </w:instrText>
        </w:r>
        <w:r w:rsidRPr="00E028C2">
          <w:rPr>
            <w:noProof/>
            <w:webHidden/>
          </w:rPr>
        </w:r>
        <w:r w:rsidRPr="00E028C2">
          <w:rPr>
            <w:noProof/>
            <w:webHidden/>
          </w:rPr>
          <w:fldChar w:fldCharType="separate"/>
        </w:r>
        <w:r w:rsidR="006822B0">
          <w:rPr>
            <w:noProof/>
            <w:webHidden/>
          </w:rPr>
          <w:t>26-10</w:t>
        </w:r>
        <w:r w:rsidRPr="00E028C2">
          <w:rPr>
            <w:noProof/>
            <w:webHidden/>
          </w:rPr>
          <w:fldChar w:fldCharType="end"/>
        </w:r>
      </w:hyperlink>
    </w:p>
    <w:p w14:paraId="68AE2F4E" w14:textId="1D9AACA7" w:rsidR="00793B91" w:rsidRPr="00E028C2" w:rsidRDefault="00793B91" w:rsidP="00E028C2">
      <w:pPr>
        <w:pStyle w:val="TOC3"/>
        <w:rPr>
          <w:rFonts w:asciiTheme="minorHAnsi" w:eastAsiaTheme="minorEastAsia" w:hAnsiTheme="minorHAnsi" w:cstheme="minorBidi"/>
          <w:i w:val="0"/>
          <w:iCs w:val="0"/>
          <w:noProof/>
        </w:rPr>
      </w:pPr>
      <w:hyperlink w:anchor="_Toc141427858" w:history="1">
        <w:r w:rsidRPr="00E028C2">
          <w:rPr>
            <w:rStyle w:val="Hyperlink"/>
            <w:i w:val="0"/>
            <w:iCs w:val="0"/>
            <w:noProof/>
            <w:u w:val="none"/>
          </w:rPr>
          <w:t xml:space="preserve">26.5.1 </w:t>
        </w:r>
        <w:r w:rsidRPr="00E028C2">
          <w:rPr>
            <w:rFonts w:asciiTheme="minorHAnsi" w:eastAsiaTheme="minorEastAsia" w:hAnsiTheme="minorHAnsi" w:cstheme="minorBidi"/>
            <w:i w:val="0"/>
            <w:iCs w:val="0"/>
            <w:noProof/>
          </w:rPr>
          <w:tab/>
        </w:r>
        <w:r w:rsidRPr="00E028C2">
          <w:rPr>
            <w:rStyle w:val="Hyperlink"/>
            <w:i w:val="0"/>
            <w:iCs w:val="0"/>
            <w:noProof/>
            <w:u w:val="none"/>
          </w:rPr>
          <w:t>Securitization Default Charge Escrow</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_Toc141427858 \h </w:instrText>
        </w:r>
        <w:r w:rsidRPr="00E028C2">
          <w:rPr>
            <w:i w:val="0"/>
            <w:iCs w:val="0"/>
            <w:noProof/>
            <w:webHidden/>
          </w:rPr>
        </w:r>
        <w:r w:rsidRPr="00E028C2">
          <w:rPr>
            <w:i w:val="0"/>
            <w:iCs w:val="0"/>
            <w:noProof/>
            <w:webHidden/>
          </w:rPr>
          <w:fldChar w:fldCharType="separate"/>
        </w:r>
        <w:r w:rsidR="006822B0">
          <w:rPr>
            <w:i w:val="0"/>
            <w:iCs w:val="0"/>
            <w:noProof/>
            <w:webHidden/>
          </w:rPr>
          <w:t>26-11</w:t>
        </w:r>
        <w:r w:rsidRPr="00E028C2">
          <w:rPr>
            <w:i w:val="0"/>
            <w:iCs w:val="0"/>
            <w:noProof/>
            <w:webHidden/>
          </w:rPr>
          <w:fldChar w:fldCharType="end"/>
        </w:r>
      </w:hyperlink>
    </w:p>
    <w:p w14:paraId="7D59A1AB" w14:textId="336BD6CE" w:rsidR="00793B91" w:rsidRPr="00E028C2" w:rsidRDefault="00793B91" w:rsidP="00E028C2">
      <w:pPr>
        <w:pStyle w:val="TOC3"/>
        <w:rPr>
          <w:rFonts w:asciiTheme="minorHAnsi" w:eastAsiaTheme="minorEastAsia" w:hAnsiTheme="minorHAnsi" w:cstheme="minorBidi"/>
          <w:i w:val="0"/>
          <w:iCs w:val="0"/>
          <w:noProof/>
        </w:rPr>
      </w:pPr>
      <w:hyperlink w:anchor="_Toc141427859" w:history="1">
        <w:r w:rsidRPr="00E028C2">
          <w:rPr>
            <w:rStyle w:val="Hyperlink"/>
            <w:i w:val="0"/>
            <w:iCs w:val="0"/>
            <w:noProof/>
            <w:u w:val="none"/>
          </w:rPr>
          <w:t xml:space="preserve">26.5.2 </w:t>
        </w:r>
        <w:r w:rsidRPr="00E028C2">
          <w:rPr>
            <w:rFonts w:asciiTheme="minorHAnsi" w:eastAsiaTheme="minorEastAsia" w:hAnsiTheme="minorHAnsi" w:cstheme="minorBidi"/>
            <w:i w:val="0"/>
            <w:iCs w:val="0"/>
            <w:noProof/>
          </w:rPr>
          <w:tab/>
        </w:r>
        <w:r w:rsidRPr="00E028C2">
          <w:rPr>
            <w:rStyle w:val="Hyperlink"/>
            <w:i w:val="0"/>
            <w:iCs w:val="0"/>
            <w:noProof/>
            <w:u w:val="none"/>
          </w:rPr>
          <w:t>ERCOT Securitization Default Charge Credit Requirements for Counter-Parties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_Toc141427859 \h </w:instrText>
        </w:r>
        <w:r w:rsidRPr="00E028C2">
          <w:rPr>
            <w:i w:val="0"/>
            <w:iCs w:val="0"/>
            <w:noProof/>
            <w:webHidden/>
          </w:rPr>
        </w:r>
        <w:r w:rsidRPr="00E028C2">
          <w:rPr>
            <w:i w:val="0"/>
            <w:iCs w:val="0"/>
            <w:noProof/>
            <w:webHidden/>
          </w:rPr>
          <w:fldChar w:fldCharType="separate"/>
        </w:r>
        <w:r w:rsidR="006822B0">
          <w:rPr>
            <w:i w:val="0"/>
            <w:iCs w:val="0"/>
            <w:noProof/>
            <w:webHidden/>
          </w:rPr>
          <w:t>26-11</w:t>
        </w:r>
        <w:r w:rsidRPr="00E028C2">
          <w:rPr>
            <w:i w:val="0"/>
            <w:iCs w:val="0"/>
            <w:noProof/>
            <w:webHidden/>
          </w:rPr>
          <w:fldChar w:fldCharType="end"/>
        </w:r>
      </w:hyperlink>
    </w:p>
    <w:p w14:paraId="729C1142" w14:textId="408F42AD" w:rsidR="00793B91" w:rsidRPr="00E028C2" w:rsidRDefault="00793B91" w:rsidP="00E028C2">
      <w:pPr>
        <w:pStyle w:val="TOC3"/>
        <w:rPr>
          <w:rFonts w:asciiTheme="minorHAnsi" w:eastAsiaTheme="minorEastAsia" w:hAnsiTheme="minorHAnsi" w:cstheme="minorBidi"/>
          <w:i w:val="0"/>
          <w:iCs w:val="0"/>
          <w:noProof/>
        </w:rPr>
      </w:pPr>
      <w:hyperlink w:anchor="_Toc141427860" w:history="1">
        <w:r w:rsidRPr="00E028C2">
          <w:rPr>
            <w:rStyle w:val="Hyperlink"/>
            <w:i w:val="0"/>
            <w:iCs w:val="0"/>
            <w:noProof/>
            <w:u w:val="none"/>
          </w:rPr>
          <w:t>26.5.3</w:t>
        </w:r>
        <w:r w:rsidRPr="00E028C2">
          <w:rPr>
            <w:rFonts w:asciiTheme="minorHAnsi" w:eastAsiaTheme="minorEastAsia" w:hAnsiTheme="minorHAnsi" w:cstheme="minorBidi"/>
            <w:i w:val="0"/>
            <w:iCs w:val="0"/>
            <w:noProof/>
          </w:rPr>
          <w:tab/>
        </w:r>
        <w:r w:rsidRPr="00E028C2">
          <w:rPr>
            <w:rStyle w:val="Hyperlink"/>
            <w:i w:val="0"/>
            <w:iCs w:val="0"/>
            <w:noProof/>
            <w:u w:val="none"/>
          </w:rPr>
          <w:t>Means of Satisfying Securitization Default Charge Credit Requirements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_Toc141427860 \h </w:instrText>
        </w:r>
        <w:r w:rsidRPr="00E028C2">
          <w:rPr>
            <w:i w:val="0"/>
            <w:iCs w:val="0"/>
            <w:noProof/>
            <w:webHidden/>
          </w:rPr>
        </w:r>
        <w:r w:rsidRPr="00E028C2">
          <w:rPr>
            <w:i w:val="0"/>
            <w:iCs w:val="0"/>
            <w:noProof/>
            <w:webHidden/>
          </w:rPr>
          <w:fldChar w:fldCharType="separate"/>
        </w:r>
        <w:r w:rsidR="006822B0">
          <w:rPr>
            <w:i w:val="0"/>
            <w:iCs w:val="0"/>
            <w:noProof/>
            <w:webHidden/>
          </w:rPr>
          <w:t>26-11</w:t>
        </w:r>
        <w:r w:rsidRPr="00E028C2">
          <w:rPr>
            <w:i w:val="0"/>
            <w:iCs w:val="0"/>
            <w:noProof/>
            <w:webHidden/>
          </w:rPr>
          <w:fldChar w:fldCharType="end"/>
        </w:r>
      </w:hyperlink>
    </w:p>
    <w:p w14:paraId="684EFFCB" w14:textId="765F6ABD" w:rsidR="00793B91" w:rsidRPr="00E028C2" w:rsidRDefault="00793B91" w:rsidP="00E028C2">
      <w:pPr>
        <w:pStyle w:val="TOC3"/>
        <w:rPr>
          <w:rFonts w:asciiTheme="minorHAnsi" w:eastAsiaTheme="minorEastAsia" w:hAnsiTheme="minorHAnsi" w:cstheme="minorBidi"/>
          <w:i w:val="0"/>
          <w:iCs w:val="0"/>
          <w:noProof/>
        </w:rPr>
      </w:pPr>
      <w:hyperlink w:anchor="_Toc141427861" w:history="1">
        <w:r w:rsidRPr="00E028C2">
          <w:rPr>
            <w:rStyle w:val="Hyperlink"/>
            <w:i w:val="0"/>
            <w:iCs w:val="0"/>
            <w:noProof/>
            <w:u w:val="none"/>
          </w:rPr>
          <w:t>26.5.4</w:t>
        </w:r>
        <w:r w:rsidRPr="00E028C2">
          <w:rPr>
            <w:rFonts w:asciiTheme="minorHAnsi" w:eastAsiaTheme="minorEastAsia" w:hAnsiTheme="minorHAnsi" w:cstheme="minorBidi"/>
            <w:i w:val="0"/>
            <w:iCs w:val="0"/>
            <w:noProof/>
          </w:rPr>
          <w:tab/>
        </w:r>
        <w:r w:rsidRPr="00E028C2">
          <w:rPr>
            <w:rStyle w:val="Hyperlink"/>
            <w:i w:val="0"/>
            <w:iCs w:val="0"/>
            <w:noProof/>
            <w:u w:val="none"/>
          </w:rPr>
          <w:t>Determination of Securitization Default Charge Credit Exposure for a Counter-Party</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_Toc141427861 \h </w:instrText>
        </w:r>
        <w:r w:rsidRPr="00E028C2">
          <w:rPr>
            <w:i w:val="0"/>
            <w:iCs w:val="0"/>
            <w:noProof/>
            <w:webHidden/>
          </w:rPr>
        </w:r>
        <w:r w:rsidRPr="00E028C2">
          <w:rPr>
            <w:i w:val="0"/>
            <w:iCs w:val="0"/>
            <w:noProof/>
            <w:webHidden/>
          </w:rPr>
          <w:fldChar w:fldCharType="separate"/>
        </w:r>
        <w:r w:rsidR="006822B0">
          <w:rPr>
            <w:i w:val="0"/>
            <w:iCs w:val="0"/>
            <w:noProof/>
            <w:webHidden/>
          </w:rPr>
          <w:t>26-13</w:t>
        </w:r>
        <w:r w:rsidRPr="00E028C2">
          <w:rPr>
            <w:i w:val="0"/>
            <w:iCs w:val="0"/>
            <w:noProof/>
            <w:webHidden/>
          </w:rPr>
          <w:fldChar w:fldCharType="end"/>
        </w:r>
      </w:hyperlink>
    </w:p>
    <w:p w14:paraId="39B80176" w14:textId="74D41CB3" w:rsidR="00793B91" w:rsidRPr="00E028C2" w:rsidRDefault="00793B91" w:rsidP="00E028C2">
      <w:pPr>
        <w:pStyle w:val="TOC3"/>
        <w:rPr>
          <w:rFonts w:asciiTheme="minorHAnsi" w:eastAsiaTheme="minorEastAsia" w:hAnsiTheme="minorHAnsi" w:cstheme="minorBidi"/>
          <w:i w:val="0"/>
          <w:iCs w:val="0"/>
          <w:noProof/>
        </w:rPr>
      </w:pPr>
      <w:hyperlink w:anchor="_Toc141427862" w:history="1">
        <w:r w:rsidRPr="00E028C2">
          <w:rPr>
            <w:rStyle w:val="Hyperlink"/>
            <w:i w:val="0"/>
            <w:iCs w:val="0"/>
            <w:noProof/>
            <w:u w:val="none"/>
          </w:rPr>
          <w:t>26.5.5</w:t>
        </w:r>
        <w:r w:rsidRPr="00E028C2">
          <w:rPr>
            <w:rFonts w:asciiTheme="minorHAnsi" w:eastAsiaTheme="minorEastAsia" w:hAnsiTheme="minorHAnsi" w:cstheme="minorBidi"/>
            <w:i w:val="0"/>
            <w:iCs w:val="0"/>
            <w:noProof/>
          </w:rPr>
          <w:tab/>
        </w:r>
        <w:r w:rsidRPr="00E028C2">
          <w:rPr>
            <w:rStyle w:val="Hyperlink"/>
            <w:i w:val="0"/>
            <w:iCs w:val="0"/>
            <w:noProof/>
            <w:u w:val="none"/>
          </w:rPr>
          <w:t>Monitoring of a Counter-Party’s Securitization Default Charge Credit Exposure by ERCOT</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_Toc141427862 \h </w:instrText>
        </w:r>
        <w:r w:rsidRPr="00E028C2">
          <w:rPr>
            <w:i w:val="0"/>
            <w:iCs w:val="0"/>
            <w:noProof/>
            <w:webHidden/>
          </w:rPr>
        </w:r>
        <w:r w:rsidRPr="00E028C2">
          <w:rPr>
            <w:i w:val="0"/>
            <w:iCs w:val="0"/>
            <w:noProof/>
            <w:webHidden/>
          </w:rPr>
          <w:fldChar w:fldCharType="separate"/>
        </w:r>
        <w:r w:rsidR="006822B0">
          <w:rPr>
            <w:i w:val="0"/>
            <w:iCs w:val="0"/>
            <w:noProof/>
            <w:webHidden/>
          </w:rPr>
          <w:t>26-13</w:t>
        </w:r>
        <w:r w:rsidRPr="00E028C2">
          <w:rPr>
            <w:i w:val="0"/>
            <w:iCs w:val="0"/>
            <w:noProof/>
            <w:webHidden/>
          </w:rPr>
          <w:fldChar w:fldCharType="end"/>
        </w:r>
      </w:hyperlink>
    </w:p>
    <w:p w14:paraId="631CE93A" w14:textId="458E61DB" w:rsidR="00793B91" w:rsidRPr="00E028C2" w:rsidRDefault="00793B91" w:rsidP="00E028C2">
      <w:pPr>
        <w:pStyle w:val="TOC3"/>
        <w:rPr>
          <w:rFonts w:asciiTheme="minorHAnsi" w:eastAsiaTheme="minorEastAsia" w:hAnsiTheme="minorHAnsi" w:cstheme="minorBidi"/>
          <w:i w:val="0"/>
          <w:iCs w:val="0"/>
          <w:noProof/>
        </w:rPr>
      </w:pPr>
      <w:hyperlink w:anchor="_Toc141427863" w:history="1">
        <w:r w:rsidRPr="00E028C2">
          <w:rPr>
            <w:rStyle w:val="Hyperlink"/>
            <w:i w:val="0"/>
            <w:iCs w:val="0"/>
            <w:noProof/>
            <w:u w:val="none"/>
          </w:rPr>
          <w:t>26.5.6</w:t>
        </w:r>
        <w:r w:rsidRPr="00E028C2">
          <w:rPr>
            <w:rFonts w:asciiTheme="minorHAnsi" w:eastAsiaTheme="minorEastAsia" w:hAnsiTheme="minorHAnsi" w:cstheme="minorBidi"/>
            <w:i w:val="0"/>
            <w:iCs w:val="0"/>
            <w:noProof/>
          </w:rPr>
          <w:tab/>
        </w:r>
        <w:r w:rsidRPr="00E028C2">
          <w:rPr>
            <w:rStyle w:val="Hyperlink"/>
            <w:i w:val="0"/>
            <w:iCs w:val="0"/>
            <w:noProof/>
            <w:u w:val="none"/>
          </w:rPr>
          <w:t>Payment Breach and Late Payments by Market Participants</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_Toc141427863 \h </w:instrText>
        </w:r>
        <w:r w:rsidRPr="00E028C2">
          <w:rPr>
            <w:i w:val="0"/>
            <w:iCs w:val="0"/>
            <w:noProof/>
            <w:webHidden/>
          </w:rPr>
        </w:r>
        <w:r w:rsidRPr="00E028C2">
          <w:rPr>
            <w:i w:val="0"/>
            <w:iCs w:val="0"/>
            <w:noProof/>
            <w:webHidden/>
          </w:rPr>
          <w:fldChar w:fldCharType="separate"/>
        </w:r>
        <w:r w:rsidR="006822B0">
          <w:rPr>
            <w:i w:val="0"/>
            <w:iCs w:val="0"/>
            <w:noProof/>
            <w:webHidden/>
          </w:rPr>
          <w:t>26-15</w:t>
        </w:r>
        <w:r w:rsidRPr="00E028C2">
          <w:rPr>
            <w:i w:val="0"/>
            <w:iCs w:val="0"/>
            <w:noProof/>
            <w:webHidden/>
          </w:rPr>
          <w:fldChar w:fldCharType="end"/>
        </w:r>
      </w:hyperlink>
    </w:p>
    <w:p w14:paraId="672C3C58" w14:textId="3C126B66" w:rsidR="00793B91" w:rsidRPr="00E028C2" w:rsidRDefault="00793B91" w:rsidP="00E028C2">
      <w:pPr>
        <w:pStyle w:val="TOC3"/>
        <w:rPr>
          <w:rFonts w:asciiTheme="minorHAnsi" w:eastAsiaTheme="minorEastAsia" w:hAnsiTheme="minorHAnsi" w:cstheme="minorBidi"/>
          <w:i w:val="0"/>
          <w:iCs w:val="0"/>
          <w:noProof/>
        </w:rPr>
      </w:pPr>
      <w:hyperlink w:anchor="_Toc141427864" w:history="1">
        <w:r w:rsidRPr="00E028C2">
          <w:rPr>
            <w:rStyle w:val="Hyperlink"/>
            <w:i w:val="0"/>
            <w:iCs w:val="0"/>
            <w:noProof/>
            <w:u w:val="none"/>
          </w:rPr>
          <w:t>26.5.7</w:t>
        </w:r>
        <w:r w:rsidRPr="00E028C2">
          <w:rPr>
            <w:rFonts w:asciiTheme="minorHAnsi" w:eastAsiaTheme="minorEastAsia" w:hAnsiTheme="minorHAnsi" w:cstheme="minorBidi"/>
            <w:i w:val="0"/>
            <w:iCs w:val="0"/>
            <w:noProof/>
          </w:rPr>
          <w:tab/>
        </w:r>
        <w:r w:rsidRPr="00E028C2">
          <w:rPr>
            <w:rStyle w:val="Hyperlink"/>
            <w:i w:val="0"/>
            <w:iCs w:val="0"/>
            <w:noProof/>
            <w:u w:val="none"/>
          </w:rPr>
          <w:t>Release of Market Participant’s Securitization Default Charge Escrow Deposit Requirement</w:t>
        </w:r>
        <w:r w:rsidRPr="00E028C2">
          <w:rPr>
            <w:i w:val="0"/>
            <w:iCs w:val="0"/>
            <w:noProof/>
            <w:webHidden/>
          </w:rPr>
          <w:tab/>
        </w:r>
        <w:r w:rsidRPr="00E028C2">
          <w:rPr>
            <w:i w:val="0"/>
            <w:iCs w:val="0"/>
            <w:noProof/>
            <w:webHidden/>
          </w:rPr>
          <w:fldChar w:fldCharType="begin"/>
        </w:r>
        <w:r w:rsidRPr="00E028C2">
          <w:rPr>
            <w:i w:val="0"/>
            <w:iCs w:val="0"/>
            <w:noProof/>
            <w:webHidden/>
          </w:rPr>
          <w:instrText xml:space="preserve"> PAGEREF _Toc141427864 \h </w:instrText>
        </w:r>
        <w:r w:rsidRPr="00E028C2">
          <w:rPr>
            <w:i w:val="0"/>
            <w:iCs w:val="0"/>
            <w:noProof/>
            <w:webHidden/>
          </w:rPr>
        </w:r>
        <w:r w:rsidRPr="00E028C2">
          <w:rPr>
            <w:i w:val="0"/>
            <w:iCs w:val="0"/>
            <w:noProof/>
            <w:webHidden/>
          </w:rPr>
          <w:fldChar w:fldCharType="separate"/>
        </w:r>
        <w:r w:rsidR="006822B0">
          <w:rPr>
            <w:i w:val="0"/>
            <w:iCs w:val="0"/>
            <w:noProof/>
            <w:webHidden/>
          </w:rPr>
          <w:t>26-15</w:t>
        </w:r>
        <w:r w:rsidRPr="00E028C2">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46CFFC74"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049D9971" w:rsidR="003F580A" w:rsidRPr="00ED3498" w:rsidRDefault="003F580A" w:rsidP="003F580A">
      <w:pPr>
        <w:spacing w:after="240"/>
        <w:ind w:left="3330" w:hanging="450"/>
      </w:pPr>
      <w:r w:rsidRPr="00ED3498">
        <w:t>∑</w:t>
      </w:r>
      <w:proofErr w:type="spellStart"/>
      <w:r w:rsidRPr="00ED3498">
        <w:rPr>
          <w:rFonts w:eastAsia="Calibri"/>
          <w:i/>
          <w:vertAlign w:val="subscript"/>
        </w:rPr>
        <w:t>mp</w:t>
      </w:r>
      <w:proofErr w:type="spellEnd"/>
      <w:r w:rsidRPr="00ED3498">
        <w:rPr>
          <w:rFonts w:eastAsia="Calibri"/>
        </w:rPr>
        <w:t> </w:t>
      </w:r>
      <w:r w:rsidRPr="00ED3498">
        <w:t>(</w:t>
      </w:r>
      <w:r w:rsidRPr="00ED3498">
        <w:rPr>
          <w:rFonts w:eastAsia="Calibri"/>
        </w:rPr>
        <w:t>SDCDAOPT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SDCDAOBL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proofErr w:type="spellStart"/>
      <w:r w:rsidRPr="00ED3498">
        <w:rPr>
          <w:rFonts w:eastAsia="Calibri"/>
          <w:i/>
          <w:vertAlign w:val="subscript"/>
        </w:rPr>
        <w:t>mp</w:t>
      </w:r>
      <w:proofErr w:type="spellEnd"/>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481F65CF"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r, p, i</w:t>
      </w:r>
      <w:r w:rsidRPr="00ED3498">
        <w:rPr>
          <w:bCs/>
        </w:rPr>
        <w:t xml:space="preserve"> (RTMG </w:t>
      </w:r>
      <w:proofErr w:type="spellStart"/>
      <w:r w:rsidRPr="00ED3498">
        <w:rPr>
          <w:bCs/>
          <w:i/>
          <w:vertAlign w:val="subscript"/>
        </w:rPr>
        <w:t>mp</w:t>
      </w:r>
      <w:proofErr w:type="spellEnd"/>
      <w:r w:rsidRPr="00ED3498">
        <w:rPr>
          <w:bCs/>
          <w:i/>
          <w:vertAlign w:val="subscript"/>
        </w:rPr>
        <w:t>,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BD60A11"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w:t>
      </w:r>
      <w:r w:rsidR="00931C15" w:rsidRPr="000D6487">
        <w:rPr>
          <w:rStyle w:val="ui-provider"/>
        </w:rPr>
        <w:t>EXSECM</w:t>
      </w:r>
      <w:r w:rsidRPr="00ED3498">
        <w:rPr>
          <w:bCs/>
        </w:rPr>
        <w:t>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689325B2"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 xml:space="preserve">—The maximum MWh activity of all Market Participants represented by the </w:t>
            </w:r>
            <w:proofErr w:type="gramStart"/>
            <w:r w:rsidRPr="00ED3498">
              <w:rPr>
                <w:iCs/>
                <w:sz w:val="20"/>
              </w:rPr>
              <w:t>Counter-Party</w:t>
            </w:r>
            <w:proofErr w:type="gramEnd"/>
            <w:r w:rsidRPr="00ED3498">
              <w:rPr>
                <w:iCs/>
                <w:sz w:val="20"/>
              </w:rPr>
              <w:t xml:space="preserve">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8F375B9" w14:textId="77777777" w:rsidR="00BD655B"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737"/>
            </w:tblGrid>
            <w:tr w:rsidR="00BD655B" w14:paraId="37F5FDC6" w14:textId="77777777" w:rsidTr="0039253B">
              <w:tc>
                <w:tcPr>
                  <w:tcW w:w="9350" w:type="dxa"/>
                  <w:shd w:val="clear" w:color="auto" w:fill="E0E0E0"/>
                </w:tcPr>
                <w:p w14:paraId="7EF7ECB5" w14:textId="2EC869C4" w:rsidR="00BD655B" w:rsidRDefault="00BD655B" w:rsidP="00BD655B">
                  <w:pPr>
                    <w:pStyle w:val="Instructions"/>
                    <w:spacing w:before="120"/>
                  </w:pPr>
                  <w:r>
                    <w:t>[NPRR1246:  Replace the definition above with the following upon system implementation of the Real-Time Co-Optimization (RTC) project:]</w:t>
                  </w:r>
                </w:p>
                <w:p w14:paraId="0840C5EE" w14:textId="3225F5FE" w:rsidR="00BD655B" w:rsidRPr="00BD655B" w:rsidRDefault="00BD655B" w:rsidP="00BD655B">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Resource </w:t>
                  </w:r>
                  <w:r w:rsidRPr="00ED3498">
                    <w:rPr>
                      <w:i/>
                      <w:iCs/>
                      <w:sz w:val="20"/>
                    </w:rPr>
                    <w:t>r</w:t>
                  </w:r>
                  <w:r w:rsidRPr="00ED3498">
                    <w:rPr>
                      <w:iCs/>
                      <w:sz w:val="20"/>
                    </w:rPr>
                    <w:t xml:space="preserve"> represented by Market Participant </w:t>
                  </w:r>
                  <w:proofErr w:type="spellStart"/>
                  <w:r w:rsidRPr="00ED3498">
                    <w:rPr>
                      <w:i/>
                      <w:iCs/>
                      <w:sz w:val="20"/>
                    </w:rPr>
                    <w:t>mp</w:t>
                  </w:r>
                  <w:proofErr w:type="spellEnd"/>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bl>
          <w:p w14:paraId="319DEC72" w14:textId="65BFC4F2" w:rsidR="003F580A" w:rsidRPr="00ED3498" w:rsidRDefault="003F580A" w:rsidP="000C6618">
            <w:pPr>
              <w:spacing w:after="60"/>
              <w:rPr>
                <w:iCs/>
                <w:sz w:val="20"/>
              </w:rPr>
            </w:pP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53BF6B" w14:textId="77777777" w:rsidR="00BD655B"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w:t>
            </w:r>
            <w:proofErr w:type="gramStart"/>
            <w:r w:rsidRPr="00ED3498">
              <w:rPr>
                <w:iCs/>
                <w:sz w:val="20"/>
              </w:rPr>
              <w:t>Counter-Party</w:t>
            </w:r>
            <w:proofErr w:type="gramEnd"/>
            <w:r w:rsidRPr="00ED3498">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737"/>
            </w:tblGrid>
            <w:tr w:rsidR="00BD655B" w14:paraId="128AEC89" w14:textId="77777777" w:rsidTr="0039253B">
              <w:tc>
                <w:tcPr>
                  <w:tcW w:w="9350" w:type="dxa"/>
                  <w:shd w:val="clear" w:color="auto" w:fill="E0E0E0"/>
                </w:tcPr>
                <w:p w14:paraId="65E357B1" w14:textId="77777777" w:rsidR="00BD655B" w:rsidRDefault="00BD655B" w:rsidP="00BD655B">
                  <w:pPr>
                    <w:pStyle w:val="Instructions"/>
                    <w:spacing w:before="120"/>
                  </w:pPr>
                  <w:r>
                    <w:t>[NPRR1246:  Replace the definition above with the following upon system implementation of the Real-Time Co-Optimization (RTC) project:]</w:t>
                  </w:r>
                </w:p>
                <w:p w14:paraId="5DA809C0" w14:textId="17DD8950" w:rsidR="00BD655B" w:rsidRPr="00BD655B" w:rsidRDefault="00BD655B" w:rsidP="00BD655B">
                  <w:pPr>
                    <w:spacing w:after="60"/>
                    <w:rPr>
                      <w:iCs/>
                      <w:sz w:val="20"/>
                    </w:rPr>
                  </w:pPr>
                  <w:r w:rsidRPr="00B47E11">
                    <w:rPr>
                      <w:i/>
                      <w:iCs/>
                      <w:sz w:val="20"/>
                    </w:rPr>
                    <w:t>Securitization Default Charge Real-Time Metered Generation per Market Participant</w:t>
                  </w:r>
                  <w:r w:rsidRPr="00B47E11">
                    <w:rPr>
                      <w:iCs/>
                      <w:sz w:val="20"/>
                    </w:rPr>
                    <w:t xml:space="preserve">—The monthly sum in the reference month of Real-Time energy produced by Resources represented by Market Participant </w:t>
                  </w:r>
                  <w:proofErr w:type="spellStart"/>
                  <w:r w:rsidRPr="00B47E11">
                    <w:rPr>
                      <w:i/>
                      <w:iCs/>
                      <w:sz w:val="20"/>
                    </w:rPr>
                    <w:t>mp</w:t>
                  </w:r>
                  <w:proofErr w:type="spellEnd"/>
                  <w:r w:rsidRPr="00B47E11">
                    <w:rPr>
                      <w:iCs/>
                      <w:sz w:val="20"/>
                    </w:rPr>
                    <w:t xml:space="preserve">, excluding generation for RMR Resources and generation in RUC-Committed Intervals, where the Market Participant is a QSE assigned to the registered </w:t>
                  </w:r>
                  <w:proofErr w:type="gramStart"/>
                  <w:r w:rsidRPr="00B47E11">
                    <w:rPr>
                      <w:iCs/>
                      <w:sz w:val="20"/>
                    </w:rPr>
                    <w:t>Counter-Party</w:t>
                  </w:r>
                  <w:proofErr w:type="gramEnd"/>
                  <w:r w:rsidRPr="00B47E11">
                    <w:rPr>
                      <w:iCs/>
                      <w:sz w:val="20"/>
                    </w:rPr>
                    <w:t>.</w:t>
                  </w:r>
                </w:p>
              </w:tc>
            </w:tr>
          </w:tbl>
          <w:p w14:paraId="4A97C04B" w14:textId="224BF070" w:rsidR="003F580A" w:rsidRPr="00ED3498" w:rsidRDefault="003F580A" w:rsidP="000C6618">
            <w:pPr>
              <w:spacing w:after="60"/>
              <w:rPr>
                <w:i/>
                <w:iCs/>
                <w:sz w:val="20"/>
              </w:rPr>
            </w:pP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12E7C274" w:rsidR="003F580A" w:rsidRPr="00ED3498" w:rsidRDefault="003F580A" w:rsidP="000C6618">
            <w:pPr>
              <w:spacing w:after="60"/>
              <w:rPr>
                <w:iCs/>
                <w:sz w:val="20"/>
              </w:rPr>
            </w:pPr>
            <w:r w:rsidRPr="00ED3498">
              <w:rPr>
                <w:iCs/>
                <w:color w:val="000000"/>
                <w:kern w:val="24"/>
                <w:sz w:val="20"/>
              </w:rPr>
              <w:t>RTAML</w:t>
            </w:r>
            <w:r w:rsidR="00931C15" w:rsidRPr="00931C15">
              <w:rPr>
                <w:iCs/>
                <w:color w:val="000000"/>
                <w:kern w:val="24"/>
                <w:sz w:val="20"/>
              </w:rPr>
              <w:t>EXSECM</w:t>
            </w:r>
            <w:r w:rsidRPr="00ED3498">
              <w:rPr>
                <w:iCs/>
                <w:color w:val="000000"/>
                <w:kern w:val="24"/>
                <w:sz w:val="20"/>
              </w:rPr>
              <w:t xml:space="preserve">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3175E408" w:rsidR="003F580A" w:rsidRPr="00ED3498" w:rsidRDefault="003F580A" w:rsidP="000C6618">
            <w:pPr>
              <w:spacing w:after="60"/>
              <w:rPr>
                <w:iCs/>
                <w:sz w:val="20"/>
              </w:rPr>
            </w:pPr>
            <w:r w:rsidRPr="00ED3498">
              <w:rPr>
                <w:i/>
                <w:iCs/>
                <w:sz w:val="20"/>
              </w:rPr>
              <w:t xml:space="preserve">Real-Time Adjusted Metered Load </w:t>
            </w:r>
            <w:r w:rsidR="00931C15" w:rsidRPr="000D6487">
              <w:rPr>
                <w:i/>
                <w:iCs/>
                <w:sz w:val="20"/>
              </w:rPr>
              <w:t>Excluding Load Exempt from Sub M</w:t>
            </w:r>
            <w:r w:rsidR="00931C15" w:rsidRPr="00ED3498">
              <w:rPr>
                <w:i/>
                <w:iCs/>
                <w:sz w:val="20"/>
              </w:rPr>
              <w:t xml:space="preserve"> </w:t>
            </w:r>
            <w:r w:rsidRPr="00ED3498">
              <w:rPr>
                <w:i/>
                <w:iCs/>
                <w:sz w:val="20"/>
              </w:rPr>
              <w:t>per Market Participant per Settlement Point</w:t>
            </w:r>
            <w:r w:rsidRPr="00ED3498">
              <w:rPr>
                <w:iCs/>
                <w:sz w:val="20"/>
              </w:rPr>
              <w:t>—The sum of the Adjusted Metered Load (AML)</w:t>
            </w:r>
            <w:r w:rsidR="00931C15" w:rsidRPr="00F47B42">
              <w:rPr>
                <w:iCs/>
                <w:sz w:val="20"/>
              </w:rPr>
              <w:t xml:space="preserve">, excluding </w:t>
            </w:r>
            <w:r w:rsidR="00931C15">
              <w:rPr>
                <w:iCs/>
                <w:sz w:val="20"/>
              </w:rPr>
              <w:t>L</w:t>
            </w:r>
            <w:r w:rsidR="00931C15" w:rsidRPr="00F47B42">
              <w:rPr>
                <w:iCs/>
                <w:sz w:val="20"/>
              </w:rPr>
              <w:t xml:space="preserve">oad that is exempt from Securitization Default Charges pursuant to the Declaratory Order entered by the Public Utility Commission of Texas (PUCT) in PUCT Docket No. 56122, </w:t>
            </w:r>
            <w:r w:rsidR="00931C15" w:rsidRPr="0094034C">
              <w:rPr>
                <w:iCs/>
                <w:sz w:val="20"/>
              </w:rPr>
              <w:t>Petition of Electric Reliability Council of Texas, Inc. for Expedited Declaratory Order Regarding Public Utility Regulatory Act Chapter 39, Subchapter M</w:t>
            </w:r>
            <w:r w:rsidR="00931C15" w:rsidRPr="00F47B42">
              <w:rPr>
                <w:iCs/>
                <w:sz w:val="20"/>
              </w:rPr>
              <w:t>,</w:t>
            </w:r>
            <w:r w:rsidRPr="00ED3498">
              <w:rPr>
                <w:iCs/>
                <w:sz w:val="20"/>
              </w:rPr>
              <w:t xml:space="preserve">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05DA5339"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—The monthly sum in the reference month of the AML</w:t>
            </w:r>
            <w:r w:rsidR="00931C15" w:rsidRPr="0040079A">
              <w:rPr>
                <w:iCs/>
                <w:sz w:val="20"/>
              </w:rPr>
              <w:t xml:space="preserve">, excluding </w:t>
            </w:r>
            <w:r w:rsidR="00931C15">
              <w:rPr>
                <w:iCs/>
                <w:sz w:val="20"/>
              </w:rPr>
              <w:t>L</w:t>
            </w:r>
            <w:r w:rsidR="00931C15" w:rsidRPr="0040079A">
              <w:rPr>
                <w:iCs/>
                <w:sz w:val="20"/>
              </w:rPr>
              <w:t xml:space="preserve">oad exempt from Securitization Default Charges </w:t>
            </w:r>
            <w:r w:rsidR="00931C15" w:rsidRPr="0040079A">
              <w:rPr>
                <w:bCs/>
                <w:iCs/>
                <w:sz w:val="20"/>
              </w:rPr>
              <w:t>pursuant to the Declaratory Order entered by the PUCT in PUCT Docket No. 56122</w:t>
            </w:r>
            <w:r w:rsidR="00931C15" w:rsidRPr="0040079A">
              <w:rPr>
                <w:iCs/>
                <w:sz w:val="20"/>
              </w:rPr>
              <w:t>,</w:t>
            </w:r>
            <w:r w:rsidRPr="00ED3498">
              <w:rPr>
                <w:iCs/>
                <w:sz w:val="20"/>
              </w:rPr>
              <w:t xml:space="preserve">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’s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4D9C863" w14:textId="77777777" w:rsidR="009C7B51"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0991C368" w14:textId="77777777" w:rsidTr="00194BF0">
              <w:tc>
                <w:tcPr>
                  <w:tcW w:w="9332" w:type="dxa"/>
                  <w:shd w:val="pct12" w:color="auto" w:fill="auto"/>
                </w:tcPr>
                <w:p w14:paraId="01E940A8" w14:textId="791BF85F"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6C621378" w14:textId="0A1AF205" w:rsidR="009C7B51" w:rsidRPr="00812ECB" w:rsidRDefault="009C7B51" w:rsidP="009C7B51">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7967928" w14:textId="0F56ED49" w:rsidR="003F580A" w:rsidRPr="00ED3498" w:rsidRDefault="003F580A" w:rsidP="000C6618">
            <w:pPr>
              <w:spacing w:after="60"/>
              <w:rPr>
                <w:iCs/>
                <w:sz w:val="20"/>
              </w:rPr>
            </w:pP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80BA445" w14:textId="77777777" w:rsidR="009C7B51"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 xml:space="preserve">’s cleared DAM Energy Bids, where the Market Participant is a QSE assigned to the registered </w:t>
            </w:r>
            <w:proofErr w:type="gramStart"/>
            <w:r w:rsidRPr="00ED3498">
              <w:rPr>
                <w:iCs/>
                <w:sz w:val="20"/>
              </w:rPr>
              <w:t>Counter-Party</w:t>
            </w:r>
            <w:proofErr w:type="gramEnd"/>
            <w:r w:rsidRPr="00ED3498">
              <w:rPr>
                <w:i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214C1B39" w14:textId="77777777" w:rsidTr="00194BF0">
              <w:tc>
                <w:tcPr>
                  <w:tcW w:w="9332" w:type="dxa"/>
                  <w:shd w:val="pct12" w:color="auto" w:fill="auto"/>
                </w:tcPr>
                <w:p w14:paraId="31A9CD00" w14:textId="77777777"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A2A3BFC" w14:textId="1F056306" w:rsidR="009C7B51" w:rsidRPr="00812ECB" w:rsidRDefault="009C7B51" w:rsidP="009C7B51">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79300EC9" w14:textId="74A9FAE9" w:rsidR="003F580A" w:rsidRPr="00ED3498" w:rsidRDefault="003F580A" w:rsidP="000C6618">
            <w:pPr>
              <w:spacing w:after="60"/>
              <w:rPr>
                <w:i/>
                <w:iCs/>
                <w:sz w:val="20"/>
              </w:rPr>
            </w:pP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r w:rsidRPr="00ED3498">
              <w:rPr>
                <w:i/>
                <w:iCs/>
                <w:sz w:val="20"/>
              </w:rPr>
              <w:t>mp</w:t>
            </w:r>
            <w:r w:rsidRPr="00ED3498">
              <w:rPr>
                <w:iCs/>
                <w:sz w:val="20"/>
              </w:rPr>
              <w:t xml:space="preserve">’s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r w:rsidRPr="00ED3498">
              <w:rPr>
                <w:i/>
                <w:iCs/>
                <w:sz w:val="20"/>
              </w:rPr>
              <w:t>mp</w:t>
            </w:r>
            <w:r w:rsidRPr="00ED3498">
              <w:rPr>
                <w:iCs/>
                <w:sz w:val="20"/>
              </w:rPr>
              <w:t>’s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lastRenderedPageBreak/>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r w:rsidRPr="00ED3498">
              <w:rPr>
                <w:i/>
                <w:sz w:val="20"/>
              </w:rPr>
              <w:t>mp</w:t>
            </w:r>
            <w:r w:rsidRPr="00ED3498">
              <w:rPr>
                <w:sz w:val="20"/>
              </w:rPr>
              <w:t>’s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lastRenderedPageBreak/>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613F9E00"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PUC</w:t>
            </w:r>
            <w:r w:rsidR="000505C8">
              <w:rPr>
                <w:bCs/>
                <w:iCs/>
                <w:sz w:val="20"/>
              </w:rPr>
              <w:t>T</w:t>
            </w:r>
            <w:r w:rsidR="000505C8" w:rsidRPr="00ED3498">
              <w:rPr>
                <w:bCs/>
                <w:iCs/>
                <w:sz w:val="20"/>
              </w:rPr>
              <w:t xml:space="preserve">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2B0892">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a month.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lastRenderedPageBreak/>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Invoice Recipient Payment to ERCOT for Securitization Default Charge 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w:t>
      </w:r>
      <w:r w:rsidRPr="00ED3498">
        <w:lastRenderedPageBreak/>
        <w:t xml:space="preserve">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 xml:space="preserve">If an Invoice Recipient owing funds does not pay its Securitization Default Charge Invoice in full (short-pay)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t>(b)</w:t>
      </w:r>
      <w:r>
        <w:tab/>
        <w:t>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short-pays of Securitization Default Charges.</w:t>
      </w:r>
    </w:p>
    <w:p w14:paraId="51B191C5" w14:textId="77777777" w:rsidR="003A2E8C" w:rsidRDefault="003A2E8C" w:rsidP="003A2E8C">
      <w:pPr>
        <w:spacing w:after="240"/>
        <w:ind w:left="1440" w:hanging="720"/>
      </w:pPr>
      <w:r>
        <w:t>(c)</w:t>
      </w:r>
      <w:r>
        <w:tab/>
        <w:t>In the event that an Invoice Recipient short-pays:</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 xml:space="preserve">and it is necessary to utilize Financial Security held with respect to other ERCOT market activities, funds drawn from Financial Security will be allocated first to </w:t>
      </w:r>
      <w:r>
        <w:lastRenderedPageBreak/>
        <w:t>cover short-pays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64B0DBAC"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t>26</w:t>
      </w:r>
      <w:r w:rsidRPr="00ED3498">
        <w:rPr>
          <w:b/>
          <w:bCs/>
        </w:rPr>
        <w:t>.4</w:t>
      </w:r>
      <w:r w:rsidRPr="00ED3498">
        <w:rPr>
          <w:b/>
          <w:bCs/>
        </w:rPr>
        <w:tab/>
        <w:t>Securitization Default Charge Supporting Data Reporting</w:t>
      </w:r>
      <w:bookmarkEnd w:id="19"/>
    </w:p>
    <w:p w14:paraId="36246DBC" w14:textId="09BAC0BC" w:rsidR="003A2E8C" w:rsidRPr="00ED3498" w:rsidRDefault="003A2E8C" w:rsidP="003A2E8C">
      <w:pPr>
        <w:spacing w:after="240"/>
        <w:ind w:left="720" w:hanging="720"/>
      </w:pPr>
      <w:r w:rsidRPr="00ED3498">
        <w:t>(1)</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324A972C"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Maximum MWh Activity Ratio Share (SDCMMARS)</w:t>
      </w:r>
      <w:r w:rsidR="003E0A6B">
        <w:t>;</w:t>
      </w:r>
      <w:r w:rsidRPr="00ED3498">
        <w:t xml:space="preserve"> and </w:t>
      </w:r>
    </w:p>
    <w:p w14:paraId="24FC479E" w14:textId="5E23C42F"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Default Charge</w:t>
      </w:r>
      <w:r w:rsidR="004E75C0">
        <w:t>s</w:t>
      </w:r>
      <w:r w:rsidRPr="00ED3498">
        <w:t xml:space="preserve">. </w:t>
      </w:r>
    </w:p>
    <w:p w14:paraId="5B568627" w14:textId="3C3D945C" w:rsidR="00AE36F0" w:rsidRPr="00ED3498" w:rsidRDefault="00AE36F0" w:rsidP="00AE36F0">
      <w:pPr>
        <w:spacing w:after="240"/>
        <w:ind w:left="720" w:hanging="720"/>
      </w:pPr>
      <w:bookmarkStart w:id="20" w:name="_Toc141427857"/>
      <w:r w:rsidRPr="00ED3498">
        <w:t>(2)</w:t>
      </w:r>
      <w:r w:rsidRPr="00ED3498">
        <w:tab/>
      </w:r>
      <w:r w:rsidR="009F0D37" w:rsidRPr="00ED3498">
        <w:t xml:space="preserve">ERCOT shall post a report containing Initial Settlement data as such data becomes available. </w:t>
      </w:r>
      <w:r w:rsidR="009F0D37">
        <w:t xml:space="preserve"> </w:t>
      </w:r>
      <w:r w:rsidR="009F0D37" w:rsidRPr="00ED3498">
        <w:t>The report shall be updated with Final Settlement data as such data becomes available.</w:t>
      </w:r>
    </w:p>
    <w:p w14:paraId="6958834F" w14:textId="02D0B628" w:rsidR="003F580A" w:rsidRPr="00ED3498" w:rsidRDefault="003F580A" w:rsidP="00E028C2">
      <w:pPr>
        <w:keepNext/>
        <w:tabs>
          <w:tab w:val="left" w:pos="900"/>
        </w:tabs>
        <w:spacing w:before="240" w:after="240"/>
        <w:outlineLvl w:val="1"/>
        <w:rPr>
          <w:b/>
          <w:bCs/>
        </w:rPr>
      </w:pPr>
      <w:r w:rsidRPr="00D24933">
        <w:rPr>
          <w:b/>
        </w:rPr>
        <w:lastRenderedPageBreak/>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ERCOT Securitization Default Charge Credit Requirements for Counter-Parties</w:t>
      </w:r>
      <w:bookmarkEnd w:id="22"/>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w:t>
      </w:r>
      <w:proofErr w:type="gramStart"/>
      <w:r w:rsidRPr="00ED3498">
        <w:t>Counter-Party</w:t>
      </w:r>
      <w:proofErr w:type="gramEnd"/>
      <w:r w:rsidRPr="00ED3498">
        <w:t xml:space="preserve">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t xml:space="preserve">If at any time a </w:t>
      </w:r>
      <w:proofErr w:type="gramStart"/>
      <w:r w:rsidRPr="00ED3498">
        <w:t>Counter-Party</w:t>
      </w:r>
      <w:proofErr w:type="gramEnd"/>
      <w:r w:rsidRPr="00ED3498">
        <w:t xml:space="preserve">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w:t>
      </w:r>
      <w:proofErr w:type="gramStart"/>
      <w:r w:rsidRPr="00ED3498">
        <w:t>particular occasion</w:t>
      </w:r>
      <w:proofErr w:type="gramEnd"/>
      <w:r w:rsidRPr="00ED3498">
        <w:t xml:space="preserve">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lastRenderedPageBreak/>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w:t>
      </w:r>
      <w:proofErr w:type="gramStart"/>
      <w:r w:rsidRPr="00ED3498">
        <w:t>Counter-Party</w:t>
      </w:r>
      <w:proofErr w:type="gramEnd"/>
      <w:r w:rsidRPr="00ED3498">
        <w:t xml:space="preserve">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w:t>
      </w:r>
      <w:proofErr w:type="gramStart"/>
      <w:r w:rsidRPr="00ED3498">
        <w:t>Counter-Party</w:t>
      </w:r>
      <w:proofErr w:type="gramEnd"/>
      <w:r w:rsidRPr="00ED3498">
        <w:t xml:space="preserve"> with excess cash held with respect to one or more Securitization Default Charge escrow deposit requirements may request ERCOT to return some or all of the excess cash to the Counter-Party. </w:t>
      </w:r>
    </w:p>
    <w:p w14:paraId="1848A721" w14:textId="6C11CBD2"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lastRenderedPageBreak/>
        <w:t>(</w:t>
      </w:r>
      <w:r w:rsidR="009E2081">
        <w:t>6</w:t>
      </w:r>
      <w:r w:rsidRPr="00ED3498">
        <w:t>)</w:t>
      </w:r>
      <w:r w:rsidRPr="00ED3498">
        <w:tab/>
        <w:t xml:space="preserve">Securitization Default Charge escrow deposits </w:t>
      </w:r>
      <w:proofErr w:type="gramStart"/>
      <w:r w:rsidRPr="00ED3498">
        <w:t>in excess of</w:t>
      </w:r>
      <w:proofErr w:type="gramEnd"/>
      <w:r w:rsidRPr="00ED3498">
        <w:t xml:space="preserve">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proofErr w:type="gramStart"/>
      <w:r w:rsidR="00221F1C" w:rsidRPr="0032586F">
        <w:t>in excess of</w:t>
      </w:r>
      <w:proofErr w:type="gramEnd"/>
      <w:r w:rsidR="00221F1C" w:rsidRPr="0032586F">
        <w:t xml:space="preserve">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Determination of Securitization Default Charge Credit Exposure for a Counter-Party</w:t>
      </w:r>
      <w:bookmarkEnd w:id="28"/>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xml:space="preserve">– 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lastRenderedPageBreak/>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w:t>
      </w:r>
      <w:proofErr w:type="gramStart"/>
      <w:r w:rsidRPr="00ED3498">
        <w:t>Counter-Party</w:t>
      </w:r>
      <w:proofErr w:type="gramEnd"/>
      <w:r w:rsidRPr="00ED3498">
        <w:t xml:space="preserve">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lastRenderedPageBreak/>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A8244" w14:textId="589CBB03" w:rsidR="003F580A" w:rsidRDefault="003F580A">
    <w:pPr>
      <w:pStyle w:val="Footer"/>
      <w:spacing w:before="0" w:after="0"/>
    </w:pPr>
    <w:r>
      <w:t xml:space="preserve">ERCOT Nodal Protocols – </w:t>
    </w:r>
    <w:r w:rsidR="00BD655B">
      <w:t>April</w:t>
    </w:r>
    <w:r>
      <w:t xml:space="preserve"> 1, 202</w:t>
    </w:r>
    <w:r w:rsidR="00BD655B">
      <w:t>5</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0F79A" w14:textId="2546AC41" w:rsidR="00D24933" w:rsidRDefault="00D24933">
    <w:pPr>
      <w:pStyle w:val="Footer"/>
      <w:spacing w:before="0" w:after="0"/>
      <w:rPr>
        <w:rStyle w:val="PageNumber"/>
      </w:rPr>
    </w:pPr>
    <w:r>
      <w:t xml:space="preserve">ERCOT Nodal Protocols – </w:t>
    </w:r>
    <w:r w:rsidR="00BD655B">
      <w:t>April</w:t>
    </w:r>
    <w:r>
      <w:t xml:space="preserve"> 1, </w:t>
    </w:r>
    <w:proofErr w:type="gramStart"/>
    <w:r>
      <w:t>202</w:t>
    </w:r>
    <w:r w:rsidR="00BD655B">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7C2"/>
    <w:rsid w:val="00013ABB"/>
    <w:rsid w:val="00020782"/>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59DA"/>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1EF7"/>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2BE0"/>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0892"/>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0A6B"/>
    <w:rsid w:val="003E1247"/>
    <w:rsid w:val="003E15FE"/>
    <w:rsid w:val="003E66E6"/>
    <w:rsid w:val="003F197D"/>
    <w:rsid w:val="003F391C"/>
    <w:rsid w:val="003F4A82"/>
    <w:rsid w:val="003F580A"/>
    <w:rsid w:val="00402766"/>
    <w:rsid w:val="00402E00"/>
    <w:rsid w:val="00403487"/>
    <w:rsid w:val="00403ADC"/>
    <w:rsid w:val="0040428D"/>
    <w:rsid w:val="004067A1"/>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3D3C"/>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6D93"/>
    <w:rsid w:val="004E75C0"/>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D7A1E"/>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3656F"/>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2B0"/>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421F"/>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2DD2"/>
    <w:rsid w:val="009260BB"/>
    <w:rsid w:val="00926C4B"/>
    <w:rsid w:val="00931C15"/>
    <w:rsid w:val="00934039"/>
    <w:rsid w:val="00934926"/>
    <w:rsid w:val="00934DBB"/>
    <w:rsid w:val="00936295"/>
    <w:rsid w:val="00936F53"/>
    <w:rsid w:val="0094034C"/>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B51"/>
    <w:rsid w:val="009C7EAA"/>
    <w:rsid w:val="009D05E9"/>
    <w:rsid w:val="009D1657"/>
    <w:rsid w:val="009D2CFF"/>
    <w:rsid w:val="009E0ADE"/>
    <w:rsid w:val="009E2081"/>
    <w:rsid w:val="009E5B8E"/>
    <w:rsid w:val="009F0903"/>
    <w:rsid w:val="009F09AC"/>
    <w:rsid w:val="009F0B1C"/>
    <w:rsid w:val="009F0D37"/>
    <w:rsid w:val="009F5B12"/>
    <w:rsid w:val="009F5FB6"/>
    <w:rsid w:val="009F6FA6"/>
    <w:rsid w:val="00A00929"/>
    <w:rsid w:val="00A0123C"/>
    <w:rsid w:val="00A04C52"/>
    <w:rsid w:val="00A04F41"/>
    <w:rsid w:val="00A06E01"/>
    <w:rsid w:val="00A0709E"/>
    <w:rsid w:val="00A11307"/>
    <w:rsid w:val="00A11754"/>
    <w:rsid w:val="00A11A83"/>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1195"/>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4C5D"/>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55B"/>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3FE0"/>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0FC5"/>
    <w:rsid w:val="00D212C9"/>
    <w:rsid w:val="00D2227E"/>
    <w:rsid w:val="00D22854"/>
    <w:rsid w:val="00D24933"/>
    <w:rsid w:val="00D26C2F"/>
    <w:rsid w:val="00D32259"/>
    <w:rsid w:val="00D33F7C"/>
    <w:rsid w:val="00D3504C"/>
    <w:rsid w:val="00D35C13"/>
    <w:rsid w:val="00D37542"/>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232"/>
    <w:rsid w:val="00DF38D3"/>
    <w:rsid w:val="00DF5A03"/>
    <w:rsid w:val="00DF6481"/>
    <w:rsid w:val="00DF681F"/>
    <w:rsid w:val="00DF7D9B"/>
    <w:rsid w:val="00E0267F"/>
    <w:rsid w:val="00E028C2"/>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21FD"/>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41985"/>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E028C2"/>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3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17</Pages>
  <Words>5905</Words>
  <Characters>33511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39338</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Joint Sponsors</cp:lastModifiedBy>
  <cp:revision>3</cp:revision>
  <cp:lastPrinted>2019-02-26T20:05:00Z</cp:lastPrinted>
  <dcterms:created xsi:type="dcterms:W3CDTF">2025-03-28T14:25:00Z</dcterms:created>
  <dcterms:modified xsi:type="dcterms:W3CDTF">2025-03-28T14:25:00Z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