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50"/>
        <w:gridCol w:w="1530"/>
        <w:gridCol w:w="5940"/>
      </w:tblGrid>
      <w:tr w:rsidR="00152993" w14:paraId="2A3C4B3B" w14:textId="77777777" w:rsidTr="006C7EB2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270EB5" w14:textId="77777777" w:rsidR="00152993" w:rsidRDefault="00170E84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C158EE">
              <w:t xml:space="preserve">GRR </w:t>
            </w:r>
            <w:r w:rsidR="00152993"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86C1C08" w14:textId="292A53AE" w:rsidR="00152993" w:rsidRDefault="003B6825">
            <w:pPr>
              <w:pStyle w:val="Header"/>
            </w:pPr>
            <w:hyperlink r:id="rId11" w:history="1">
              <w:r w:rsidRPr="00637467">
                <w:rPr>
                  <w:rStyle w:val="Hyperlink"/>
                </w:rPr>
                <w:t>134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7C366C" w14:textId="77777777" w:rsidR="00152993" w:rsidRDefault="00170E84">
            <w:pPr>
              <w:pStyle w:val="Header"/>
            </w:pPr>
            <w:r>
              <w:t>P</w:t>
            </w:r>
            <w:r w:rsidR="00C158EE">
              <w:t xml:space="preserve">GRR </w:t>
            </w:r>
            <w:r w:rsidR="00152993">
              <w:t>Title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7640AD11" w14:textId="77777777" w:rsidR="00152993" w:rsidRDefault="003B6825">
            <w:pPr>
              <w:pStyle w:val="Header"/>
            </w:pPr>
            <w:r w:rsidRPr="003B6825">
              <w:t>Interconnection Studies Reform for Dispatchable Loads</w:t>
            </w:r>
          </w:p>
        </w:tc>
      </w:tr>
    </w:tbl>
    <w:p w14:paraId="661ED931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47F8432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B83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1E84" w14:textId="001EF1F7" w:rsidR="00152993" w:rsidRDefault="003B6825">
            <w:pPr>
              <w:pStyle w:val="NormalArial"/>
            </w:pPr>
            <w:r>
              <w:t xml:space="preserve">November </w:t>
            </w:r>
            <w:r w:rsidR="00445781">
              <w:t>20</w:t>
            </w:r>
            <w:r>
              <w:t>, 2025</w:t>
            </w:r>
          </w:p>
        </w:tc>
      </w:tr>
    </w:tbl>
    <w:p w14:paraId="4F782F82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74CC76B7" w14:textId="77777777" w:rsidTr="002826F6">
        <w:trPr>
          <w:trHeight w:val="386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C370D5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D231E3" w14:paraId="58E3497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2F3346D" w14:textId="77777777" w:rsidR="00D231E3" w:rsidRPr="00EC55B3" w:rsidRDefault="00D231E3" w:rsidP="00D231E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272F33CF" w14:textId="313EA0E5" w:rsidR="00D231E3" w:rsidRDefault="00445781" w:rsidP="00D231E3">
            <w:pPr>
              <w:pStyle w:val="NormalArial"/>
            </w:pPr>
            <w:r w:rsidRPr="00445781">
              <w:t>Jessica Hogle</w:t>
            </w:r>
          </w:p>
        </w:tc>
      </w:tr>
      <w:tr w:rsidR="00D231E3" w14:paraId="6400AC8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2873094" w14:textId="77777777" w:rsidR="00D231E3" w:rsidRPr="00EC55B3" w:rsidRDefault="00D231E3" w:rsidP="00D231E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375F7462" w14:textId="207B8BE9" w:rsidR="00D231E3" w:rsidRDefault="00445781" w:rsidP="00D231E3">
            <w:pPr>
              <w:pStyle w:val="NormalArial"/>
            </w:pPr>
            <w:hyperlink r:id="rId12" w:history="1">
              <w:r w:rsidRPr="00821FBF">
                <w:rPr>
                  <w:rStyle w:val="Hyperlink"/>
                </w:rPr>
                <w:t>jessica@gridcare.ai</w:t>
              </w:r>
            </w:hyperlink>
          </w:p>
        </w:tc>
      </w:tr>
      <w:tr w:rsidR="00D231E3" w14:paraId="6A40245F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8E81B47" w14:textId="77777777" w:rsidR="00D231E3" w:rsidRPr="00EC55B3" w:rsidRDefault="00D231E3" w:rsidP="00D231E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4B6B30E8" w14:textId="7F985141" w:rsidR="00D231E3" w:rsidRDefault="00445781" w:rsidP="00D231E3">
            <w:pPr>
              <w:pStyle w:val="NormalArial"/>
            </w:pPr>
            <w:proofErr w:type="spellStart"/>
            <w:r w:rsidRPr="00445781">
              <w:t>GridCARE</w:t>
            </w:r>
            <w:proofErr w:type="spellEnd"/>
          </w:p>
        </w:tc>
      </w:tr>
      <w:tr w:rsidR="00D231E3" w14:paraId="5F8BC66D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C04686" w14:textId="77777777" w:rsidR="00D231E3" w:rsidRPr="00EC55B3" w:rsidRDefault="00D231E3" w:rsidP="00D231E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05E5FBE" w14:textId="779B79F5" w:rsidR="00D231E3" w:rsidRDefault="00445781" w:rsidP="00D231E3">
            <w:pPr>
              <w:pStyle w:val="NormalArial"/>
            </w:pPr>
            <w:r w:rsidRPr="00445781">
              <w:t>202</w:t>
            </w:r>
            <w:r>
              <w:t>-</w:t>
            </w:r>
            <w:r w:rsidRPr="00445781">
              <w:t>684-6247</w:t>
            </w:r>
          </w:p>
        </w:tc>
      </w:tr>
      <w:tr w:rsidR="00152993" w14:paraId="6CBB8725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0482B9A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3BBD6AEB" w14:textId="466487F7" w:rsidR="00152993" w:rsidRDefault="00152993">
            <w:pPr>
              <w:pStyle w:val="NormalArial"/>
            </w:pPr>
          </w:p>
        </w:tc>
      </w:tr>
      <w:tr w:rsidR="00075A94" w14:paraId="4B5FBAF4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3C851C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9CB67F3" w14:textId="1B88C37E" w:rsidR="00075A94" w:rsidRDefault="008E1792">
            <w:pPr>
              <w:pStyle w:val="NormalArial"/>
            </w:pPr>
            <w:r>
              <w:t xml:space="preserve">Not </w:t>
            </w:r>
            <w:r w:rsidR="00DF3785">
              <w:t>a</w:t>
            </w:r>
            <w:r>
              <w:t>pplicable</w:t>
            </w:r>
          </w:p>
        </w:tc>
      </w:tr>
    </w:tbl>
    <w:p w14:paraId="75158C26" w14:textId="77777777" w:rsidR="00075A94" w:rsidRDefault="00075A94">
      <w:pPr>
        <w:pStyle w:val="NormalArial"/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75A94" w:rsidRPr="00F038EC" w14:paraId="02EC44A5" w14:textId="77777777" w:rsidTr="002826F6">
        <w:trPr>
          <w:trHeight w:val="332"/>
          <w:jc w:val="center"/>
        </w:trPr>
        <w:tc>
          <w:tcPr>
            <w:tcW w:w="10260" w:type="dxa"/>
            <w:vAlign w:val="center"/>
          </w:tcPr>
          <w:p w14:paraId="56AE9739" w14:textId="77777777" w:rsidR="00075A94" w:rsidRPr="00075A94" w:rsidRDefault="00075A94" w:rsidP="00C0528A">
            <w:pPr>
              <w:pStyle w:val="Header"/>
              <w:ind w:left="61" w:right="-194"/>
              <w:jc w:val="center"/>
            </w:pPr>
            <w:r w:rsidRPr="00075A94">
              <w:t>Comments</w:t>
            </w:r>
          </w:p>
        </w:tc>
      </w:tr>
    </w:tbl>
    <w:p w14:paraId="1B3D52CE" w14:textId="77777777" w:rsidR="00836BF4" w:rsidRPr="002826F6" w:rsidRDefault="00836BF4" w:rsidP="002826F6">
      <w:pPr>
        <w:widowControl w:val="0"/>
        <w:autoSpaceDE w:val="0"/>
        <w:autoSpaceDN w:val="0"/>
        <w:spacing w:before="120" w:after="120" w:line="276" w:lineRule="auto"/>
        <w:ind w:right="397"/>
        <w:rPr>
          <w:rFonts w:ascii="Arial" w:eastAsia="Arial" w:hAnsi="Arial" w:cs="Arial"/>
        </w:rPr>
      </w:pPr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</w:rPr>
        <w:t xml:space="preserve"> is a leading venture-backed startup solving the most critical bottleneck in AI’s growth trajectory: immediate access to power. </w:t>
      </w:r>
      <w:proofErr w:type="spellStart"/>
      <w:r w:rsidRPr="002826F6">
        <w:rPr>
          <w:rFonts w:ascii="Arial" w:eastAsia="Arial" w:hAnsi="Arial" w:cs="Arial"/>
        </w:rPr>
        <w:t>GridCARE’s</w:t>
      </w:r>
      <w:proofErr w:type="spellEnd"/>
      <w:r w:rsidRPr="002826F6">
        <w:rPr>
          <w:rFonts w:ascii="Arial" w:eastAsia="Arial" w:hAnsi="Arial" w:cs="Arial"/>
        </w:rPr>
        <w:t xml:space="preserve"> pioneering physics-based generative AI platform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—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paired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unique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go-to-market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strategy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in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partnership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utilities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—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unlocks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 xml:space="preserve">and secures gigawatts of immediate power capacity from today’s grid. Founded at Stanford’s Doerr School, </w:t>
      </w:r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</w:rPr>
        <w:t xml:space="preserve"> has assembled an unmatched team of electric grid and AI experts.</w:t>
      </w:r>
    </w:p>
    <w:p w14:paraId="4C6CEB03" w14:textId="77777777" w:rsidR="00836BF4" w:rsidRPr="002826F6" w:rsidRDefault="00836BF4" w:rsidP="00836BF4">
      <w:pPr>
        <w:widowControl w:val="0"/>
        <w:autoSpaceDE w:val="0"/>
        <w:autoSpaceDN w:val="0"/>
        <w:spacing w:before="120" w:after="120"/>
        <w:outlineLvl w:val="0"/>
        <w:rPr>
          <w:rFonts w:ascii="Arial" w:eastAsia="Arial" w:hAnsi="Arial" w:cs="Arial"/>
          <w:b/>
          <w:bCs/>
        </w:rPr>
      </w:pPr>
      <w:bookmarkStart w:id="0" w:name="PGRR_134:_An_Important_Step_to_Bring_Spe"/>
      <w:bookmarkEnd w:id="0"/>
      <w:r w:rsidRPr="002826F6">
        <w:rPr>
          <w:rFonts w:ascii="Arial" w:eastAsia="Arial" w:hAnsi="Arial" w:cs="Arial"/>
          <w:b/>
          <w:bCs/>
        </w:rPr>
        <w:t>PGRR</w:t>
      </w:r>
      <w:r w:rsidRPr="002826F6">
        <w:rPr>
          <w:rFonts w:ascii="Arial" w:eastAsia="Arial" w:hAnsi="Arial" w:cs="Arial"/>
          <w:b/>
          <w:bCs/>
          <w:spacing w:val="-7"/>
        </w:rPr>
        <w:t xml:space="preserve"> </w:t>
      </w:r>
      <w:r w:rsidRPr="002826F6">
        <w:rPr>
          <w:rFonts w:ascii="Arial" w:eastAsia="Arial" w:hAnsi="Arial" w:cs="Arial"/>
          <w:b/>
          <w:bCs/>
        </w:rPr>
        <w:t>134: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An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</w:rPr>
        <w:t>Important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Step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</w:rPr>
        <w:t>to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Bring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</w:rPr>
        <w:t>Speed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to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</w:rPr>
        <w:t>Power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and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</w:rPr>
        <w:t>Beneficial</w:t>
      </w:r>
      <w:r w:rsidRPr="002826F6">
        <w:rPr>
          <w:rFonts w:ascii="Arial" w:eastAsia="Arial" w:hAnsi="Arial" w:cs="Arial"/>
          <w:b/>
          <w:bCs/>
          <w:spacing w:val="-5"/>
        </w:rPr>
        <w:t xml:space="preserve"> </w:t>
      </w:r>
      <w:r w:rsidRPr="002826F6">
        <w:rPr>
          <w:rFonts w:ascii="Arial" w:eastAsia="Arial" w:hAnsi="Arial" w:cs="Arial"/>
          <w:b/>
          <w:bCs/>
        </w:rPr>
        <w:t>Load</w:t>
      </w:r>
      <w:r w:rsidRPr="002826F6">
        <w:rPr>
          <w:rFonts w:ascii="Arial" w:eastAsia="Arial" w:hAnsi="Arial" w:cs="Arial"/>
          <w:b/>
          <w:bCs/>
          <w:spacing w:val="-4"/>
        </w:rPr>
        <w:t xml:space="preserve"> </w:t>
      </w:r>
      <w:r w:rsidRPr="002826F6">
        <w:rPr>
          <w:rFonts w:ascii="Arial" w:eastAsia="Arial" w:hAnsi="Arial" w:cs="Arial"/>
          <w:b/>
          <w:bCs/>
          <w:spacing w:val="-2"/>
        </w:rPr>
        <w:t>Growth</w:t>
      </w:r>
    </w:p>
    <w:p w14:paraId="2A5323FC" w14:textId="43D7B02C" w:rsidR="00836BF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397"/>
        <w:rPr>
          <w:rFonts w:ascii="Arial" w:eastAsia="Arial" w:hAnsi="Arial" w:cs="Arial"/>
        </w:rPr>
      </w:pPr>
      <w:bookmarkStart w:id="1" w:name="GridCARE_supports_the_Urgent_status_and_"/>
      <w:bookmarkEnd w:id="1"/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</w:rPr>
        <w:t xml:space="preserve"> supports the Urgent status and consideration of </w:t>
      </w:r>
      <w:r w:rsidR="00B010C6" w:rsidRPr="002826F6">
        <w:rPr>
          <w:rFonts w:ascii="Arial" w:eastAsia="Arial" w:hAnsi="Arial" w:cs="Arial"/>
        </w:rPr>
        <w:t>Planning Guide Revision Request (</w:t>
      </w:r>
      <w:r w:rsidRPr="002826F6">
        <w:rPr>
          <w:rFonts w:ascii="Arial" w:eastAsia="Arial" w:hAnsi="Arial" w:cs="Arial"/>
        </w:rPr>
        <w:t>PGRR</w:t>
      </w:r>
      <w:r w:rsidR="00B010C6" w:rsidRPr="002826F6">
        <w:rPr>
          <w:rFonts w:ascii="Arial" w:eastAsia="Arial" w:hAnsi="Arial" w:cs="Arial"/>
        </w:rPr>
        <w:t>)</w:t>
      </w:r>
      <w:r w:rsidRPr="002826F6">
        <w:rPr>
          <w:rFonts w:ascii="Arial" w:eastAsia="Arial" w:hAnsi="Arial" w:cs="Arial"/>
        </w:rPr>
        <w:t xml:space="preserve"> 134, which recognizes that flexibility is the fastest path to interconnection for large loads to drive beneficial load growth and maintain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system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reliability.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Allowing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Interconnecting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Large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Load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Entities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(ILLEs)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be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studied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as a Controllable Load Resource</w:t>
      </w:r>
      <w:r w:rsidR="00B010C6" w:rsidRPr="002826F6">
        <w:rPr>
          <w:rFonts w:ascii="Arial" w:eastAsia="Arial" w:hAnsi="Arial" w:cs="Arial"/>
        </w:rPr>
        <w:t xml:space="preserve"> (CLR)</w:t>
      </w:r>
      <w:r w:rsidRPr="002826F6">
        <w:rPr>
          <w:rFonts w:ascii="Arial" w:eastAsia="Arial" w:hAnsi="Arial" w:cs="Arial"/>
        </w:rPr>
        <w:t xml:space="preserve"> in the Steady State analysis is an important step toward unlocking latent capacity on the grid, and is consistent with Texas SB 6 requirements.</w:t>
      </w:r>
    </w:p>
    <w:p w14:paraId="52984B2B" w14:textId="448E639F" w:rsidR="00836BF4" w:rsidRPr="002826F6" w:rsidRDefault="00836BF4" w:rsidP="00836BF4">
      <w:pPr>
        <w:widowControl w:val="0"/>
        <w:autoSpaceDE w:val="0"/>
        <w:autoSpaceDN w:val="0"/>
        <w:spacing w:before="120" w:after="120"/>
        <w:rPr>
          <w:rFonts w:ascii="Arial" w:eastAsia="Arial" w:hAnsi="Arial" w:cs="Arial"/>
        </w:rPr>
      </w:pPr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  <w:spacing w:val="-8"/>
        </w:rPr>
        <w:t xml:space="preserve"> </w:t>
      </w:r>
      <w:r w:rsidRPr="002826F6">
        <w:rPr>
          <w:rFonts w:ascii="Arial" w:eastAsia="Arial" w:hAnsi="Arial" w:cs="Arial"/>
        </w:rPr>
        <w:t>believes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PGRR134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will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deliver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four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critical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benefits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ERCOT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  <w:spacing w:val="-2"/>
        </w:rPr>
        <w:t>market:</w:t>
      </w:r>
    </w:p>
    <w:p w14:paraId="0EC4050E" w14:textId="77777777" w:rsidR="00836BF4" w:rsidRPr="002826F6" w:rsidRDefault="00836BF4" w:rsidP="002826F6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before="60" w:after="60" w:line="276" w:lineRule="auto"/>
        <w:ind w:right="492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Speed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Power: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Enables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earlier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energization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of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beneficial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load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growth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by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mitigating current constraints through the CLR Election Study.</w:t>
      </w:r>
    </w:p>
    <w:p w14:paraId="1102B099" w14:textId="77777777" w:rsidR="00836BF4" w:rsidRPr="002826F6" w:rsidRDefault="00836BF4" w:rsidP="002826F6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before="60" w:after="60" w:line="276" w:lineRule="auto"/>
        <w:ind w:right="1201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Accelerated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Revenue: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Brings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new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load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onto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system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sooner,</w:t>
      </w:r>
      <w:r w:rsidRPr="002826F6">
        <w:rPr>
          <w:rFonts w:ascii="Arial" w:eastAsia="Arial" w:hAnsi="Arial" w:cs="Arial"/>
          <w:spacing w:val="-6"/>
        </w:rPr>
        <w:t xml:space="preserve"> </w:t>
      </w:r>
      <w:r w:rsidRPr="002826F6">
        <w:rPr>
          <w:rFonts w:ascii="Arial" w:eastAsia="Arial" w:hAnsi="Arial" w:cs="Arial"/>
        </w:rPr>
        <w:t>accelerating</w:t>
      </w:r>
      <w:r w:rsidRPr="002826F6">
        <w:rPr>
          <w:rFonts w:ascii="Arial" w:eastAsia="Arial" w:hAnsi="Arial" w:cs="Arial"/>
          <w:spacing w:val="-6"/>
        </w:rPr>
        <w:t xml:space="preserve"> </w:t>
      </w:r>
      <w:proofErr w:type="gramStart"/>
      <w:r w:rsidRPr="002826F6">
        <w:rPr>
          <w:rFonts w:ascii="Arial" w:eastAsia="Arial" w:hAnsi="Arial" w:cs="Arial"/>
        </w:rPr>
        <w:t>the economic</w:t>
      </w:r>
      <w:proofErr w:type="gramEnd"/>
      <w:r w:rsidRPr="002826F6">
        <w:rPr>
          <w:rFonts w:ascii="Arial" w:eastAsia="Arial" w:hAnsi="Arial" w:cs="Arial"/>
        </w:rPr>
        <w:t xml:space="preserve"> activity and the funding base for system upgrades.</w:t>
      </w:r>
    </w:p>
    <w:p w14:paraId="2F3D8E23" w14:textId="77777777" w:rsidR="00836BF4" w:rsidRPr="002826F6" w:rsidRDefault="00836BF4" w:rsidP="002826F6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before="60" w:after="60" w:line="276" w:lineRule="auto"/>
        <w:ind w:right="700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 xml:space="preserve">Lower Rates: Secures smart load growth through spreading fixed </w:t>
      </w:r>
      <w:r w:rsidRPr="002826F6">
        <w:rPr>
          <w:rFonts w:ascii="Arial" w:eastAsia="Arial" w:hAnsi="Arial" w:cs="Arial"/>
        </w:rPr>
        <w:lastRenderedPageBreak/>
        <w:t>infrastructure costs over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more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energy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sales,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decreasing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average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rates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while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enabling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system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investment.</w:t>
      </w:r>
    </w:p>
    <w:p w14:paraId="1E7190FD" w14:textId="0D9DD496" w:rsidR="00836BF4" w:rsidRPr="002826F6" w:rsidRDefault="00836BF4" w:rsidP="002826F6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before="60" w:after="60" w:line="276" w:lineRule="auto"/>
        <w:ind w:right="749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Preserves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Reliability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and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Resource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Adequacy: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Enables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system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dispatchable load-reduction capability to preserve reliability and informs an IILE’s investment in on-site</w:t>
      </w:r>
      <w:r w:rsidRPr="002826F6">
        <w:rPr>
          <w:rFonts w:ascii="Arial" w:eastAsia="Arial" w:hAnsi="Arial" w:cs="Arial"/>
          <w:spacing w:val="-10"/>
        </w:rPr>
        <w:t xml:space="preserve"> </w:t>
      </w:r>
      <w:r w:rsidRPr="002826F6">
        <w:rPr>
          <w:rFonts w:ascii="Arial" w:eastAsia="Arial" w:hAnsi="Arial" w:cs="Arial"/>
        </w:rPr>
        <w:t>back-up</w:t>
      </w:r>
      <w:r w:rsidRPr="002826F6">
        <w:rPr>
          <w:rFonts w:ascii="Arial" w:eastAsia="Arial" w:hAnsi="Arial" w:cs="Arial"/>
          <w:spacing w:val="-7"/>
        </w:rPr>
        <w:t xml:space="preserve"> </w:t>
      </w:r>
      <w:r w:rsidRPr="002826F6">
        <w:rPr>
          <w:rFonts w:ascii="Arial" w:eastAsia="Arial" w:hAnsi="Arial" w:cs="Arial"/>
        </w:rPr>
        <w:t>power</w:t>
      </w:r>
      <w:r w:rsidRPr="002826F6">
        <w:rPr>
          <w:rFonts w:ascii="Arial" w:eastAsia="Arial" w:hAnsi="Arial" w:cs="Arial"/>
          <w:spacing w:val="-8"/>
        </w:rPr>
        <w:t xml:space="preserve"> </w:t>
      </w:r>
      <w:r w:rsidRPr="002826F6">
        <w:rPr>
          <w:rFonts w:ascii="Arial" w:eastAsia="Arial" w:hAnsi="Arial" w:cs="Arial"/>
        </w:rPr>
        <w:t>generation,</w:t>
      </w:r>
      <w:r w:rsidRPr="002826F6">
        <w:rPr>
          <w:rFonts w:ascii="Arial" w:eastAsia="Arial" w:hAnsi="Arial" w:cs="Arial"/>
          <w:spacing w:val="-7"/>
        </w:rPr>
        <w:t xml:space="preserve"> </w:t>
      </w:r>
      <w:r w:rsidRPr="002826F6">
        <w:rPr>
          <w:rFonts w:ascii="Arial" w:eastAsia="Arial" w:hAnsi="Arial" w:cs="Arial"/>
        </w:rPr>
        <w:t>contributing</w:t>
      </w:r>
      <w:r w:rsidRPr="002826F6">
        <w:rPr>
          <w:rFonts w:ascii="Arial" w:eastAsia="Arial" w:hAnsi="Arial" w:cs="Arial"/>
          <w:spacing w:val="-7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8"/>
        </w:rPr>
        <w:t xml:space="preserve"> </w:t>
      </w:r>
      <w:r w:rsidRPr="002826F6">
        <w:rPr>
          <w:rFonts w:ascii="Arial" w:eastAsia="Arial" w:hAnsi="Arial" w:cs="Arial"/>
        </w:rPr>
        <w:t>overall</w:t>
      </w:r>
      <w:r w:rsidRPr="002826F6">
        <w:rPr>
          <w:rFonts w:ascii="Arial" w:eastAsia="Arial" w:hAnsi="Arial" w:cs="Arial"/>
          <w:spacing w:val="-7"/>
        </w:rPr>
        <w:t xml:space="preserve"> </w:t>
      </w:r>
      <w:r w:rsidRPr="002826F6">
        <w:rPr>
          <w:rFonts w:ascii="Arial" w:eastAsia="Arial" w:hAnsi="Arial" w:cs="Arial"/>
        </w:rPr>
        <w:t>resource</w:t>
      </w:r>
      <w:r w:rsidRPr="002826F6">
        <w:rPr>
          <w:rFonts w:ascii="Arial" w:eastAsia="Arial" w:hAnsi="Arial" w:cs="Arial"/>
          <w:spacing w:val="-7"/>
        </w:rPr>
        <w:t xml:space="preserve"> </w:t>
      </w:r>
      <w:r w:rsidRPr="002826F6">
        <w:rPr>
          <w:rFonts w:ascii="Arial" w:eastAsia="Arial" w:hAnsi="Arial" w:cs="Arial"/>
          <w:spacing w:val="-2"/>
        </w:rPr>
        <w:t>adequacy.</w:t>
      </w:r>
    </w:p>
    <w:p w14:paraId="2F80128B" w14:textId="77777777" w:rsidR="00836BF4" w:rsidRPr="002826F6" w:rsidRDefault="00836BF4" w:rsidP="00836BF4">
      <w:pPr>
        <w:widowControl w:val="0"/>
        <w:autoSpaceDE w:val="0"/>
        <w:autoSpaceDN w:val="0"/>
        <w:spacing w:before="120" w:after="120"/>
        <w:outlineLvl w:val="0"/>
        <w:rPr>
          <w:rFonts w:ascii="Arial" w:eastAsia="Arial" w:hAnsi="Arial" w:cs="Arial"/>
          <w:b/>
          <w:bCs/>
        </w:rPr>
      </w:pPr>
      <w:r w:rsidRPr="002826F6">
        <w:rPr>
          <w:rFonts w:ascii="Arial" w:eastAsia="Arial" w:hAnsi="Arial" w:cs="Arial"/>
          <w:b/>
          <w:bCs/>
        </w:rPr>
        <w:t>Unlocking</w:t>
      </w:r>
      <w:r w:rsidRPr="002826F6">
        <w:rPr>
          <w:rFonts w:ascii="Arial" w:eastAsia="Arial" w:hAnsi="Arial" w:cs="Arial"/>
          <w:b/>
          <w:bCs/>
          <w:spacing w:val="-12"/>
        </w:rPr>
        <w:t xml:space="preserve"> </w:t>
      </w:r>
      <w:r w:rsidRPr="002826F6">
        <w:rPr>
          <w:rFonts w:ascii="Arial" w:eastAsia="Arial" w:hAnsi="Arial" w:cs="Arial"/>
          <w:b/>
          <w:bCs/>
        </w:rPr>
        <w:t>ERCOT’s</w:t>
      </w:r>
      <w:r w:rsidRPr="002826F6">
        <w:rPr>
          <w:rFonts w:ascii="Arial" w:eastAsia="Arial" w:hAnsi="Arial" w:cs="Arial"/>
          <w:b/>
          <w:bCs/>
          <w:spacing w:val="-12"/>
        </w:rPr>
        <w:t xml:space="preserve"> </w:t>
      </w:r>
      <w:r w:rsidRPr="002826F6">
        <w:rPr>
          <w:rFonts w:ascii="Arial" w:eastAsia="Arial" w:hAnsi="Arial" w:cs="Arial"/>
          <w:b/>
          <w:bCs/>
          <w:spacing w:val="-2"/>
        </w:rPr>
        <w:t>Potential</w:t>
      </w:r>
    </w:p>
    <w:p w14:paraId="38DD5CA3" w14:textId="41272265" w:rsidR="00836BF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422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Recently published research indicates the ERCOT system could have 6.5 GW - 14.7 GW of load addition available on its system at 0.25% - 1% respective curtailment levels</w:t>
      </w:r>
      <w:r w:rsidR="00B010C6" w:rsidRPr="002826F6">
        <w:rPr>
          <w:rFonts w:ascii="Arial" w:eastAsia="Arial" w:hAnsi="Arial" w:cs="Arial"/>
        </w:rPr>
        <w:t>.</w:t>
      </w:r>
      <w:r w:rsidR="00B010C6" w:rsidRPr="002826F6">
        <w:rPr>
          <w:rStyle w:val="FootnoteReference"/>
          <w:rFonts w:ascii="Arial" w:eastAsia="Arial" w:hAnsi="Arial" w:cs="Arial"/>
        </w:rPr>
        <w:footnoteReference w:id="1"/>
      </w:r>
      <w:r w:rsidRPr="002826F6">
        <w:rPr>
          <w:rFonts w:ascii="Arial" w:eastAsia="Arial" w:hAnsi="Arial" w:cs="Arial"/>
        </w:rPr>
        <w:t xml:space="preserve"> </w:t>
      </w:r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</w:rPr>
        <w:t xml:space="preserve"> was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founded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on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premise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and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potential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of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partnering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4"/>
        </w:rPr>
        <w:t xml:space="preserve"> </w:t>
      </w:r>
      <w:proofErr w:type="spellStart"/>
      <w:r w:rsidRPr="002826F6">
        <w:rPr>
          <w:rFonts w:ascii="Arial" w:eastAsia="Arial" w:hAnsi="Arial" w:cs="Arial"/>
        </w:rPr>
        <w:t>hyperscalers</w:t>
      </w:r>
      <w:proofErr w:type="spellEnd"/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and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utilities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 xml:space="preserve">unlock existing capacity on the grid to create a win-win-win for data centers, utilities, and electricity </w:t>
      </w:r>
      <w:r w:rsidRPr="002826F6">
        <w:rPr>
          <w:rFonts w:ascii="Arial" w:eastAsia="Arial" w:hAnsi="Arial" w:cs="Arial"/>
          <w:spacing w:val="-2"/>
        </w:rPr>
        <w:t>consumers.</w:t>
      </w:r>
    </w:p>
    <w:p w14:paraId="1F37A4BF" w14:textId="2F46B49D" w:rsidR="00836BF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422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This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potential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was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realized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through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a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recent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partnership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Portland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General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>Electric,</w:t>
      </w:r>
      <w:r w:rsidRPr="002826F6">
        <w:rPr>
          <w:rFonts w:ascii="Arial" w:eastAsia="Arial" w:hAnsi="Arial" w:cs="Arial"/>
          <w:spacing w:val="-2"/>
        </w:rPr>
        <w:t xml:space="preserve"> </w:t>
      </w:r>
      <w:r w:rsidRPr="002826F6">
        <w:rPr>
          <w:rFonts w:ascii="Arial" w:eastAsia="Arial" w:hAnsi="Arial" w:cs="Arial"/>
        </w:rPr>
        <w:t xml:space="preserve">where </w:t>
      </w:r>
      <w:proofErr w:type="spellStart"/>
      <w:r w:rsidRPr="002826F6">
        <w:rPr>
          <w:rFonts w:ascii="Arial" w:eastAsia="Arial" w:hAnsi="Arial" w:cs="Arial"/>
        </w:rPr>
        <w:t>GridCARE’s</w:t>
      </w:r>
      <w:proofErr w:type="spellEnd"/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AI-driven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capacity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acceleration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model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recently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enabled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400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MW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of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AI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data</w:t>
      </w:r>
      <w:r w:rsidRPr="002826F6">
        <w:rPr>
          <w:rFonts w:ascii="Arial" w:eastAsia="Arial" w:hAnsi="Arial" w:cs="Arial"/>
          <w:spacing w:val="-5"/>
        </w:rPr>
        <w:t xml:space="preserve"> </w:t>
      </w:r>
      <w:r w:rsidRPr="002826F6">
        <w:rPr>
          <w:rFonts w:ascii="Arial" w:eastAsia="Arial" w:hAnsi="Arial" w:cs="Arial"/>
        </w:rPr>
        <w:t>center projects to be energized beginning in 2026, versus initial utility projected service availability beyond 2030</w:t>
      </w:r>
      <w:r w:rsidR="00B010C6" w:rsidRPr="002826F6">
        <w:rPr>
          <w:rFonts w:ascii="Arial" w:eastAsia="Arial" w:hAnsi="Arial" w:cs="Arial"/>
        </w:rPr>
        <w:t>.</w:t>
      </w:r>
      <w:r w:rsidR="00B010C6" w:rsidRPr="002826F6">
        <w:rPr>
          <w:rStyle w:val="FootnoteReference"/>
          <w:rFonts w:ascii="Arial" w:eastAsia="Arial" w:hAnsi="Arial" w:cs="Arial"/>
        </w:rPr>
        <w:footnoteReference w:id="2"/>
      </w:r>
      <w:r w:rsidRPr="002826F6">
        <w:rPr>
          <w:rFonts w:ascii="Arial" w:eastAsia="Arial" w:hAnsi="Arial" w:cs="Arial"/>
        </w:rPr>
        <w:t xml:space="preserve"> This approach unlocked capacity within existing infrastructure and improved system utilization, thereby helping to reduce rates for all consumers.</w:t>
      </w:r>
    </w:p>
    <w:p w14:paraId="34B7EA76" w14:textId="77777777" w:rsidR="00836BF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128"/>
        <w:rPr>
          <w:rFonts w:ascii="Arial" w:eastAsia="Arial" w:hAnsi="Arial" w:cs="Arial"/>
        </w:rPr>
      </w:pPr>
      <w:proofErr w:type="spellStart"/>
      <w:r w:rsidRPr="002826F6">
        <w:rPr>
          <w:rFonts w:ascii="Arial" w:eastAsia="Arial" w:hAnsi="Arial" w:cs="Arial"/>
        </w:rPr>
        <w:t>GridCARE’s</w:t>
      </w:r>
      <w:proofErr w:type="spellEnd"/>
      <w:r w:rsidRPr="002826F6">
        <w:rPr>
          <w:rFonts w:ascii="Arial" w:eastAsia="Arial" w:hAnsi="Arial" w:cs="Arial"/>
        </w:rPr>
        <w:t xml:space="preserve"> platform can provide technical assurance for TSPs to gain confidence that an ILLE can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reliably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and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verifiably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dispatch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down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its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Low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Power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Consumption,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as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modeled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in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the</w:t>
      </w:r>
      <w:r w:rsidRPr="002826F6">
        <w:rPr>
          <w:rFonts w:ascii="Arial" w:eastAsia="Arial" w:hAnsi="Arial" w:cs="Arial"/>
          <w:spacing w:val="-3"/>
        </w:rPr>
        <w:t xml:space="preserve"> </w:t>
      </w:r>
      <w:r w:rsidRPr="002826F6">
        <w:rPr>
          <w:rFonts w:ascii="Arial" w:eastAsia="Arial" w:hAnsi="Arial" w:cs="Arial"/>
        </w:rPr>
        <w:t>CLR Election Study, and economic and operational certainty for ILLE’s to match their flexibility resources and computational workloads to grid availability.</w:t>
      </w:r>
    </w:p>
    <w:p w14:paraId="0EAA77C1" w14:textId="77777777" w:rsidR="00836BF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74"/>
        <w:rPr>
          <w:rFonts w:ascii="Arial" w:eastAsia="Arial" w:hAnsi="Arial" w:cs="Arial"/>
        </w:rPr>
      </w:pPr>
      <w:r w:rsidRPr="002826F6">
        <w:rPr>
          <w:rFonts w:ascii="Arial" w:eastAsia="Arial" w:hAnsi="Arial" w:cs="Arial"/>
        </w:rPr>
        <w:t>In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closing,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PGRR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134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is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important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step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maintain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grid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reliability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while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incorporating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flexibility into planning processes, enabling speed to power, and realizing beneficial load growth.</w:t>
      </w:r>
    </w:p>
    <w:p w14:paraId="78B7A0A6" w14:textId="0FBFC792" w:rsidR="000F20D4" w:rsidRPr="002826F6" w:rsidRDefault="00836BF4" w:rsidP="00836BF4">
      <w:pPr>
        <w:widowControl w:val="0"/>
        <w:autoSpaceDE w:val="0"/>
        <w:autoSpaceDN w:val="0"/>
        <w:spacing w:before="120" w:after="120" w:line="276" w:lineRule="auto"/>
        <w:ind w:right="422"/>
        <w:rPr>
          <w:rFonts w:ascii="Arial" w:eastAsia="Arial" w:hAnsi="Arial" w:cs="Arial"/>
        </w:rPr>
      </w:pPr>
      <w:proofErr w:type="spellStart"/>
      <w:r w:rsidRPr="002826F6">
        <w:rPr>
          <w:rFonts w:ascii="Arial" w:eastAsia="Arial" w:hAnsi="Arial" w:cs="Arial"/>
        </w:rPr>
        <w:t>GridCARE</w:t>
      </w:r>
      <w:proofErr w:type="spellEnd"/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stands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ready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partner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with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ERCOT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TSPs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and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ILLEs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to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deploy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this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solution</w:t>
      </w:r>
      <w:r w:rsidRPr="002826F6">
        <w:rPr>
          <w:rFonts w:ascii="Arial" w:eastAsia="Arial" w:hAnsi="Arial" w:cs="Arial"/>
          <w:spacing w:val="-4"/>
        </w:rPr>
        <w:t xml:space="preserve"> </w:t>
      </w:r>
      <w:r w:rsidRPr="002826F6">
        <w:rPr>
          <w:rFonts w:ascii="Arial" w:eastAsia="Arial" w:hAnsi="Arial" w:cs="Arial"/>
        </w:rPr>
        <w:t>and unlock ERCOT system’s capacity potential moving forward.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4B8060E4" w14:textId="77777777" w:rsidTr="0036679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393F7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2E8B78FD" w14:textId="27271728" w:rsidR="00152993" w:rsidRDefault="00637467" w:rsidP="0063746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0524A2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D5994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6C8E10BF" w14:textId="158A2F72" w:rsidR="00152993" w:rsidRDefault="00637467" w:rsidP="00637467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4A4B" w14:textId="77777777" w:rsidR="003B3A42" w:rsidRDefault="003B3A42">
      <w:r>
        <w:separator/>
      </w:r>
    </w:p>
  </w:endnote>
  <w:endnote w:type="continuationSeparator" w:id="0">
    <w:p w14:paraId="40B799E8" w14:textId="77777777" w:rsidR="003B3A42" w:rsidRDefault="003B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08B9" w14:textId="4C1C2F4B" w:rsidR="003D0994" w:rsidRDefault="006C7EB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</w:t>
    </w:r>
    <w:r w:rsidR="00D231E3">
      <w:rPr>
        <w:rFonts w:ascii="Arial" w:hAnsi="Arial"/>
        <w:sz w:val="18"/>
      </w:rPr>
      <w:t>1</w:t>
    </w:r>
    <w:r w:rsidR="00445781">
      <w:rPr>
        <w:rFonts w:ascii="Arial" w:hAnsi="Arial"/>
        <w:sz w:val="18"/>
      </w:rPr>
      <w:t>2</w:t>
    </w:r>
    <w:r w:rsidR="009F44A4">
      <w:rPr>
        <w:rFonts w:ascii="Arial" w:hAnsi="Arial"/>
        <w:sz w:val="18"/>
      </w:rPr>
      <w:t xml:space="preserve"> </w:t>
    </w:r>
    <w:proofErr w:type="spellStart"/>
    <w:r w:rsidR="00445781">
      <w:rPr>
        <w:rFonts w:ascii="Arial" w:hAnsi="Arial"/>
        <w:sz w:val="18"/>
      </w:rPr>
      <w:t>GridCARE</w:t>
    </w:r>
    <w:proofErr w:type="spellEnd"/>
    <w:r w:rsidR="00D231E3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>s 11</w:t>
    </w:r>
    <w:r w:rsidR="00445781">
      <w:rPr>
        <w:rFonts w:ascii="Arial" w:hAnsi="Arial"/>
        <w:sz w:val="18"/>
      </w:rPr>
      <w:t>20</w:t>
    </w:r>
    <w:r>
      <w:rPr>
        <w:rFonts w:ascii="Arial" w:hAnsi="Arial"/>
        <w:sz w:val="18"/>
      </w:rPr>
      <w:t>25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36384699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92BC" w14:textId="77777777" w:rsidR="003B3A42" w:rsidRDefault="003B3A42">
      <w:r>
        <w:separator/>
      </w:r>
    </w:p>
  </w:footnote>
  <w:footnote w:type="continuationSeparator" w:id="0">
    <w:p w14:paraId="4583C560" w14:textId="77777777" w:rsidR="003B3A42" w:rsidRDefault="003B3A42">
      <w:r>
        <w:continuationSeparator/>
      </w:r>
    </w:p>
  </w:footnote>
  <w:footnote w:id="1">
    <w:p w14:paraId="155F636C" w14:textId="26020F22" w:rsidR="00B010C6" w:rsidRDefault="00B01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>
        <w:r>
          <w:rPr>
            <w:color w:val="1154CC"/>
            <w:u w:val="thick" w:color="1154CC"/>
          </w:rPr>
          <w:t>Rethinking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Load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Growth: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Assessing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the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Potential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for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Integration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of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Large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Flexible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Loads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in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US</w:t>
        </w:r>
        <w:r>
          <w:rPr>
            <w:color w:val="1154CC"/>
            <w:spacing w:val="-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Power</w:t>
        </w:r>
      </w:hyperlink>
      <w:r>
        <w:rPr>
          <w:color w:val="1154CC"/>
        </w:rPr>
        <w:t xml:space="preserve"> </w:t>
      </w:r>
      <w:hyperlink r:id="rId2">
        <w:r>
          <w:rPr>
            <w:color w:val="1154CC"/>
            <w:spacing w:val="-2"/>
            <w:u w:val="thick" w:color="1154CC"/>
          </w:rPr>
          <w:t>Systems.</w:t>
        </w:r>
      </w:hyperlink>
    </w:p>
  </w:footnote>
  <w:footnote w:id="2">
    <w:p w14:paraId="468BB6CA" w14:textId="414C2DEE" w:rsidR="00B010C6" w:rsidRDefault="00B01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>
        <w:r>
          <w:rPr>
            <w:color w:val="1154CC"/>
            <w:u w:val="thick" w:color="1154CC"/>
          </w:rPr>
          <w:t>Oregon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Utility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Tries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Out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a</w:t>
        </w:r>
        <w:r>
          <w:rPr>
            <w:color w:val="1154CC"/>
            <w:spacing w:val="-6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Faster,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Cheaper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Way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to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Power</w:t>
        </w:r>
        <w:r>
          <w:rPr>
            <w:color w:val="1154CC"/>
            <w:spacing w:val="-6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Data</w:t>
        </w:r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spacing w:val="-2"/>
            <w:u w:val="thick" w:color="1154CC"/>
          </w:rPr>
          <w:t>Centers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4816" w14:textId="76D09DE3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45CC6CDA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pStyle w:val="Heading2"/>
      <w:lvlText w:val="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09892"/>
    <w:multiLevelType w:val="hybridMultilevel"/>
    <w:tmpl w:val="FFFFFFFF"/>
    <w:lvl w:ilvl="0" w:tplc="D24645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385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0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A3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26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8D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64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6D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65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94F0"/>
    <w:multiLevelType w:val="hybridMultilevel"/>
    <w:tmpl w:val="FFFFFFFF"/>
    <w:lvl w:ilvl="0" w:tplc="929264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76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EC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67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E9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6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E6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DA68"/>
    <w:multiLevelType w:val="hybridMultilevel"/>
    <w:tmpl w:val="FFFFFFFF"/>
    <w:lvl w:ilvl="0" w:tplc="9788B2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A4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6A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A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8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6D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CE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64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CD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3A9D"/>
    <w:multiLevelType w:val="hybridMultilevel"/>
    <w:tmpl w:val="FFFFFFFF"/>
    <w:lvl w:ilvl="0" w:tplc="A5E001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F85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23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2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A5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E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D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C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D430"/>
    <w:multiLevelType w:val="hybridMultilevel"/>
    <w:tmpl w:val="FFFFFFFF"/>
    <w:lvl w:ilvl="0" w:tplc="E326D8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A8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EA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C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4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CF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0D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AB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01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2630"/>
    <w:multiLevelType w:val="hybridMultilevel"/>
    <w:tmpl w:val="765C01F4"/>
    <w:lvl w:ilvl="0" w:tplc="FAF4F6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16858"/>
    <w:multiLevelType w:val="hybridMultilevel"/>
    <w:tmpl w:val="FFFFFFFF"/>
    <w:lvl w:ilvl="0" w:tplc="B09CD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21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C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0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4B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6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1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F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2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6608A"/>
    <w:multiLevelType w:val="hybridMultilevel"/>
    <w:tmpl w:val="FFFFFFFF"/>
    <w:lvl w:ilvl="0" w:tplc="61E290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709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6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6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7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AD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E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C5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07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D20"/>
    <w:multiLevelType w:val="hybridMultilevel"/>
    <w:tmpl w:val="C8B8AF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5B83"/>
    <w:multiLevelType w:val="hybridMultilevel"/>
    <w:tmpl w:val="FFFFFFFF"/>
    <w:lvl w:ilvl="0" w:tplc="D1F2E2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2A7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CA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2C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7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27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8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4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45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A4709"/>
    <w:multiLevelType w:val="multilevel"/>
    <w:tmpl w:val="D6D0A6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A6AA65"/>
    <w:multiLevelType w:val="hybridMultilevel"/>
    <w:tmpl w:val="FFFFFFFF"/>
    <w:lvl w:ilvl="0" w:tplc="C5D647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0A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09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0B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61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B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1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C2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4E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30691"/>
    <w:multiLevelType w:val="hybridMultilevel"/>
    <w:tmpl w:val="1460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6F4"/>
    <w:multiLevelType w:val="multilevel"/>
    <w:tmpl w:val="62469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610AFF"/>
    <w:multiLevelType w:val="hybridMultilevel"/>
    <w:tmpl w:val="FFFFFFFF"/>
    <w:lvl w:ilvl="0" w:tplc="1750C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05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6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7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0B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4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E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4BB6"/>
    <w:multiLevelType w:val="hybridMultilevel"/>
    <w:tmpl w:val="FFFFFFFF"/>
    <w:lvl w:ilvl="0" w:tplc="21865F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7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04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2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C1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04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6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4C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E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1DA2"/>
    <w:multiLevelType w:val="multilevel"/>
    <w:tmpl w:val="24C2A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1186DC"/>
    <w:multiLevelType w:val="hybridMultilevel"/>
    <w:tmpl w:val="FFFFFFFF"/>
    <w:lvl w:ilvl="0" w:tplc="E26275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66A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AA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65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AA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2A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6F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0C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2B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A33"/>
    <w:multiLevelType w:val="hybridMultilevel"/>
    <w:tmpl w:val="FFFFFFFF"/>
    <w:lvl w:ilvl="0" w:tplc="B2529A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D08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24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C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09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E3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1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EF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63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20B49"/>
    <w:multiLevelType w:val="hybridMultilevel"/>
    <w:tmpl w:val="3E7A18A2"/>
    <w:lvl w:ilvl="0" w:tplc="FAF4F6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A565"/>
    <w:multiLevelType w:val="hybridMultilevel"/>
    <w:tmpl w:val="FFFFFFFF"/>
    <w:lvl w:ilvl="0" w:tplc="B75A95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769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2A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0B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81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87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2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00690"/>
    <w:multiLevelType w:val="multilevel"/>
    <w:tmpl w:val="C09E0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F4557D"/>
    <w:multiLevelType w:val="hybridMultilevel"/>
    <w:tmpl w:val="F0A460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B54B0"/>
    <w:multiLevelType w:val="multilevel"/>
    <w:tmpl w:val="6750CA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DEF0CC"/>
    <w:multiLevelType w:val="hybridMultilevel"/>
    <w:tmpl w:val="FFFFFFFF"/>
    <w:lvl w:ilvl="0" w:tplc="08D2E5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7A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0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46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60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84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2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A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A6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12610"/>
    <w:multiLevelType w:val="hybridMultilevel"/>
    <w:tmpl w:val="FFFFFFFF"/>
    <w:lvl w:ilvl="0" w:tplc="F998BE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80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27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26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09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8F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2D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0443"/>
    <w:multiLevelType w:val="hybridMultilevel"/>
    <w:tmpl w:val="FFFFFFFF"/>
    <w:lvl w:ilvl="0" w:tplc="AE8A8E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6E5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6B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D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A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8D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2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3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05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D3FB9"/>
    <w:multiLevelType w:val="hybridMultilevel"/>
    <w:tmpl w:val="D7707636"/>
    <w:lvl w:ilvl="0" w:tplc="FAF4F6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34DC8"/>
    <w:multiLevelType w:val="multilevel"/>
    <w:tmpl w:val="7988DA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1631D"/>
    <w:multiLevelType w:val="multilevel"/>
    <w:tmpl w:val="36BC3E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89BA2A"/>
    <w:multiLevelType w:val="hybridMultilevel"/>
    <w:tmpl w:val="FFFFFFFF"/>
    <w:lvl w:ilvl="0" w:tplc="F98CF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BCE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2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83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01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EB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84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75F0A"/>
    <w:multiLevelType w:val="hybridMultilevel"/>
    <w:tmpl w:val="FFFFFFFF"/>
    <w:lvl w:ilvl="0" w:tplc="AA3075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8AA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4A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48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2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64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2D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6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0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550CD"/>
    <w:multiLevelType w:val="hybridMultilevel"/>
    <w:tmpl w:val="3D30DF44"/>
    <w:lvl w:ilvl="0" w:tplc="E3D2B63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E8C88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C50851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294EE9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5504A8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4A883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6F29EC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49CE2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276DB3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568794C"/>
    <w:multiLevelType w:val="multilevel"/>
    <w:tmpl w:val="3EEE7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262793">
    <w:abstractNumId w:val="21"/>
  </w:num>
  <w:num w:numId="2" w16cid:durableId="2020960454">
    <w:abstractNumId w:val="15"/>
  </w:num>
  <w:num w:numId="3" w16cid:durableId="1981183408">
    <w:abstractNumId w:val="10"/>
  </w:num>
  <w:num w:numId="4" w16cid:durableId="388577206">
    <w:abstractNumId w:val="16"/>
  </w:num>
  <w:num w:numId="5" w16cid:durableId="40138688">
    <w:abstractNumId w:val="12"/>
  </w:num>
  <w:num w:numId="6" w16cid:durableId="389615476">
    <w:abstractNumId w:val="2"/>
  </w:num>
  <w:num w:numId="7" w16cid:durableId="1147624157">
    <w:abstractNumId w:val="27"/>
  </w:num>
  <w:num w:numId="8" w16cid:durableId="1809202635">
    <w:abstractNumId w:val="3"/>
  </w:num>
  <w:num w:numId="9" w16cid:durableId="1570263680">
    <w:abstractNumId w:val="32"/>
  </w:num>
  <w:num w:numId="10" w16cid:durableId="1893156532">
    <w:abstractNumId w:val="8"/>
  </w:num>
  <w:num w:numId="11" w16cid:durableId="786781597">
    <w:abstractNumId w:val="4"/>
  </w:num>
  <w:num w:numId="12" w16cid:durableId="1990938990">
    <w:abstractNumId w:val="26"/>
  </w:num>
  <w:num w:numId="13" w16cid:durableId="1797719699">
    <w:abstractNumId w:val="7"/>
  </w:num>
  <w:num w:numId="14" w16cid:durableId="507984155">
    <w:abstractNumId w:val="1"/>
  </w:num>
  <w:num w:numId="15" w16cid:durableId="1532106180">
    <w:abstractNumId w:val="5"/>
  </w:num>
  <w:num w:numId="16" w16cid:durableId="868881750">
    <w:abstractNumId w:val="19"/>
  </w:num>
  <w:num w:numId="17" w16cid:durableId="594171276">
    <w:abstractNumId w:val="18"/>
  </w:num>
  <w:num w:numId="18" w16cid:durableId="1984581738">
    <w:abstractNumId w:val="31"/>
  </w:num>
  <w:num w:numId="19" w16cid:durableId="101269449">
    <w:abstractNumId w:val="25"/>
  </w:num>
  <w:num w:numId="20" w16cid:durableId="1906915122">
    <w:abstractNumId w:val="0"/>
  </w:num>
  <w:num w:numId="21" w16cid:durableId="1195969269">
    <w:abstractNumId w:val="35"/>
  </w:num>
  <w:num w:numId="22" w16cid:durableId="281546435">
    <w:abstractNumId w:val="13"/>
  </w:num>
  <w:num w:numId="23" w16cid:durableId="920599404">
    <w:abstractNumId w:val="11"/>
  </w:num>
  <w:num w:numId="24" w16cid:durableId="1684045377">
    <w:abstractNumId w:val="24"/>
  </w:num>
  <w:num w:numId="25" w16cid:durableId="1487670919">
    <w:abstractNumId w:val="23"/>
  </w:num>
  <w:num w:numId="26" w16cid:durableId="1209343827">
    <w:abstractNumId w:val="28"/>
  </w:num>
  <w:num w:numId="27" w16cid:durableId="1665665265">
    <w:abstractNumId w:val="20"/>
  </w:num>
  <w:num w:numId="28" w16cid:durableId="1835223868">
    <w:abstractNumId w:val="29"/>
  </w:num>
  <w:num w:numId="29" w16cid:durableId="1599019391">
    <w:abstractNumId w:val="9"/>
  </w:num>
  <w:num w:numId="30" w16cid:durableId="2054424973">
    <w:abstractNumId w:val="6"/>
  </w:num>
  <w:num w:numId="31" w16cid:durableId="905728083">
    <w:abstractNumId w:val="0"/>
  </w:num>
  <w:num w:numId="32" w16cid:durableId="1684865772">
    <w:abstractNumId w:val="14"/>
  </w:num>
  <w:num w:numId="33" w16cid:durableId="875774514">
    <w:abstractNumId w:val="17"/>
  </w:num>
  <w:num w:numId="34" w16cid:durableId="110438737">
    <w:abstractNumId w:val="22"/>
  </w:num>
  <w:num w:numId="35" w16cid:durableId="562562678">
    <w:abstractNumId w:val="30"/>
  </w:num>
  <w:num w:numId="36" w16cid:durableId="1038510424">
    <w:abstractNumId w:val="34"/>
  </w:num>
  <w:num w:numId="37" w16cid:durableId="868449642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14C13"/>
    <w:rsid w:val="000308B1"/>
    <w:rsid w:val="00037668"/>
    <w:rsid w:val="0005762B"/>
    <w:rsid w:val="00071755"/>
    <w:rsid w:val="00075A94"/>
    <w:rsid w:val="00086E98"/>
    <w:rsid w:val="000A4CD9"/>
    <w:rsid w:val="000B685E"/>
    <w:rsid w:val="000F20D4"/>
    <w:rsid w:val="00117410"/>
    <w:rsid w:val="00125314"/>
    <w:rsid w:val="00130C09"/>
    <w:rsid w:val="00132855"/>
    <w:rsid w:val="00152993"/>
    <w:rsid w:val="001560AD"/>
    <w:rsid w:val="00161F71"/>
    <w:rsid w:val="00170297"/>
    <w:rsid w:val="00170E84"/>
    <w:rsid w:val="00185656"/>
    <w:rsid w:val="001A227D"/>
    <w:rsid w:val="001B51EC"/>
    <w:rsid w:val="001C1EEE"/>
    <w:rsid w:val="001C721C"/>
    <w:rsid w:val="001D4484"/>
    <w:rsid w:val="001E2032"/>
    <w:rsid w:val="00237F13"/>
    <w:rsid w:val="002614FE"/>
    <w:rsid w:val="00265AFD"/>
    <w:rsid w:val="00274D7D"/>
    <w:rsid w:val="002771E6"/>
    <w:rsid w:val="0027795A"/>
    <w:rsid w:val="002826F6"/>
    <w:rsid w:val="002A1EDB"/>
    <w:rsid w:val="002B4951"/>
    <w:rsid w:val="002C2467"/>
    <w:rsid w:val="002C29FA"/>
    <w:rsid w:val="002C62D7"/>
    <w:rsid w:val="003010C0"/>
    <w:rsid w:val="00303EF6"/>
    <w:rsid w:val="0033207F"/>
    <w:rsid w:val="00332A97"/>
    <w:rsid w:val="00342DAE"/>
    <w:rsid w:val="00344147"/>
    <w:rsid w:val="00350C00"/>
    <w:rsid w:val="003577EF"/>
    <w:rsid w:val="00366113"/>
    <w:rsid w:val="00366799"/>
    <w:rsid w:val="003B3A42"/>
    <w:rsid w:val="003B6825"/>
    <w:rsid w:val="003B6CB9"/>
    <w:rsid w:val="003C270C"/>
    <w:rsid w:val="003C405A"/>
    <w:rsid w:val="003D0994"/>
    <w:rsid w:val="003E7D74"/>
    <w:rsid w:val="003F456C"/>
    <w:rsid w:val="003F5085"/>
    <w:rsid w:val="00414AA4"/>
    <w:rsid w:val="00423824"/>
    <w:rsid w:val="004250A0"/>
    <w:rsid w:val="00435306"/>
    <w:rsid w:val="0043567D"/>
    <w:rsid w:val="00445781"/>
    <w:rsid w:val="004574EC"/>
    <w:rsid w:val="00483904"/>
    <w:rsid w:val="00485845"/>
    <w:rsid w:val="004B7B90"/>
    <w:rsid w:val="004D2FAE"/>
    <w:rsid w:val="004E2844"/>
    <w:rsid w:val="004E2C19"/>
    <w:rsid w:val="004F1094"/>
    <w:rsid w:val="00564960"/>
    <w:rsid w:val="005A62D2"/>
    <w:rsid w:val="005D284C"/>
    <w:rsid w:val="00633E23"/>
    <w:rsid w:val="00637467"/>
    <w:rsid w:val="00673B94"/>
    <w:rsid w:val="00680AC6"/>
    <w:rsid w:val="006835D8"/>
    <w:rsid w:val="006B6FC5"/>
    <w:rsid w:val="006C316E"/>
    <w:rsid w:val="006C7EB2"/>
    <w:rsid w:val="006D0F7C"/>
    <w:rsid w:val="006D33CA"/>
    <w:rsid w:val="006E44B4"/>
    <w:rsid w:val="007269C4"/>
    <w:rsid w:val="007303B8"/>
    <w:rsid w:val="00734EAF"/>
    <w:rsid w:val="0074184D"/>
    <w:rsid w:val="0074209E"/>
    <w:rsid w:val="00742899"/>
    <w:rsid w:val="007717E6"/>
    <w:rsid w:val="00790ABA"/>
    <w:rsid w:val="00795018"/>
    <w:rsid w:val="007D5B83"/>
    <w:rsid w:val="007F2CA8"/>
    <w:rsid w:val="007F7161"/>
    <w:rsid w:val="00823E4A"/>
    <w:rsid w:val="00827DA5"/>
    <w:rsid w:val="00836BF4"/>
    <w:rsid w:val="008400E9"/>
    <w:rsid w:val="00847A72"/>
    <w:rsid w:val="0085559E"/>
    <w:rsid w:val="00896B1B"/>
    <w:rsid w:val="008972F7"/>
    <w:rsid w:val="008E1792"/>
    <w:rsid w:val="008E559E"/>
    <w:rsid w:val="00916080"/>
    <w:rsid w:val="00921A68"/>
    <w:rsid w:val="00923C35"/>
    <w:rsid w:val="00960706"/>
    <w:rsid w:val="00992799"/>
    <w:rsid w:val="009A3692"/>
    <w:rsid w:val="009A64AD"/>
    <w:rsid w:val="009C744A"/>
    <w:rsid w:val="009E04DD"/>
    <w:rsid w:val="009F2988"/>
    <w:rsid w:val="009F44A4"/>
    <w:rsid w:val="00A015C4"/>
    <w:rsid w:val="00A07EC5"/>
    <w:rsid w:val="00A15172"/>
    <w:rsid w:val="00A16567"/>
    <w:rsid w:val="00A5147E"/>
    <w:rsid w:val="00A51681"/>
    <w:rsid w:val="00A528A4"/>
    <w:rsid w:val="00A52B6C"/>
    <w:rsid w:val="00A627C3"/>
    <w:rsid w:val="00A63F15"/>
    <w:rsid w:val="00A95EA6"/>
    <w:rsid w:val="00AB7218"/>
    <w:rsid w:val="00AE48B7"/>
    <w:rsid w:val="00AF6080"/>
    <w:rsid w:val="00B001C2"/>
    <w:rsid w:val="00B010C6"/>
    <w:rsid w:val="00B23D1A"/>
    <w:rsid w:val="00B440CC"/>
    <w:rsid w:val="00B67525"/>
    <w:rsid w:val="00B845F9"/>
    <w:rsid w:val="00B97372"/>
    <w:rsid w:val="00BA0814"/>
    <w:rsid w:val="00BB7A06"/>
    <w:rsid w:val="00C00682"/>
    <w:rsid w:val="00C0528A"/>
    <w:rsid w:val="00C0598D"/>
    <w:rsid w:val="00C11956"/>
    <w:rsid w:val="00C158EE"/>
    <w:rsid w:val="00C200BE"/>
    <w:rsid w:val="00C234E4"/>
    <w:rsid w:val="00C30DE7"/>
    <w:rsid w:val="00C602E5"/>
    <w:rsid w:val="00C67968"/>
    <w:rsid w:val="00C748FD"/>
    <w:rsid w:val="00CA1396"/>
    <w:rsid w:val="00CE0591"/>
    <w:rsid w:val="00CF5C4A"/>
    <w:rsid w:val="00D004D7"/>
    <w:rsid w:val="00D231E3"/>
    <w:rsid w:val="00D24DCF"/>
    <w:rsid w:val="00D3377F"/>
    <w:rsid w:val="00D4046E"/>
    <w:rsid w:val="00D53C12"/>
    <w:rsid w:val="00D65808"/>
    <w:rsid w:val="00D83C6D"/>
    <w:rsid w:val="00DC26AC"/>
    <w:rsid w:val="00DC4E92"/>
    <w:rsid w:val="00DD4739"/>
    <w:rsid w:val="00DE5F33"/>
    <w:rsid w:val="00DE6EE4"/>
    <w:rsid w:val="00DF3785"/>
    <w:rsid w:val="00E07B54"/>
    <w:rsid w:val="00E11F78"/>
    <w:rsid w:val="00E13B27"/>
    <w:rsid w:val="00E160D4"/>
    <w:rsid w:val="00E1756F"/>
    <w:rsid w:val="00E367F1"/>
    <w:rsid w:val="00E621E1"/>
    <w:rsid w:val="00E77DA2"/>
    <w:rsid w:val="00E85951"/>
    <w:rsid w:val="00E912D0"/>
    <w:rsid w:val="00EB1164"/>
    <w:rsid w:val="00EC55B3"/>
    <w:rsid w:val="00ED66C0"/>
    <w:rsid w:val="00F038EC"/>
    <w:rsid w:val="00F042C1"/>
    <w:rsid w:val="00F11D14"/>
    <w:rsid w:val="00F315DC"/>
    <w:rsid w:val="00F81606"/>
    <w:rsid w:val="00F87124"/>
    <w:rsid w:val="00F96FB2"/>
    <w:rsid w:val="00FB325E"/>
    <w:rsid w:val="00FB51D8"/>
    <w:rsid w:val="00FD08E8"/>
    <w:rsid w:val="00FE5B3D"/>
    <w:rsid w:val="00FF5E88"/>
    <w:rsid w:val="14B4AB6C"/>
    <w:rsid w:val="3C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5B134"/>
  <w15:chartTrackingRefBased/>
  <w15:docId w15:val="{3BA55AA4-FB75-4D90-9A30-5F4216BD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20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20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20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20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1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/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7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414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001C2"/>
    <w:rPr>
      <w:color w:val="2B579A"/>
      <w:shd w:val="clear" w:color="auto" w:fill="E1DFDD"/>
    </w:rPr>
  </w:style>
  <w:style w:type="table" w:styleId="GridTable6Colorful">
    <w:name w:val="Grid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rsid w:val="00B01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10C6"/>
  </w:style>
  <w:style w:type="character" w:styleId="FootnoteReference">
    <w:name w:val="footnote reference"/>
    <w:basedOn w:val="DefaultParagraphFont"/>
    <w:rsid w:val="00B01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ssica@gridcare.a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arymedia.com/articles/data-centers/oregon-utility-tries-out-a-faster-cheaper-way-to-power-data-centers" TargetMode="External"/><Relationship Id="rId2" Type="http://schemas.openxmlformats.org/officeDocument/2006/relationships/hyperlink" Target="https://nicholasinstitute.duke.edu/publications/rethinking-load-growth" TargetMode="External"/><Relationship Id="rId1" Type="http://schemas.openxmlformats.org/officeDocument/2006/relationships/hyperlink" Target="https://nicholasinstitute.duke.edu/publications/rethinking-load-grow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124b9-35fe-4fdd-8797-9bce01cc8ddb">
      <Terms xmlns="http://schemas.microsoft.com/office/infopath/2007/PartnerControls"/>
    </lcf76f155ced4ddcb4097134ff3c332f>
    <TaxCatchAll xmlns="820d94f8-fd11-42ac-a0ff-4aa2bfffaa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1BCB6828B0A4C918B3521AC90F438" ma:contentTypeVersion="13" ma:contentTypeDescription="Create a new document." ma:contentTypeScope="" ma:versionID="a36d005603f93afc2a0fa16f04279e93">
  <xsd:schema xmlns:xsd="http://www.w3.org/2001/XMLSchema" xmlns:xs="http://www.w3.org/2001/XMLSchema" xmlns:p="http://schemas.microsoft.com/office/2006/metadata/properties" xmlns:ns2="09b124b9-35fe-4fdd-8797-9bce01cc8ddb" xmlns:ns3="820d94f8-fd11-42ac-a0ff-4aa2bfffaaf2" targetNamespace="http://schemas.microsoft.com/office/2006/metadata/properties" ma:root="true" ma:fieldsID="294bb0348c32bd9fc67b275651a0288c" ns2:_="" ns3:_="">
    <xsd:import namespace="09b124b9-35fe-4fdd-8797-9bce01cc8ddb"/>
    <xsd:import namespace="820d94f8-fd11-42ac-a0ff-4aa2bfffa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24b9-35fe-4fdd-8797-9bce01cc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8aaaa4-24c1-46af-a4a6-338b2834e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94f8-fd11-42ac-a0ff-4aa2bfffaa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742644-7ab7-4921-b95c-656d74b962df}" ma:internalName="TaxCatchAll" ma:showField="CatchAllData" ma:web="820d94f8-fd11-42ac-a0ff-4aa2bfffa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F2FA6-921A-40DF-A3B5-1704F20C3223}">
  <ds:schemaRefs>
    <ds:schemaRef ds:uri="http://schemas.microsoft.com/office/2006/metadata/properties"/>
    <ds:schemaRef ds:uri="http://schemas.microsoft.com/office/infopath/2007/PartnerControls"/>
    <ds:schemaRef ds:uri="09b124b9-35fe-4fdd-8797-9bce01cc8ddb"/>
    <ds:schemaRef ds:uri="820d94f8-fd11-42ac-a0ff-4aa2bfffaaf2"/>
  </ds:schemaRefs>
</ds:datastoreItem>
</file>

<file path=customXml/itemProps2.xml><?xml version="1.0" encoding="utf-8"?>
<ds:datastoreItem xmlns:ds="http://schemas.openxmlformats.org/officeDocument/2006/customXml" ds:itemID="{F2C2CF3B-BE43-441C-9AB5-FAF95BDDB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4D65-A751-41F3-9540-883EE6B885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C288D-2778-4A6D-9D36-17F034702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124b9-35fe-4fdd-8797-9bce01cc8ddb"/>
    <ds:schemaRef ds:uri="820d94f8-fd11-42ac-a0ff-4aa2bfffa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Links>
    <vt:vector size="72" baseType="variant">
      <vt:variant>
        <vt:i4>2687037</vt:i4>
      </vt:variant>
      <vt:variant>
        <vt:i4>33</vt:i4>
      </vt:variant>
      <vt:variant>
        <vt:i4>0</vt:i4>
      </vt:variant>
      <vt:variant>
        <vt:i4>5</vt:i4>
      </vt:variant>
      <vt:variant>
        <vt:lpwstr>https://gridlab.org/portfolio-item/data-center-flexibility-nv-energy-case-study-report/</vt:lpwstr>
      </vt:variant>
      <vt:variant>
        <vt:lpwstr/>
      </vt:variant>
      <vt:variant>
        <vt:i4>6619211</vt:i4>
      </vt:variant>
      <vt:variant>
        <vt:i4>30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_ftnref4</vt:lpwstr>
      </vt:variant>
      <vt:variant>
        <vt:i4>3211365</vt:i4>
      </vt:variant>
      <vt:variant>
        <vt:i4>27</vt:i4>
      </vt:variant>
      <vt:variant>
        <vt:i4>0</vt:i4>
      </vt:variant>
      <vt:variant>
        <vt:i4>5</vt:i4>
      </vt:variant>
      <vt:variant>
        <vt:lpwstr>https://nicholasinstitute.duke.edu/sites/default/files/publications/rethinking-load-growth.pdf</vt:lpwstr>
      </vt:variant>
      <vt:variant>
        <vt:lpwstr/>
      </vt:variant>
      <vt:variant>
        <vt:i4>6422603</vt:i4>
      </vt:variant>
      <vt:variant>
        <vt:i4>24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_ftnref3</vt:lpwstr>
      </vt:variant>
      <vt:variant>
        <vt:i4>6488191</vt:i4>
      </vt:variant>
      <vt:variant>
        <vt:i4>21</vt:i4>
      </vt:variant>
      <vt:variant>
        <vt:i4>0</vt:i4>
      </vt:variant>
      <vt:variant>
        <vt:i4>5</vt:i4>
      </vt:variant>
      <vt:variant>
        <vt:lpwstr>https://www.energy.gov/sites/default/files/2024-08/Powering AI and Data Center Infrastructure Recommendations July 2024.pdf</vt:lpwstr>
      </vt:variant>
      <vt:variant>
        <vt:lpwstr/>
      </vt:variant>
      <vt:variant>
        <vt:i4>1572954</vt:i4>
      </vt:variant>
      <vt:variant>
        <vt:i4>18</vt:i4>
      </vt:variant>
      <vt:variant>
        <vt:i4>0</vt:i4>
      </vt:variant>
      <vt:variant>
        <vt:i4>5</vt:i4>
      </vt:variant>
      <vt:variant>
        <vt:lpwstr>https://www.canarymedia.com/articles/utilities/one-way-data-centers-can-help-the-grid-by-being-flexible/</vt:lpwstr>
      </vt:variant>
      <vt:variant>
        <vt:lpwstr/>
      </vt:variant>
      <vt:variant>
        <vt:i4>6488139</vt:i4>
      </vt:variant>
      <vt:variant>
        <vt:i4>15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_ftnref2</vt:lpwstr>
      </vt:variant>
      <vt:variant>
        <vt:i4>6291531</vt:i4>
      </vt:variant>
      <vt:variant>
        <vt:i4>12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_ftnref1</vt:lpwstr>
      </vt:variant>
      <vt:variant>
        <vt:i4>3407967</vt:i4>
      </vt:variant>
      <vt:variant>
        <vt:i4>9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_ftn4</vt:lpwstr>
      </vt:variant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_ftn3</vt:lpwstr>
      </vt:variant>
      <vt:variant>
        <vt:i4>3407967</vt:i4>
      </vt:variant>
      <vt:variant>
        <vt:i4>3</vt:i4>
      </vt:variant>
      <vt:variant>
        <vt:i4>0</vt:i4>
      </vt:variant>
      <vt:variant>
        <vt:i4>5</vt:i4>
      </vt:variant>
      <vt:variant>
        <vt:lpwstr>https://word-edit.officeapps.live.com/we/wordeditorframe.aspx?ui=en-US&amp;rs=en-US&amp;wopisrc=https%3A%2F%2Fnetorgft12035027.sharepoint.com%2Fsites%2Fimpacteci.com%2F_vti_bin%2Fwopi.ashx%2Ffiles%2F53d650de578e40ae92c81b0e389cc8d2&amp;wdorigin=BrowserReload.Sharing.ServerTransfer&amp;wdexp=TEAMS-TREATMENT&amp;wdhostclicktime=1762381306849&amp;wdenableroaming=1&amp;mscc=1&amp;hid=7929573E-4E33-4C0D-8B24-09636180E4C5.0&amp;uih=sharepointcom&amp;wdlcid=en-US&amp;jsapi=1&amp;jsapiver=v2&amp;corrid=1f673141-d263-a1ca-0495-6ea6a2e53da4&amp;usid=1f673141-d263-a1ca-0495-6ea6a2e53da4&amp;newsession=1&amp;sftc=1&amp;uihit=docaspx&amp;muv=1&amp;ats=PairwiseBroker&amp;cac=1&amp;sams=1&amp;mtf=1&amp;sfp=1&amp;sdp=1&amp;hch=1&amp;hwfh=1&amp;dchat=1&amp;sc=%7B%22pmo%22%3A%22https%3A%2F%2Fnetorgft12035027.sharepoint.com%22%2C%22pmshare%22%3Atrue%7D&amp;ctp=LeastProtected&amp;rct=Normal&amp;afdflight=90&amp;csiro=1&amp;instantedit=1&amp;wopicomplete=1&amp;wdredirectionreason=Unified_SingleFlush</vt:lpwstr>
      </vt:variant>
      <vt:variant>
        <vt:lpwstr>_ftn2</vt:lpwstr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7</cp:revision>
  <cp:lastPrinted>2001-06-20T19:28:00Z</cp:lastPrinted>
  <dcterms:created xsi:type="dcterms:W3CDTF">2025-11-20T13:19:00Z</dcterms:created>
  <dcterms:modified xsi:type="dcterms:W3CDTF">2025-11-20T14:00:00Z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0x0101002501BCB6828B0A4C918B3521AC90F438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2025-11-03T21:21:48Z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d876ffdf-739a-4d7f-bee2-c957c233c7a5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  <property fmtid="{D5CDD505-2E9C-101B-9397-08002B2CF9AE}" pid="11" name="MediaServiceImageTags">
    <vt:lpwstr/>
  </property>
</Properties>
</file>