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900"/>
        <w:gridCol w:w="6660"/>
      </w:tblGrid>
      <w:tr w:rsidR="00067FE2" w14:paraId="3C6642E3" w14:textId="77777777" w:rsidTr="00F44236">
        <w:tc>
          <w:tcPr>
            <w:tcW w:w="1620" w:type="dxa"/>
            <w:tcBorders>
              <w:bottom w:val="single" w:sz="4" w:space="0" w:color="auto"/>
            </w:tcBorders>
            <w:shd w:val="clear" w:color="auto" w:fill="FFFFFF"/>
            <w:vAlign w:val="center"/>
          </w:tcPr>
          <w:p w14:paraId="1DB23675" w14:textId="77777777" w:rsidR="00067FE2" w:rsidRDefault="00067FE2" w:rsidP="008B30C5">
            <w:pPr>
              <w:pStyle w:val="Header"/>
              <w:spacing w:before="120" w:after="120"/>
            </w:pPr>
            <w:r>
              <w:t>NPRR Number</w:t>
            </w:r>
          </w:p>
        </w:tc>
        <w:tc>
          <w:tcPr>
            <w:tcW w:w="1260" w:type="dxa"/>
            <w:tcBorders>
              <w:bottom w:val="single" w:sz="4" w:space="0" w:color="auto"/>
            </w:tcBorders>
            <w:vAlign w:val="center"/>
          </w:tcPr>
          <w:p w14:paraId="58DFDEEC" w14:textId="443FF11C" w:rsidR="00067FE2" w:rsidRDefault="00987B25" w:rsidP="008B30C5">
            <w:pPr>
              <w:pStyle w:val="Header"/>
              <w:spacing w:before="120" w:after="120"/>
              <w:jc w:val="center"/>
            </w:pPr>
            <w:hyperlink r:id="rId8" w:history="1">
              <w:r w:rsidR="000A2A61" w:rsidRPr="00987B25">
                <w:rPr>
                  <w:rStyle w:val="Hyperlink"/>
                </w:rPr>
                <w:t>1307</w:t>
              </w:r>
            </w:hyperlink>
          </w:p>
        </w:tc>
        <w:tc>
          <w:tcPr>
            <w:tcW w:w="900" w:type="dxa"/>
            <w:tcBorders>
              <w:bottom w:val="single" w:sz="4" w:space="0" w:color="auto"/>
            </w:tcBorders>
            <w:shd w:val="clear" w:color="auto" w:fill="FFFFFF"/>
            <w:vAlign w:val="center"/>
          </w:tcPr>
          <w:p w14:paraId="1F77FB52" w14:textId="77777777" w:rsidR="00067FE2" w:rsidRDefault="00067FE2" w:rsidP="008B30C5">
            <w:pPr>
              <w:pStyle w:val="Header"/>
              <w:spacing w:before="120" w:after="120"/>
            </w:pPr>
            <w:r>
              <w:t>NPRR Title</w:t>
            </w:r>
          </w:p>
        </w:tc>
        <w:tc>
          <w:tcPr>
            <w:tcW w:w="6660" w:type="dxa"/>
            <w:tcBorders>
              <w:bottom w:val="single" w:sz="4" w:space="0" w:color="auto"/>
            </w:tcBorders>
            <w:vAlign w:val="center"/>
          </w:tcPr>
          <w:p w14:paraId="58F14EBB" w14:textId="0956A870" w:rsidR="00067FE2" w:rsidRDefault="00A04481" w:rsidP="008B30C5">
            <w:pPr>
              <w:pStyle w:val="Header"/>
              <w:spacing w:before="120" w:after="120"/>
            </w:pPr>
            <w:r>
              <w:t xml:space="preserve">Revised Definition of </w:t>
            </w:r>
            <w:r w:rsidR="00033EAA">
              <w:t xml:space="preserve">Mitigation Plan </w:t>
            </w:r>
          </w:p>
        </w:tc>
      </w:tr>
      <w:tr w:rsidR="00067FE2" w:rsidRPr="00E01925" w14:paraId="398BCBF4" w14:textId="77777777" w:rsidTr="00BC2D06">
        <w:trPr>
          <w:trHeight w:val="518"/>
        </w:trPr>
        <w:tc>
          <w:tcPr>
            <w:tcW w:w="2880" w:type="dxa"/>
            <w:gridSpan w:val="2"/>
            <w:shd w:val="clear" w:color="auto" w:fill="FFFFFF"/>
            <w:vAlign w:val="center"/>
          </w:tcPr>
          <w:p w14:paraId="3A20C7F8" w14:textId="77777777" w:rsidR="00067FE2" w:rsidRPr="00E01925" w:rsidRDefault="00067FE2" w:rsidP="008B30C5">
            <w:pPr>
              <w:pStyle w:val="Header"/>
              <w:spacing w:before="120" w:after="120"/>
              <w:rPr>
                <w:bCs w:val="0"/>
              </w:rPr>
            </w:pPr>
            <w:r w:rsidRPr="00E01925">
              <w:rPr>
                <w:bCs w:val="0"/>
              </w:rPr>
              <w:t>Date Posted</w:t>
            </w:r>
          </w:p>
        </w:tc>
        <w:tc>
          <w:tcPr>
            <w:tcW w:w="7560" w:type="dxa"/>
            <w:gridSpan w:val="2"/>
            <w:vAlign w:val="center"/>
          </w:tcPr>
          <w:p w14:paraId="16A45634" w14:textId="072308AC" w:rsidR="00067FE2" w:rsidRPr="00E01925" w:rsidRDefault="001E0798" w:rsidP="008B30C5">
            <w:pPr>
              <w:pStyle w:val="NormalArial"/>
              <w:spacing w:before="120" w:after="120"/>
            </w:pPr>
            <w:r>
              <w:t xml:space="preserve">November </w:t>
            </w:r>
            <w:r w:rsidR="000A2A61">
              <w:t>13</w:t>
            </w:r>
            <w:r w:rsidR="00A04481">
              <w:t>, 2025</w:t>
            </w:r>
          </w:p>
        </w:tc>
      </w:tr>
      <w:tr w:rsidR="00067FE2" w14:paraId="788C839C" w14:textId="77777777" w:rsidTr="00BC2D06">
        <w:trPr>
          <w:trHeight w:val="323"/>
        </w:trPr>
        <w:tc>
          <w:tcPr>
            <w:tcW w:w="2880" w:type="dxa"/>
            <w:gridSpan w:val="2"/>
            <w:tcBorders>
              <w:top w:val="single" w:sz="4" w:space="0" w:color="auto"/>
              <w:left w:val="nil"/>
              <w:bottom w:val="nil"/>
              <w:right w:val="nil"/>
            </w:tcBorders>
            <w:shd w:val="clear" w:color="auto" w:fill="FFFFFF"/>
            <w:vAlign w:val="center"/>
          </w:tcPr>
          <w:p w14:paraId="431C18EC" w14:textId="77777777" w:rsidR="00067FE2" w:rsidRDefault="00067FE2" w:rsidP="00F44236">
            <w:pPr>
              <w:pStyle w:val="NormalArial"/>
            </w:pPr>
          </w:p>
        </w:tc>
        <w:tc>
          <w:tcPr>
            <w:tcW w:w="7560" w:type="dxa"/>
            <w:gridSpan w:val="2"/>
            <w:tcBorders>
              <w:top w:val="nil"/>
              <w:left w:val="nil"/>
              <w:bottom w:val="nil"/>
              <w:right w:val="nil"/>
            </w:tcBorders>
            <w:vAlign w:val="center"/>
          </w:tcPr>
          <w:p w14:paraId="27F4E1F0" w14:textId="77777777" w:rsidR="00067FE2" w:rsidRDefault="00067FE2" w:rsidP="00F44236">
            <w:pPr>
              <w:pStyle w:val="NormalArial"/>
            </w:pPr>
          </w:p>
        </w:tc>
      </w:tr>
      <w:tr w:rsidR="009D17F0" w14:paraId="1939CD6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41A1E631" w14:textId="77777777" w:rsidR="009D17F0" w:rsidRDefault="009D17F0" w:rsidP="008B30C5">
            <w:pPr>
              <w:pStyle w:val="Header"/>
              <w:spacing w:before="120" w:after="120"/>
            </w:pPr>
            <w:r>
              <w:t xml:space="preserve">Requested Resolution </w:t>
            </w:r>
          </w:p>
        </w:tc>
        <w:tc>
          <w:tcPr>
            <w:tcW w:w="7560" w:type="dxa"/>
            <w:gridSpan w:val="2"/>
            <w:tcBorders>
              <w:top w:val="single" w:sz="4" w:space="0" w:color="auto"/>
            </w:tcBorders>
            <w:vAlign w:val="center"/>
          </w:tcPr>
          <w:p w14:paraId="7B08BCA4" w14:textId="67DD86DD" w:rsidR="009D17F0" w:rsidRPr="00FB509B" w:rsidRDefault="0066370F" w:rsidP="008B30C5">
            <w:pPr>
              <w:pStyle w:val="NormalArial"/>
              <w:spacing w:before="120" w:after="120"/>
            </w:pPr>
            <w:r w:rsidRPr="00FB509B">
              <w:t>Normal</w:t>
            </w:r>
          </w:p>
        </w:tc>
      </w:tr>
      <w:tr w:rsidR="009D17F0" w14:paraId="117EEC9D" w14:textId="77777777" w:rsidTr="00F44236">
        <w:trPr>
          <w:trHeight w:val="773"/>
        </w:trPr>
        <w:tc>
          <w:tcPr>
            <w:tcW w:w="2880" w:type="dxa"/>
            <w:gridSpan w:val="2"/>
            <w:tcBorders>
              <w:top w:val="single" w:sz="4" w:space="0" w:color="auto"/>
              <w:bottom w:val="single" w:sz="4" w:space="0" w:color="auto"/>
            </w:tcBorders>
            <w:shd w:val="clear" w:color="auto" w:fill="FFFFFF"/>
            <w:vAlign w:val="center"/>
          </w:tcPr>
          <w:p w14:paraId="598A8D29" w14:textId="77777777" w:rsidR="009D17F0" w:rsidRDefault="0007682E" w:rsidP="008B30C5">
            <w:pPr>
              <w:pStyle w:val="Header"/>
              <w:spacing w:before="120" w:after="120"/>
            </w:pPr>
            <w:r>
              <w:t>Nodal Protocol Sections</w:t>
            </w:r>
            <w:r w:rsidR="009D17F0">
              <w:t xml:space="preserve"> Requiring Revision </w:t>
            </w:r>
          </w:p>
        </w:tc>
        <w:tc>
          <w:tcPr>
            <w:tcW w:w="7560" w:type="dxa"/>
            <w:gridSpan w:val="2"/>
            <w:tcBorders>
              <w:top w:val="single" w:sz="4" w:space="0" w:color="auto"/>
            </w:tcBorders>
            <w:vAlign w:val="center"/>
          </w:tcPr>
          <w:p w14:paraId="3356516F" w14:textId="4CFA0FFE" w:rsidR="009D17F0" w:rsidRPr="00FB509B" w:rsidRDefault="00DE2F1D" w:rsidP="008B30C5">
            <w:pPr>
              <w:pStyle w:val="NormalArial"/>
              <w:spacing w:before="120" w:after="120"/>
            </w:pPr>
            <w:r>
              <w:t>2</w:t>
            </w:r>
            <w:r w:rsidR="00A04481">
              <w:t xml:space="preserve">.1, </w:t>
            </w:r>
            <w:r>
              <w:t>Definitions</w:t>
            </w:r>
          </w:p>
        </w:tc>
      </w:tr>
      <w:tr w:rsidR="00C9766A" w14:paraId="112502C0" w14:textId="77777777" w:rsidTr="00BC2D06">
        <w:trPr>
          <w:trHeight w:val="518"/>
        </w:trPr>
        <w:tc>
          <w:tcPr>
            <w:tcW w:w="2880" w:type="dxa"/>
            <w:gridSpan w:val="2"/>
            <w:tcBorders>
              <w:bottom w:val="single" w:sz="4" w:space="0" w:color="auto"/>
            </w:tcBorders>
            <w:shd w:val="clear" w:color="auto" w:fill="FFFFFF"/>
            <w:vAlign w:val="center"/>
          </w:tcPr>
          <w:p w14:paraId="4D47FBFB" w14:textId="77777777" w:rsidR="00C9766A" w:rsidRDefault="00625E5D" w:rsidP="008B30C5">
            <w:pPr>
              <w:pStyle w:val="Header"/>
              <w:spacing w:before="120" w:after="120"/>
            </w:pPr>
            <w:r>
              <w:t xml:space="preserve">Related Documents </w:t>
            </w:r>
            <w:r w:rsidR="00C9766A">
              <w:t xml:space="preserve">Requiring </w:t>
            </w:r>
            <w:r>
              <w:t>Revision/</w:t>
            </w:r>
            <w:r w:rsidR="0017783C">
              <w:t>R</w:t>
            </w:r>
            <w:r w:rsidR="003069F4">
              <w:t>elated Revision Request</w:t>
            </w:r>
            <w:r w:rsidR="0007682E">
              <w:t>s</w:t>
            </w:r>
          </w:p>
        </w:tc>
        <w:tc>
          <w:tcPr>
            <w:tcW w:w="7560" w:type="dxa"/>
            <w:gridSpan w:val="2"/>
            <w:tcBorders>
              <w:bottom w:val="single" w:sz="4" w:space="0" w:color="auto"/>
            </w:tcBorders>
            <w:vAlign w:val="center"/>
          </w:tcPr>
          <w:p w14:paraId="5D9AA7D2" w14:textId="7160D197" w:rsidR="00C9766A" w:rsidRPr="00FB509B" w:rsidRDefault="001E0798" w:rsidP="008B30C5">
            <w:pPr>
              <w:pStyle w:val="NormalArial"/>
              <w:spacing w:before="120" w:after="120"/>
            </w:pPr>
            <w:r>
              <w:t xml:space="preserve">Nodal Operating Guide Revision Request (NOGRR) </w:t>
            </w:r>
            <w:r w:rsidR="000A2A61">
              <w:t>281</w:t>
            </w:r>
            <w:r>
              <w:t>, Related to NPRR</w:t>
            </w:r>
            <w:r w:rsidR="000A2A61">
              <w:t>1307</w:t>
            </w:r>
            <w:r>
              <w:t>, Revised Definition of Mitigation Plan</w:t>
            </w:r>
          </w:p>
        </w:tc>
      </w:tr>
      <w:tr w:rsidR="009D17F0" w14:paraId="37367474" w14:textId="77777777" w:rsidTr="00BC2D06">
        <w:trPr>
          <w:trHeight w:val="518"/>
        </w:trPr>
        <w:tc>
          <w:tcPr>
            <w:tcW w:w="2880" w:type="dxa"/>
            <w:gridSpan w:val="2"/>
            <w:tcBorders>
              <w:bottom w:val="single" w:sz="4" w:space="0" w:color="auto"/>
            </w:tcBorders>
            <w:shd w:val="clear" w:color="auto" w:fill="FFFFFF"/>
            <w:vAlign w:val="center"/>
          </w:tcPr>
          <w:p w14:paraId="53E742F6" w14:textId="77777777" w:rsidR="009D17F0" w:rsidRDefault="009D17F0" w:rsidP="008B30C5">
            <w:pPr>
              <w:pStyle w:val="Header"/>
              <w:spacing w:before="120" w:after="120"/>
            </w:pPr>
            <w:r>
              <w:t>Revision Description</w:t>
            </w:r>
          </w:p>
        </w:tc>
        <w:tc>
          <w:tcPr>
            <w:tcW w:w="7560" w:type="dxa"/>
            <w:gridSpan w:val="2"/>
            <w:tcBorders>
              <w:bottom w:val="single" w:sz="4" w:space="0" w:color="auto"/>
            </w:tcBorders>
            <w:vAlign w:val="center"/>
          </w:tcPr>
          <w:p w14:paraId="6A00AE95" w14:textId="25146CAA" w:rsidR="009D17F0" w:rsidRPr="00FB509B" w:rsidRDefault="00DE2F1D" w:rsidP="008B30C5">
            <w:pPr>
              <w:pStyle w:val="NormalArial"/>
              <w:spacing w:before="120" w:after="120"/>
            </w:pPr>
            <w:r>
              <w:t xml:space="preserve">This </w:t>
            </w:r>
            <w:r w:rsidR="00A20BB1">
              <w:t>Nodal Protocol Revision Request (</w:t>
            </w:r>
            <w:r>
              <w:t>NPRR</w:t>
            </w:r>
            <w:r w:rsidR="00A20BB1">
              <w:t>)</w:t>
            </w:r>
            <w:r>
              <w:t xml:space="preserve"> </w:t>
            </w:r>
            <w:r w:rsidR="0019673E">
              <w:t>adds</w:t>
            </w:r>
            <w:r w:rsidR="0041600A">
              <w:t xml:space="preserve"> the use of pre-contingency </w:t>
            </w:r>
            <w:r w:rsidR="00A20BB1">
              <w:t>L</w:t>
            </w:r>
            <w:r w:rsidR="0041600A">
              <w:t xml:space="preserve">oad shed in certain conditions to the Mitigation Plan definition. </w:t>
            </w:r>
          </w:p>
        </w:tc>
      </w:tr>
      <w:tr w:rsidR="009D17F0" w14:paraId="7C0519CA" w14:textId="77777777" w:rsidTr="00625E5D">
        <w:trPr>
          <w:trHeight w:val="518"/>
        </w:trPr>
        <w:tc>
          <w:tcPr>
            <w:tcW w:w="2880" w:type="dxa"/>
            <w:gridSpan w:val="2"/>
            <w:shd w:val="clear" w:color="auto" w:fill="FFFFFF"/>
            <w:vAlign w:val="center"/>
          </w:tcPr>
          <w:p w14:paraId="3F1E5650" w14:textId="77777777" w:rsidR="009D17F0" w:rsidRDefault="009D17F0" w:rsidP="008B30C5">
            <w:pPr>
              <w:pStyle w:val="Header"/>
              <w:spacing w:before="120" w:after="120"/>
            </w:pPr>
            <w:r w:rsidRPr="00872C50">
              <w:t>Reason for Revision</w:t>
            </w:r>
          </w:p>
        </w:tc>
        <w:tc>
          <w:tcPr>
            <w:tcW w:w="7560" w:type="dxa"/>
            <w:gridSpan w:val="2"/>
            <w:vAlign w:val="center"/>
          </w:tcPr>
          <w:p w14:paraId="43F2A15B" w14:textId="3FB4CB61" w:rsidR="00555554" w:rsidRDefault="00017CFD" w:rsidP="00555554">
            <w:pPr>
              <w:pStyle w:val="NormalArial"/>
              <w:tabs>
                <w:tab w:val="left" w:pos="432"/>
              </w:tabs>
              <w:spacing w:before="120"/>
              <w:ind w:left="432" w:hanging="432"/>
              <w:rPr>
                <w:rFonts w:cs="Arial"/>
                <w:color w:val="000000"/>
              </w:rPr>
            </w:pPr>
            <w:r>
              <w:pict w14:anchorId="73F38B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5pt;height:15pt">
                  <v:imagedata r:id="rId9" o:title=""/>
                </v:shape>
              </w:pict>
            </w:r>
            <w:r w:rsidR="00555554" w:rsidRPr="006629C8">
              <w:t xml:space="preserve">  </w:t>
            </w:r>
            <w:hyperlink r:id="rId10" w:history="1">
              <w:r w:rsidR="00555554" w:rsidRPr="00BD53C5">
                <w:rPr>
                  <w:rStyle w:val="Hyperlink"/>
                  <w:rFonts w:cs="Arial"/>
                </w:rPr>
                <w:t>Strategic Plan</w:t>
              </w:r>
            </w:hyperlink>
            <w:r w:rsidR="00555554">
              <w:rPr>
                <w:rFonts w:cs="Arial"/>
                <w:color w:val="000000"/>
              </w:rPr>
              <w:t xml:space="preserve"> Objective 1 – </w:t>
            </w:r>
            <w:r w:rsidR="00555554" w:rsidRPr="00BD53C5">
              <w:rPr>
                <w:rFonts w:cs="Arial"/>
                <w:color w:val="000000"/>
              </w:rPr>
              <w:t>Be an industry leader for grid reliability and resilience</w:t>
            </w:r>
          </w:p>
          <w:p w14:paraId="4E24F7A7" w14:textId="0F28EFD1" w:rsidR="00555554" w:rsidRPr="00BD53C5" w:rsidRDefault="00017CFD" w:rsidP="00555554">
            <w:pPr>
              <w:pStyle w:val="NormalArial"/>
              <w:tabs>
                <w:tab w:val="left" w:pos="432"/>
              </w:tabs>
              <w:spacing w:before="120"/>
              <w:ind w:left="432" w:hanging="432"/>
              <w:rPr>
                <w:rFonts w:cs="Arial"/>
                <w:color w:val="000000"/>
              </w:rPr>
            </w:pPr>
            <w:r>
              <w:pict w14:anchorId="613324DE">
                <v:shape id="_x0000_i1026" type="#_x0000_t75" style="width:15.5pt;height:15pt">
                  <v:imagedata r:id="rId9" o:title=""/>
                </v:shape>
              </w:pict>
            </w:r>
            <w:r w:rsidR="00555554" w:rsidRPr="00CD242D">
              <w:t xml:space="preserve">  </w:t>
            </w:r>
            <w:hyperlink r:id="rId11" w:history="1">
              <w:r w:rsidR="00555554" w:rsidRPr="00BD53C5">
                <w:rPr>
                  <w:rStyle w:val="Hyperlink"/>
                  <w:rFonts w:cs="Arial"/>
                </w:rPr>
                <w:t>Strategic Plan</w:t>
              </w:r>
            </w:hyperlink>
            <w:r w:rsidR="00555554">
              <w:rPr>
                <w:rFonts w:cs="Arial"/>
                <w:color w:val="000000"/>
              </w:rPr>
              <w:t xml:space="preserve"> Objective 2 - </w:t>
            </w:r>
            <w:r w:rsidR="00555554" w:rsidRPr="00BD53C5">
              <w:rPr>
                <w:rFonts w:cs="Arial"/>
                <w:color w:val="000000"/>
              </w:rPr>
              <w:t>Enhance the ERCOT region’s economic competitiveness</w:t>
            </w:r>
            <w:r w:rsidR="00555554">
              <w:rPr>
                <w:rFonts w:cs="Arial"/>
                <w:color w:val="000000"/>
              </w:rPr>
              <w:t xml:space="preserve"> </w:t>
            </w:r>
            <w:r w:rsidR="00555554" w:rsidRPr="00BD53C5">
              <w:rPr>
                <w:rFonts w:cs="Arial"/>
                <w:color w:val="000000"/>
              </w:rPr>
              <w:t>with respect to trends in wholesale power rates and retail</w:t>
            </w:r>
            <w:r w:rsidR="00555554">
              <w:rPr>
                <w:rFonts w:cs="Arial"/>
                <w:color w:val="000000"/>
              </w:rPr>
              <w:t xml:space="preserve"> </w:t>
            </w:r>
            <w:r w:rsidR="00555554" w:rsidRPr="00BD53C5">
              <w:rPr>
                <w:rFonts w:cs="Arial"/>
                <w:color w:val="000000"/>
              </w:rPr>
              <w:t>electricity prices to consumers</w:t>
            </w:r>
          </w:p>
          <w:p w14:paraId="7B3D991B" w14:textId="27B2F368" w:rsidR="00555554" w:rsidRPr="00BD53C5" w:rsidRDefault="00017CFD" w:rsidP="00555554">
            <w:pPr>
              <w:pStyle w:val="NormalArial"/>
              <w:spacing w:before="120"/>
              <w:ind w:left="432" w:hanging="432"/>
              <w:rPr>
                <w:rFonts w:cs="Arial"/>
                <w:color w:val="000000"/>
              </w:rPr>
            </w:pPr>
            <w:r>
              <w:pict w14:anchorId="021A3F14">
                <v:shape id="_x0000_i1027" type="#_x0000_t75" style="width:15.5pt;height:15pt">
                  <v:imagedata r:id="rId9" o:title=""/>
                </v:shape>
              </w:pict>
            </w:r>
            <w:r w:rsidR="00555554" w:rsidRPr="006629C8">
              <w:t xml:space="preserve">  </w:t>
            </w:r>
            <w:hyperlink r:id="rId12" w:history="1">
              <w:r w:rsidR="00555554" w:rsidRPr="00BD53C5">
                <w:rPr>
                  <w:rStyle w:val="Hyperlink"/>
                  <w:rFonts w:cs="Arial"/>
                </w:rPr>
                <w:t>Strategic Plan</w:t>
              </w:r>
            </w:hyperlink>
            <w:r w:rsidR="00555554">
              <w:rPr>
                <w:rFonts w:cs="Arial"/>
                <w:color w:val="000000"/>
              </w:rPr>
              <w:t xml:space="preserve"> Objective 3 - </w:t>
            </w:r>
            <w:r w:rsidR="00555554" w:rsidRPr="00BD53C5">
              <w:rPr>
                <w:rFonts w:cs="Arial"/>
                <w:color w:val="000000"/>
              </w:rPr>
              <w:t>Advance ERCOT, Inc. as an</w:t>
            </w:r>
            <w:r w:rsidR="00555554">
              <w:rPr>
                <w:rFonts w:cs="Arial"/>
                <w:color w:val="000000"/>
              </w:rPr>
              <w:t xml:space="preserve"> </w:t>
            </w:r>
            <w:r w:rsidR="00555554" w:rsidRPr="00BD53C5">
              <w:rPr>
                <w:rFonts w:cs="Arial"/>
                <w:color w:val="000000"/>
              </w:rPr>
              <w:t>independent leading</w:t>
            </w:r>
            <w:r w:rsidR="00555554">
              <w:rPr>
                <w:rFonts w:cs="Arial"/>
                <w:color w:val="000000"/>
              </w:rPr>
              <w:t xml:space="preserve"> </w:t>
            </w:r>
            <w:r w:rsidR="00555554" w:rsidRPr="00BD53C5">
              <w:rPr>
                <w:rFonts w:cs="Arial"/>
                <w:color w:val="000000"/>
              </w:rPr>
              <w:t xml:space="preserve">industry expert and an </w:t>
            </w:r>
            <w:proofErr w:type="gramStart"/>
            <w:r w:rsidR="00555554" w:rsidRPr="00BD53C5">
              <w:rPr>
                <w:rFonts w:cs="Arial"/>
                <w:color w:val="000000"/>
              </w:rPr>
              <w:t>employer</w:t>
            </w:r>
            <w:proofErr w:type="gramEnd"/>
            <w:r w:rsidR="00555554" w:rsidRPr="00BD53C5">
              <w:rPr>
                <w:rFonts w:cs="Arial"/>
                <w:color w:val="000000"/>
              </w:rPr>
              <w:t xml:space="preserve"> of choice by fostering</w:t>
            </w:r>
            <w:r w:rsidR="00555554">
              <w:rPr>
                <w:rFonts w:cs="Arial"/>
                <w:color w:val="000000"/>
              </w:rPr>
              <w:t xml:space="preserve"> </w:t>
            </w:r>
            <w:r w:rsidR="00555554" w:rsidRPr="00BD53C5">
              <w:rPr>
                <w:rFonts w:cs="Arial"/>
                <w:color w:val="000000"/>
              </w:rPr>
              <w:t>innovation, investing in our people, and emphasizing the</w:t>
            </w:r>
            <w:r w:rsidR="00555554">
              <w:rPr>
                <w:rFonts w:cs="Arial"/>
                <w:color w:val="000000"/>
              </w:rPr>
              <w:t xml:space="preserve"> </w:t>
            </w:r>
            <w:r w:rsidR="00555554" w:rsidRPr="00BD53C5">
              <w:rPr>
                <w:rFonts w:cs="Arial"/>
                <w:color w:val="000000"/>
              </w:rPr>
              <w:t>importance of our mission</w:t>
            </w:r>
          </w:p>
          <w:p w14:paraId="0E922105" w14:textId="4953C03E" w:rsidR="00E71C39" w:rsidRDefault="00872C50" w:rsidP="00E71C39">
            <w:pPr>
              <w:pStyle w:val="NormalArial"/>
              <w:spacing w:before="120"/>
              <w:rPr>
                <w:iCs/>
                <w:kern w:val="24"/>
              </w:rPr>
            </w:pPr>
            <w:r>
              <w:rPr>
                <w:noProof/>
              </w:rPr>
              <w:drawing>
                <wp:inline distT="0" distB="0" distL="0" distR="0" wp14:anchorId="2D02D3F4" wp14:editId="608A11C7">
                  <wp:extent cx="198120" cy="189865"/>
                  <wp:effectExtent l="0" t="0" r="0" b="635"/>
                  <wp:docPr id="79060040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8120" cy="189865"/>
                          </a:xfrm>
                          <a:prstGeom prst="rect">
                            <a:avLst/>
                          </a:prstGeom>
                          <a:noFill/>
                          <a:ln>
                            <a:noFill/>
                          </a:ln>
                        </pic:spPr>
                      </pic:pic>
                    </a:graphicData>
                  </a:graphic>
                </wp:inline>
              </w:drawing>
            </w:r>
            <w:r w:rsidRPr="006629C8">
              <w:t xml:space="preserve"> </w:t>
            </w:r>
            <w:r w:rsidR="00E71C39" w:rsidRPr="006629C8">
              <w:t xml:space="preserve"> </w:t>
            </w:r>
            <w:r w:rsidR="00ED3965" w:rsidRPr="00344591">
              <w:rPr>
                <w:iCs/>
                <w:kern w:val="24"/>
              </w:rPr>
              <w:t>General system and/or process improvement(s)</w:t>
            </w:r>
          </w:p>
          <w:p w14:paraId="17096D73" w14:textId="38C0B80A" w:rsidR="00E71C39" w:rsidRDefault="00017CFD" w:rsidP="00E71C39">
            <w:pPr>
              <w:pStyle w:val="NormalArial"/>
              <w:spacing w:before="120"/>
              <w:rPr>
                <w:iCs/>
                <w:kern w:val="24"/>
              </w:rPr>
            </w:pPr>
            <w:r>
              <w:pict w14:anchorId="4C6ED319">
                <v:shape id="_x0000_i1028" type="#_x0000_t75" style="width:15.5pt;height:15pt">
                  <v:imagedata r:id="rId9" o:title=""/>
                </v:shape>
              </w:pict>
            </w:r>
            <w:r w:rsidR="00E71C39" w:rsidRPr="006629C8">
              <w:t xml:space="preserve">  </w:t>
            </w:r>
            <w:r w:rsidR="00E71C39">
              <w:rPr>
                <w:iCs/>
                <w:kern w:val="24"/>
              </w:rPr>
              <w:t>Regulatory requirements</w:t>
            </w:r>
          </w:p>
          <w:p w14:paraId="5FB89AD5" w14:textId="2B1EA28B" w:rsidR="00E71C39" w:rsidRPr="00CD242D" w:rsidRDefault="00017CFD" w:rsidP="00E71C39">
            <w:pPr>
              <w:pStyle w:val="NormalArial"/>
              <w:spacing w:before="120"/>
              <w:rPr>
                <w:rFonts w:cs="Arial"/>
                <w:color w:val="000000"/>
              </w:rPr>
            </w:pPr>
            <w:r>
              <w:pict w14:anchorId="52A53E32">
                <v:shape id="_x0000_i1029" type="#_x0000_t75" style="width:15.5pt;height:15pt">
                  <v:imagedata r:id="rId9" o:title=""/>
                </v:shape>
              </w:pict>
            </w:r>
            <w:r w:rsidR="00E71C39" w:rsidRPr="006629C8">
              <w:t xml:space="preserve">  </w:t>
            </w:r>
            <w:r w:rsidR="00555554">
              <w:rPr>
                <w:rFonts w:cs="Arial"/>
                <w:color w:val="000000"/>
              </w:rPr>
              <w:t>ERCOT Board/PUCT Directive</w:t>
            </w:r>
          </w:p>
          <w:p w14:paraId="2CABC3A3" w14:textId="77777777" w:rsidR="00555554" w:rsidRDefault="00555554" w:rsidP="00E71C39">
            <w:pPr>
              <w:pStyle w:val="NormalArial"/>
              <w:rPr>
                <w:i/>
                <w:sz w:val="20"/>
                <w:szCs w:val="20"/>
              </w:rPr>
            </w:pPr>
          </w:p>
          <w:p w14:paraId="4818D736" w14:textId="34047D8E" w:rsidR="00555554" w:rsidRPr="00176375" w:rsidRDefault="00E71C39" w:rsidP="00176375">
            <w:pPr>
              <w:pStyle w:val="NormalArial"/>
              <w:spacing w:after="120"/>
              <w:rPr>
                <w:i/>
                <w:sz w:val="20"/>
                <w:szCs w:val="20"/>
              </w:rPr>
            </w:pPr>
            <w:r w:rsidRPr="00CD242D">
              <w:rPr>
                <w:i/>
                <w:sz w:val="20"/>
                <w:szCs w:val="20"/>
              </w:rPr>
              <w:t>(</w:t>
            </w:r>
            <w:r w:rsidRPr="00872C50">
              <w:rPr>
                <w:i/>
                <w:sz w:val="20"/>
                <w:szCs w:val="20"/>
              </w:rPr>
              <w:t xml:space="preserve">please select </w:t>
            </w:r>
            <w:r w:rsidR="00555554" w:rsidRPr="00872C50">
              <w:rPr>
                <w:i/>
                <w:sz w:val="20"/>
                <w:szCs w:val="20"/>
              </w:rPr>
              <w:t>ONLY ONE</w:t>
            </w:r>
            <w:r w:rsidR="00555554">
              <w:rPr>
                <w:i/>
                <w:sz w:val="20"/>
                <w:szCs w:val="20"/>
              </w:rPr>
              <w:t xml:space="preserve"> – if more than one </w:t>
            </w:r>
            <w:proofErr w:type="gramStart"/>
            <w:r w:rsidR="00555554">
              <w:rPr>
                <w:i/>
                <w:sz w:val="20"/>
                <w:szCs w:val="20"/>
              </w:rPr>
              <w:t>apply</w:t>
            </w:r>
            <w:proofErr w:type="gramEnd"/>
            <w:r w:rsidR="00555554">
              <w:rPr>
                <w:i/>
                <w:sz w:val="20"/>
                <w:szCs w:val="20"/>
              </w:rPr>
              <w:t>, please select the ONE that is most relevant)</w:t>
            </w:r>
          </w:p>
        </w:tc>
      </w:tr>
      <w:tr w:rsidR="00625E5D" w14:paraId="3F80A5FA" w14:textId="77777777" w:rsidTr="00BC2D06">
        <w:trPr>
          <w:trHeight w:val="518"/>
        </w:trPr>
        <w:tc>
          <w:tcPr>
            <w:tcW w:w="2880" w:type="dxa"/>
            <w:gridSpan w:val="2"/>
            <w:tcBorders>
              <w:bottom w:val="single" w:sz="4" w:space="0" w:color="auto"/>
            </w:tcBorders>
            <w:shd w:val="clear" w:color="auto" w:fill="FFFFFF"/>
            <w:vAlign w:val="center"/>
          </w:tcPr>
          <w:p w14:paraId="6ABB5F27" w14:textId="61EC6BB8" w:rsidR="00625E5D" w:rsidRDefault="00555554" w:rsidP="008B30C5">
            <w:pPr>
              <w:pStyle w:val="Header"/>
              <w:spacing w:before="120" w:after="120"/>
            </w:pPr>
            <w:r>
              <w:t>Justification of Reason for Revision and Market Impacts</w:t>
            </w:r>
          </w:p>
        </w:tc>
        <w:tc>
          <w:tcPr>
            <w:tcW w:w="7560" w:type="dxa"/>
            <w:gridSpan w:val="2"/>
            <w:tcBorders>
              <w:bottom w:val="single" w:sz="4" w:space="0" w:color="auto"/>
            </w:tcBorders>
            <w:vAlign w:val="center"/>
          </w:tcPr>
          <w:p w14:paraId="313E5647" w14:textId="162CAA88" w:rsidR="00625E5D" w:rsidRPr="00625E5D" w:rsidRDefault="009B4FFE" w:rsidP="008B30C5">
            <w:pPr>
              <w:pStyle w:val="NormalArial"/>
              <w:spacing w:before="120" w:after="120"/>
              <w:rPr>
                <w:iCs/>
                <w:kern w:val="24"/>
              </w:rPr>
            </w:pPr>
            <w:r>
              <w:t xml:space="preserve">For scenarios that could result </w:t>
            </w:r>
            <w:r w:rsidR="008365D2">
              <w:t xml:space="preserve">in </w:t>
            </w:r>
            <w:r>
              <w:t xml:space="preserve">instability, uncontrolled separation and cascading </w:t>
            </w:r>
            <w:r w:rsidR="0008194D">
              <w:t>O</w:t>
            </w:r>
            <w:r>
              <w:t>utages</w:t>
            </w:r>
            <w:r w:rsidR="008365D2">
              <w:t>,</w:t>
            </w:r>
            <w:r>
              <w:t xml:space="preserve"> post-contingency </w:t>
            </w:r>
            <w:r w:rsidR="001E0798">
              <w:t>L</w:t>
            </w:r>
            <w:r>
              <w:t xml:space="preserve">oad shed </w:t>
            </w:r>
            <w:r w:rsidR="008365D2">
              <w:t>may</w:t>
            </w:r>
            <w:r>
              <w:t xml:space="preserve"> not</w:t>
            </w:r>
            <w:r w:rsidR="008365D2">
              <w:t xml:space="preserve"> be</w:t>
            </w:r>
            <w:r>
              <w:t xml:space="preserve"> </w:t>
            </w:r>
            <w:r w:rsidR="00387FE2">
              <w:t xml:space="preserve">a </w:t>
            </w:r>
            <w:r>
              <w:t>fast or</w:t>
            </w:r>
            <w:r w:rsidR="0041600A">
              <w:t xml:space="preserve"> </w:t>
            </w:r>
            <w:proofErr w:type="gramStart"/>
            <w:r>
              <w:t>sufficient</w:t>
            </w:r>
            <w:r w:rsidR="008365D2">
              <w:t xml:space="preserve"> </w:t>
            </w:r>
            <w:r w:rsidR="00A264DE">
              <w:t>enough</w:t>
            </w:r>
            <w:proofErr w:type="gramEnd"/>
            <w:r w:rsidR="00A264DE">
              <w:t xml:space="preserve"> </w:t>
            </w:r>
            <w:r w:rsidR="008365D2">
              <w:t>action</w:t>
            </w:r>
            <w:r>
              <w:t xml:space="preserve"> to maintain </w:t>
            </w:r>
            <w:r w:rsidR="008365D2">
              <w:t>reliably.  In these situations,</w:t>
            </w:r>
            <w:r>
              <w:t xml:space="preserve"> pre-contingency </w:t>
            </w:r>
            <w:r w:rsidR="0008194D">
              <w:t>L</w:t>
            </w:r>
            <w:r>
              <w:t>oad</w:t>
            </w:r>
            <w:r w:rsidR="008365D2">
              <w:t xml:space="preserve"> </w:t>
            </w:r>
            <w:r>
              <w:t>shed may be required</w:t>
            </w:r>
            <w:r w:rsidR="008365D2">
              <w:t xml:space="preserve"> to prevent</w:t>
            </w:r>
            <w:r w:rsidR="00A264DE">
              <w:t xml:space="preserve"> </w:t>
            </w:r>
            <w:r w:rsidR="0041600A">
              <w:t>system</w:t>
            </w:r>
            <w:r w:rsidR="001E0798">
              <w:t>-</w:t>
            </w:r>
            <w:r w:rsidR="00A264DE">
              <w:t>wide instability</w:t>
            </w:r>
            <w:r>
              <w:t>.</w:t>
            </w:r>
            <w:r w:rsidR="008365D2">
              <w:t xml:space="preserve">  These edits specifically call out the use of </w:t>
            </w:r>
            <w:r w:rsidR="008365D2">
              <w:lastRenderedPageBreak/>
              <w:t xml:space="preserve">pre-contingency </w:t>
            </w:r>
            <w:r w:rsidR="008B30C5">
              <w:t>L</w:t>
            </w:r>
            <w:r w:rsidR="008365D2">
              <w:t>oad</w:t>
            </w:r>
            <w:r w:rsidR="008B30C5">
              <w:t xml:space="preserve"> </w:t>
            </w:r>
            <w:r w:rsidR="008365D2">
              <w:t xml:space="preserve">shed as part of a Mitigation Plan in certain conditions. This also provides awareness of </w:t>
            </w:r>
            <w:r w:rsidR="0041600A">
              <w:t>how and where</w:t>
            </w:r>
            <w:r w:rsidR="008365D2">
              <w:t xml:space="preserve"> pre-contingency </w:t>
            </w:r>
            <w:r w:rsidR="008B30C5">
              <w:t>L</w:t>
            </w:r>
            <w:r w:rsidR="008365D2">
              <w:t>oad shed plans will be documented.</w:t>
            </w:r>
            <w:r>
              <w:t xml:space="preserve"> </w:t>
            </w:r>
          </w:p>
        </w:tc>
      </w:tr>
    </w:tbl>
    <w:p w14:paraId="456C4CE6" w14:textId="77777777" w:rsidR="00D85807" w:rsidRPr="00D85807" w:rsidRDefault="00D85807">
      <w:pPr>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9A3772" w14:paraId="2BA6EB2B" w14:textId="77777777" w:rsidTr="00D176CF">
        <w:trPr>
          <w:cantSplit/>
          <w:trHeight w:val="432"/>
        </w:trPr>
        <w:tc>
          <w:tcPr>
            <w:tcW w:w="10440" w:type="dxa"/>
            <w:gridSpan w:val="2"/>
            <w:tcBorders>
              <w:top w:val="single" w:sz="4" w:space="0" w:color="auto"/>
            </w:tcBorders>
            <w:shd w:val="clear" w:color="auto" w:fill="FFFFFF"/>
            <w:vAlign w:val="center"/>
          </w:tcPr>
          <w:p w14:paraId="66CEEEAA" w14:textId="7C7D7C76" w:rsidR="00176375" w:rsidRPr="00176375" w:rsidRDefault="009A3772" w:rsidP="00176375">
            <w:pPr>
              <w:pStyle w:val="Header"/>
              <w:jc w:val="center"/>
              <w:rPr>
                <w:bCs w:val="0"/>
              </w:rPr>
            </w:pPr>
            <w:bookmarkStart w:id="0" w:name="_Hlk154568842"/>
            <w:r>
              <w:t>Sponsor</w:t>
            </w:r>
          </w:p>
        </w:tc>
      </w:tr>
      <w:tr w:rsidR="009A3772" w14:paraId="18960E6E" w14:textId="77777777" w:rsidTr="00D176CF">
        <w:trPr>
          <w:cantSplit/>
          <w:trHeight w:val="432"/>
        </w:trPr>
        <w:tc>
          <w:tcPr>
            <w:tcW w:w="2880" w:type="dxa"/>
            <w:shd w:val="clear" w:color="auto" w:fill="FFFFFF"/>
            <w:vAlign w:val="center"/>
          </w:tcPr>
          <w:p w14:paraId="3D988A51" w14:textId="751CBC44" w:rsidR="00176375" w:rsidRPr="00176375" w:rsidRDefault="009A3772" w:rsidP="00176375">
            <w:pPr>
              <w:pStyle w:val="Header"/>
              <w:rPr>
                <w:bCs w:val="0"/>
              </w:rPr>
            </w:pPr>
            <w:r w:rsidRPr="00B93CA0">
              <w:rPr>
                <w:bCs w:val="0"/>
              </w:rPr>
              <w:t>Name</w:t>
            </w:r>
          </w:p>
        </w:tc>
        <w:tc>
          <w:tcPr>
            <w:tcW w:w="7560" w:type="dxa"/>
            <w:vAlign w:val="center"/>
          </w:tcPr>
          <w:p w14:paraId="1FFF1A06" w14:textId="36EB48FD" w:rsidR="009A3772" w:rsidRDefault="002F1B13">
            <w:pPr>
              <w:pStyle w:val="NormalArial"/>
            </w:pPr>
            <w:r>
              <w:t>Freddy Garcia</w:t>
            </w:r>
          </w:p>
        </w:tc>
      </w:tr>
      <w:tr w:rsidR="009A3772" w14:paraId="7FB64D61" w14:textId="77777777" w:rsidTr="00D176CF">
        <w:trPr>
          <w:cantSplit/>
          <w:trHeight w:val="432"/>
        </w:trPr>
        <w:tc>
          <w:tcPr>
            <w:tcW w:w="2880" w:type="dxa"/>
            <w:shd w:val="clear" w:color="auto" w:fill="FFFFFF"/>
            <w:vAlign w:val="center"/>
          </w:tcPr>
          <w:p w14:paraId="4FB458EB" w14:textId="77777777" w:rsidR="009A3772" w:rsidRPr="00B93CA0" w:rsidRDefault="009A3772">
            <w:pPr>
              <w:pStyle w:val="Header"/>
              <w:rPr>
                <w:bCs w:val="0"/>
              </w:rPr>
            </w:pPr>
            <w:r w:rsidRPr="00B93CA0">
              <w:rPr>
                <w:bCs w:val="0"/>
              </w:rPr>
              <w:t>E-mail Address</w:t>
            </w:r>
          </w:p>
        </w:tc>
        <w:tc>
          <w:tcPr>
            <w:tcW w:w="7560" w:type="dxa"/>
            <w:vAlign w:val="center"/>
          </w:tcPr>
          <w:p w14:paraId="54C409BC" w14:textId="46E6FFD3" w:rsidR="009A3772" w:rsidRDefault="002F1B13">
            <w:pPr>
              <w:pStyle w:val="NormalArial"/>
            </w:pPr>
            <w:hyperlink r:id="rId14" w:history="1">
              <w:r w:rsidRPr="00E73E6A">
                <w:rPr>
                  <w:rStyle w:val="Hyperlink"/>
                </w:rPr>
                <w:t>Freddy.garcia@ercot.com</w:t>
              </w:r>
            </w:hyperlink>
          </w:p>
        </w:tc>
      </w:tr>
      <w:tr w:rsidR="009A3772" w14:paraId="343A715E" w14:textId="77777777" w:rsidTr="00D176CF">
        <w:trPr>
          <w:cantSplit/>
          <w:trHeight w:val="432"/>
        </w:trPr>
        <w:tc>
          <w:tcPr>
            <w:tcW w:w="2880" w:type="dxa"/>
            <w:shd w:val="clear" w:color="auto" w:fill="FFFFFF"/>
            <w:vAlign w:val="center"/>
          </w:tcPr>
          <w:p w14:paraId="0FC38B83" w14:textId="77777777" w:rsidR="009A3772" w:rsidRPr="00B93CA0" w:rsidRDefault="009A3772">
            <w:pPr>
              <w:pStyle w:val="Header"/>
              <w:rPr>
                <w:bCs w:val="0"/>
              </w:rPr>
            </w:pPr>
            <w:r w:rsidRPr="00B93CA0">
              <w:rPr>
                <w:bCs w:val="0"/>
              </w:rPr>
              <w:t>Company</w:t>
            </w:r>
          </w:p>
        </w:tc>
        <w:tc>
          <w:tcPr>
            <w:tcW w:w="7560" w:type="dxa"/>
            <w:vAlign w:val="center"/>
          </w:tcPr>
          <w:p w14:paraId="5BCBCB13" w14:textId="4F681119" w:rsidR="009A3772" w:rsidRDefault="002F1B13">
            <w:pPr>
              <w:pStyle w:val="NormalArial"/>
            </w:pPr>
            <w:r>
              <w:t>ERCOT</w:t>
            </w:r>
          </w:p>
        </w:tc>
      </w:tr>
      <w:tr w:rsidR="009A3772" w14:paraId="1B4A534D" w14:textId="77777777" w:rsidTr="00D176CF">
        <w:trPr>
          <w:cantSplit/>
          <w:trHeight w:val="432"/>
        </w:trPr>
        <w:tc>
          <w:tcPr>
            <w:tcW w:w="2880" w:type="dxa"/>
            <w:tcBorders>
              <w:bottom w:val="single" w:sz="4" w:space="0" w:color="auto"/>
            </w:tcBorders>
            <w:shd w:val="clear" w:color="auto" w:fill="FFFFFF"/>
            <w:vAlign w:val="center"/>
          </w:tcPr>
          <w:p w14:paraId="411BF858" w14:textId="77777777" w:rsidR="009A3772" w:rsidRPr="00B93CA0" w:rsidRDefault="009A3772">
            <w:pPr>
              <w:pStyle w:val="Header"/>
              <w:rPr>
                <w:bCs w:val="0"/>
              </w:rPr>
            </w:pPr>
            <w:r w:rsidRPr="00B93CA0">
              <w:rPr>
                <w:bCs w:val="0"/>
              </w:rPr>
              <w:t>Phone Number</w:t>
            </w:r>
          </w:p>
        </w:tc>
        <w:tc>
          <w:tcPr>
            <w:tcW w:w="7560" w:type="dxa"/>
            <w:tcBorders>
              <w:bottom w:val="single" w:sz="4" w:space="0" w:color="auto"/>
            </w:tcBorders>
            <w:vAlign w:val="center"/>
          </w:tcPr>
          <w:p w14:paraId="69130F99" w14:textId="28A6C4E6" w:rsidR="009A3772" w:rsidRDefault="002F1B13">
            <w:pPr>
              <w:pStyle w:val="NormalArial"/>
            </w:pPr>
            <w:r>
              <w:t>512-248-4245</w:t>
            </w:r>
          </w:p>
        </w:tc>
      </w:tr>
      <w:tr w:rsidR="009A3772" w14:paraId="5A40C307" w14:textId="77777777" w:rsidTr="00D176CF">
        <w:trPr>
          <w:cantSplit/>
          <w:trHeight w:val="432"/>
        </w:trPr>
        <w:tc>
          <w:tcPr>
            <w:tcW w:w="2880" w:type="dxa"/>
            <w:shd w:val="clear" w:color="auto" w:fill="FFFFFF"/>
            <w:vAlign w:val="center"/>
          </w:tcPr>
          <w:p w14:paraId="0D6A67F9" w14:textId="77777777" w:rsidR="009A3772" w:rsidRPr="00B93CA0" w:rsidRDefault="009A3772">
            <w:pPr>
              <w:pStyle w:val="Header"/>
              <w:rPr>
                <w:bCs w:val="0"/>
              </w:rPr>
            </w:pPr>
            <w:r>
              <w:rPr>
                <w:bCs w:val="0"/>
              </w:rPr>
              <w:t>Cell</w:t>
            </w:r>
            <w:r w:rsidRPr="00B93CA0">
              <w:rPr>
                <w:bCs w:val="0"/>
              </w:rPr>
              <w:t xml:space="preserve"> Number</w:t>
            </w:r>
          </w:p>
        </w:tc>
        <w:tc>
          <w:tcPr>
            <w:tcW w:w="7560" w:type="dxa"/>
            <w:vAlign w:val="center"/>
          </w:tcPr>
          <w:p w14:paraId="46237B5F" w14:textId="77777777" w:rsidR="009A3772" w:rsidRDefault="009A3772">
            <w:pPr>
              <w:pStyle w:val="NormalArial"/>
            </w:pPr>
          </w:p>
        </w:tc>
      </w:tr>
      <w:tr w:rsidR="009A3772" w14:paraId="2E8FB013" w14:textId="77777777" w:rsidTr="00D176CF">
        <w:trPr>
          <w:cantSplit/>
          <w:trHeight w:val="432"/>
        </w:trPr>
        <w:tc>
          <w:tcPr>
            <w:tcW w:w="2880" w:type="dxa"/>
            <w:tcBorders>
              <w:bottom w:val="single" w:sz="4" w:space="0" w:color="auto"/>
            </w:tcBorders>
            <w:shd w:val="clear" w:color="auto" w:fill="FFFFFF"/>
            <w:vAlign w:val="center"/>
          </w:tcPr>
          <w:p w14:paraId="0186C361" w14:textId="77777777" w:rsidR="009A3772" w:rsidRPr="00B93CA0" w:rsidRDefault="009A3772">
            <w:pPr>
              <w:pStyle w:val="Header"/>
              <w:rPr>
                <w:bCs w:val="0"/>
              </w:rPr>
            </w:pPr>
            <w:r>
              <w:rPr>
                <w:bCs w:val="0"/>
              </w:rPr>
              <w:t>Market Segment</w:t>
            </w:r>
          </w:p>
        </w:tc>
        <w:tc>
          <w:tcPr>
            <w:tcW w:w="7560" w:type="dxa"/>
            <w:tcBorders>
              <w:bottom w:val="single" w:sz="4" w:space="0" w:color="auto"/>
            </w:tcBorders>
            <w:vAlign w:val="center"/>
          </w:tcPr>
          <w:p w14:paraId="2A021FEE" w14:textId="4ECDD9AB" w:rsidR="009A3772" w:rsidRDefault="00A04481">
            <w:pPr>
              <w:pStyle w:val="NormalArial"/>
            </w:pPr>
            <w:r>
              <w:t>Not applicable</w:t>
            </w:r>
          </w:p>
        </w:tc>
      </w:tr>
      <w:bookmarkEnd w:id="0"/>
    </w:tbl>
    <w:p w14:paraId="59629A3C" w14:textId="77777777" w:rsidR="009A3772" w:rsidRPr="00D56D61" w:rsidRDefault="009A3772">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7560"/>
      </w:tblGrid>
      <w:tr w:rsidR="009A3772" w:rsidRPr="00D56D61" w14:paraId="13F6A781" w14:textId="77777777" w:rsidTr="00D176CF">
        <w:trPr>
          <w:cantSplit/>
          <w:trHeight w:val="432"/>
        </w:trPr>
        <w:tc>
          <w:tcPr>
            <w:tcW w:w="10440" w:type="dxa"/>
            <w:gridSpan w:val="2"/>
            <w:vAlign w:val="center"/>
          </w:tcPr>
          <w:p w14:paraId="36C3E360" w14:textId="77777777" w:rsidR="009A3772" w:rsidRPr="007C199B" w:rsidRDefault="009A3772" w:rsidP="007C199B">
            <w:pPr>
              <w:pStyle w:val="NormalArial"/>
              <w:jc w:val="center"/>
              <w:rPr>
                <w:b/>
              </w:rPr>
            </w:pPr>
            <w:r w:rsidRPr="007C199B">
              <w:rPr>
                <w:b/>
              </w:rPr>
              <w:t xml:space="preserve">Market </w:t>
            </w:r>
            <w:proofErr w:type="gramStart"/>
            <w:r w:rsidRPr="007C199B">
              <w:rPr>
                <w:b/>
              </w:rPr>
              <w:t>Rules</w:t>
            </w:r>
            <w:proofErr w:type="gramEnd"/>
            <w:r w:rsidRPr="007C199B">
              <w:rPr>
                <w:b/>
              </w:rPr>
              <w:t xml:space="preserve"> Staff Contact</w:t>
            </w:r>
          </w:p>
        </w:tc>
      </w:tr>
      <w:tr w:rsidR="009A3772" w:rsidRPr="00D56D61" w14:paraId="10A3A547" w14:textId="77777777" w:rsidTr="00D176CF">
        <w:trPr>
          <w:cantSplit/>
          <w:trHeight w:val="432"/>
        </w:trPr>
        <w:tc>
          <w:tcPr>
            <w:tcW w:w="2880" w:type="dxa"/>
            <w:vAlign w:val="center"/>
          </w:tcPr>
          <w:p w14:paraId="7884BA3B" w14:textId="77777777" w:rsidR="009A3772" w:rsidRPr="007C199B" w:rsidRDefault="009A3772">
            <w:pPr>
              <w:pStyle w:val="NormalArial"/>
              <w:rPr>
                <w:b/>
              </w:rPr>
            </w:pPr>
            <w:r w:rsidRPr="007C199B">
              <w:rPr>
                <w:b/>
              </w:rPr>
              <w:t>Name</w:t>
            </w:r>
          </w:p>
        </w:tc>
        <w:tc>
          <w:tcPr>
            <w:tcW w:w="7560" w:type="dxa"/>
            <w:vAlign w:val="center"/>
          </w:tcPr>
          <w:p w14:paraId="16E95662" w14:textId="1E30D648" w:rsidR="009A3772" w:rsidRPr="00D56D61" w:rsidRDefault="004A3961">
            <w:pPr>
              <w:pStyle w:val="NormalArial"/>
            </w:pPr>
            <w:r>
              <w:t>Elizabeth Morales</w:t>
            </w:r>
          </w:p>
        </w:tc>
      </w:tr>
      <w:tr w:rsidR="009A3772" w:rsidRPr="00D56D61" w14:paraId="6B648C6B" w14:textId="77777777" w:rsidTr="00D176CF">
        <w:trPr>
          <w:cantSplit/>
          <w:trHeight w:val="432"/>
        </w:trPr>
        <w:tc>
          <w:tcPr>
            <w:tcW w:w="2880" w:type="dxa"/>
            <w:vAlign w:val="center"/>
          </w:tcPr>
          <w:p w14:paraId="710846B1" w14:textId="77777777" w:rsidR="009A3772" w:rsidRPr="007C199B" w:rsidRDefault="009A3772">
            <w:pPr>
              <w:pStyle w:val="NormalArial"/>
              <w:rPr>
                <w:b/>
              </w:rPr>
            </w:pPr>
            <w:r w:rsidRPr="007C199B">
              <w:rPr>
                <w:b/>
              </w:rPr>
              <w:t>E-Mail Address</w:t>
            </w:r>
          </w:p>
        </w:tc>
        <w:tc>
          <w:tcPr>
            <w:tcW w:w="7560" w:type="dxa"/>
            <w:vAlign w:val="center"/>
          </w:tcPr>
          <w:p w14:paraId="658CF374" w14:textId="68BB8680" w:rsidR="009A3772" w:rsidRPr="00D56D61" w:rsidRDefault="004A3961">
            <w:pPr>
              <w:pStyle w:val="NormalArial"/>
            </w:pPr>
            <w:hyperlink r:id="rId15" w:history="1">
              <w:r w:rsidRPr="00052D14">
                <w:rPr>
                  <w:rStyle w:val="Hyperlink"/>
                </w:rPr>
                <w:t>Elizabeth.morales@ercot.com</w:t>
              </w:r>
            </w:hyperlink>
          </w:p>
        </w:tc>
      </w:tr>
      <w:tr w:rsidR="009A3772" w:rsidRPr="005370B5" w14:paraId="4DE85C0D" w14:textId="77777777" w:rsidTr="00D176CF">
        <w:trPr>
          <w:cantSplit/>
          <w:trHeight w:val="432"/>
        </w:trPr>
        <w:tc>
          <w:tcPr>
            <w:tcW w:w="2880" w:type="dxa"/>
            <w:vAlign w:val="center"/>
          </w:tcPr>
          <w:p w14:paraId="0B6BD890" w14:textId="77777777" w:rsidR="009A3772" w:rsidRPr="007C199B" w:rsidRDefault="009A3772">
            <w:pPr>
              <w:pStyle w:val="NormalArial"/>
              <w:rPr>
                <w:b/>
              </w:rPr>
            </w:pPr>
            <w:r w:rsidRPr="007C199B">
              <w:rPr>
                <w:b/>
              </w:rPr>
              <w:t>Phone Number</w:t>
            </w:r>
          </w:p>
        </w:tc>
        <w:tc>
          <w:tcPr>
            <w:tcW w:w="7560" w:type="dxa"/>
            <w:vAlign w:val="center"/>
          </w:tcPr>
          <w:p w14:paraId="435FD12C" w14:textId="4FB27DAF" w:rsidR="009A3772" w:rsidRDefault="004A3961">
            <w:pPr>
              <w:pStyle w:val="NormalArial"/>
            </w:pPr>
            <w:r>
              <w:t>210-420-1722</w:t>
            </w:r>
          </w:p>
        </w:tc>
      </w:tr>
    </w:tbl>
    <w:p w14:paraId="66203B1B" w14:textId="77777777" w:rsidR="009A3772" w:rsidRPr="00D56D61" w:rsidRDefault="009A3772">
      <w:pPr>
        <w:tabs>
          <w:tab w:val="num" w:pos="0"/>
        </w:tabs>
        <w:rPr>
          <w:rFonts w:ascii="Arial" w:hAnsi="Arial" w:cs="Arial"/>
        </w:rPr>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9A3772" w14:paraId="77AD5637" w14:textId="77777777">
        <w:trPr>
          <w:trHeight w:val="350"/>
        </w:trPr>
        <w:tc>
          <w:tcPr>
            <w:tcW w:w="10440" w:type="dxa"/>
            <w:tcBorders>
              <w:bottom w:val="single" w:sz="4" w:space="0" w:color="auto"/>
            </w:tcBorders>
            <w:shd w:val="clear" w:color="auto" w:fill="FFFFFF"/>
            <w:vAlign w:val="center"/>
          </w:tcPr>
          <w:p w14:paraId="7D887995" w14:textId="77777777" w:rsidR="009A3772" w:rsidRDefault="009A3772">
            <w:pPr>
              <w:pStyle w:val="Header"/>
              <w:jc w:val="center"/>
            </w:pPr>
            <w:r>
              <w:t>Proposed Protocol Language Revision</w:t>
            </w:r>
          </w:p>
        </w:tc>
      </w:tr>
    </w:tbl>
    <w:p w14:paraId="4FD17D62" w14:textId="77777777" w:rsidR="0066370F" w:rsidRPr="001313B4" w:rsidRDefault="0066370F" w:rsidP="00BC2D06">
      <w:pPr>
        <w:rPr>
          <w:rFonts w:ascii="Arial" w:hAnsi="Arial" w:cs="Arial"/>
          <w:b/>
          <w:i/>
          <w:color w:val="FF0000"/>
          <w:sz w:val="22"/>
          <w:szCs w:val="22"/>
        </w:rPr>
      </w:pPr>
    </w:p>
    <w:p w14:paraId="4B869E41" w14:textId="77777777" w:rsidR="00A04481" w:rsidRDefault="00A04481" w:rsidP="00A04481">
      <w:pPr>
        <w:pStyle w:val="Heading2"/>
        <w:numPr>
          <w:ilvl w:val="0"/>
          <w:numId w:val="0"/>
        </w:numPr>
      </w:pPr>
      <w:bookmarkStart w:id="1" w:name="_Toc73847662"/>
      <w:bookmarkStart w:id="2" w:name="_Toc118224377"/>
      <w:bookmarkStart w:id="3" w:name="_Toc118909445"/>
      <w:bookmarkStart w:id="4" w:name="_Toc205190238"/>
      <w:r>
        <w:t>2.1</w:t>
      </w:r>
      <w:r>
        <w:tab/>
        <w:t>DEFINITIONS</w:t>
      </w:r>
      <w:bookmarkEnd w:id="1"/>
      <w:bookmarkEnd w:id="2"/>
      <w:bookmarkEnd w:id="3"/>
      <w:bookmarkEnd w:id="4"/>
    </w:p>
    <w:p w14:paraId="471FF9AD" w14:textId="77777777" w:rsidR="00033EAA" w:rsidRPr="00E131AD" w:rsidRDefault="00033EAA" w:rsidP="00033EAA">
      <w:pPr>
        <w:pStyle w:val="H2"/>
        <w:rPr>
          <w:b w:val="0"/>
          <w:szCs w:val="24"/>
        </w:rPr>
      </w:pPr>
      <w:r w:rsidRPr="00E131AD">
        <w:rPr>
          <w:szCs w:val="24"/>
        </w:rPr>
        <w:t>Constraint Management Plan (CMP)</w:t>
      </w:r>
    </w:p>
    <w:p w14:paraId="30BA4A26" w14:textId="77777777" w:rsidR="00033EAA" w:rsidRDefault="00033EAA" w:rsidP="00A04481">
      <w:pPr>
        <w:spacing w:after="240"/>
      </w:pPr>
      <w:r>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CMPs may be developed in cases where studies indicate economic dispatch alone may be unable to resolve a transmission security violation or in response to Real-Time conditions where </w:t>
      </w:r>
      <w:r>
        <w:t>Security-Constrained Economic Dispatch</w:t>
      </w:r>
      <w:r>
        <w:rPr>
          <w:iCs/>
        </w:rPr>
        <w:t xml:space="preserve"> (SCED) is unable to resolve a transmission security violation.  ERCOT will employ CMPs to facilitate the market use of the ERCOT Transmission Grid, while maintaining system security and reliability in accordance with the Protocols, Operating Guides and North American Electric Reliability Corporation (NERC) Reliability Standards.  CMPs are intended to supplement, not to replace, the use of SCED for prevention or resolution of one or more thermal or non-thermal transmission security violations.  CMPs include, but are not limited to the following: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33EAA" w:rsidRPr="004B32CF" w14:paraId="23AAF758" w14:textId="77777777" w:rsidTr="00B91F83">
        <w:trPr>
          <w:trHeight w:val="386"/>
        </w:trPr>
        <w:tc>
          <w:tcPr>
            <w:tcW w:w="9350" w:type="dxa"/>
            <w:shd w:val="pct12" w:color="auto" w:fill="auto"/>
          </w:tcPr>
          <w:p w14:paraId="75BB67A6" w14:textId="77777777" w:rsidR="00033EAA" w:rsidRPr="004B32CF" w:rsidRDefault="00033EAA" w:rsidP="00B91F83">
            <w:pPr>
              <w:spacing w:before="120" w:after="240"/>
              <w:rPr>
                <w:b/>
                <w:i/>
                <w:iCs/>
              </w:rPr>
            </w:pPr>
            <w:r>
              <w:rPr>
                <w:b/>
                <w:i/>
                <w:iCs/>
              </w:rPr>
              <w:lastRenderedPageBreak/>
              <w:t>[NPRR1198</w:t>
            </w:r>
            <w:r w:rsidRPr="004B32CF">
              <w:rPr>
                <w:b/>
                <w:i/>
                <w:iCs/>
              </w:rPr>
              <w:t>:  Replace the above definition “</w:t>
            </w:r>
            <w:r w:rsidRPr="00FD011B">
              <w:rPr>
                <w:b/>
                <w:i/>
                <w:iCs/>
              </w:rPr>
              <w:t>Constraint Management Plan (CMP)</w:t>
            </w:r>
            <w:r>
              <w:rPr>
                <w:b/>
                <w:i/>
                <w:iCs/>
              </w:rPr>
              <w:t xml:space="preserve">” </w:t>
            </w:r>
            <w:r w:rsidRPr="004B32CF">
              <w:rPr>
                <w:b/>
                <w:i/>
                <w:iCs/>
              </w:rPr>
              <w:t>with the following upon system implementation:]</w:t>
            </w:r>
          </w:p>
          <w:p w14:paraId="31842EF6" w14:textId="77777777" w:rsidR="00033EAA" w:rsidRPr="00A844BA" w:rsidRDefault="00033EAA" w:rsidP="00B91F83">
            <w:pPr>
              <w:keepNext/>
              <w:tabs>
                <w:tab w:val="left" w:pos="900"/>
              </w:tabs>
              <w:spacing w:after="240"/>
              <w:ind w:left="900" w:hanging="900"/>
              <w:outlineLvl w:val="1"/>
              <w:rPr>
                <w:b/>
              </w:rPr>
            </w:pPr>
            <w:r w:rsidRPr="00A844BA">
              <w:rPr>
                <w:b/>
              </w:rPr>
              <w:t>Constraint Management Plan (CMP)</w:t>
            </w:r>
          </w:p>
          <w:p w14:paraId="370A5D53" w14:textId="77777777" w:rsidR="00033EAA" w:rsidRPr="0044555C" w:rsidRDefault="00033EAA" w:rsidP="00B91F83">
            <w:pPr>
              <w:spacing w:after="240"/>
              <w:rPr>
                <w:iCs/>
              </w:rPr>
            </w:pPr>
            <w:r w:rsidRPr="00A844BA">
              <w:rPr>
                <w:iCs/>
              </w:rPr>
              <w:t xml:space="preserve">A set of pre-defined manual transmission system actions, or automatic transmission system actions that do not constitute a Remedial Action Scheme (RAS), which are executed in response to system conditions to prevent or to resolve one or more thermal or non-thermal transmission security violations or to optimize the transmission system.  ERCOT will employ CMPs to maintain system security and reliability in accordance with the Protocols, </w:t>
            </w:r>
            <w:r>
              <w:rPr>
                <w:iCs/>
              </w:rPr>
              <w:t xml:space="preserve">Nodal </w:t>
            </w:r>
            <w:r w:rsidRPr="00A844BA">
              <w:rPr>
                <w:iCs/>
              </w:rPr>
              <w:t>Operating Guides and North American Electric Reliability Corporation (NERC) Reliability Standards.</w:t>
            </w:r>
            <w:r>
              <w:rPr>
                <w:iCs/>
              </w:rPr>
              <w:t xml:space="preserve">  </w:t>
            </w:r>
            <w:r w:rsidRPr="00C641F5">
              <w:rPr>
                <w:iCs/>
              </w:rPr>
              <w:t>CMPs include, but are not limited to the following:</w:t>
            </w:r>
          </w:p>
        </w:tc>
      </w:tr>
    </w:tbl>
    <w:p w14:paraId="70DFBBAA" w14:textId="77777777" w:rsidR="00033EAA" w:rsidRDefault="00033EAA" w:rsidP="00033EAA">
      <w:pPr>
        <w:pStyle w:val="H3"/>
        <w:spacing w:before="480" w:after="120"/>
        <w:ind w:left="360" w:firstLine="0"/>
      </w:pPr>
      <w:r>
        <w:t>Automatic Mitigation Plan (AMP)</w:t>
      </w:r>
      <w:r>
        <w:rPr>
          <w:rStyle w:val="CommentReference"/>
          <w:b w:val="0"/>
          <w:bCs w:val="0"/>
          <w:i w:val="0"/>
        </w:rPr>
        <w:t xml:space="preserve"> </w:t>
      </w:r>
    </w:p>
    <w:p w14:paraId="522F5AA6" w14:textId="77777777" w:rsidR="00033EAA" w:rsidRDefault="00033EAA" w:rsidP="00033EAA">
      <w:pPr>
        <w:pStyle w:val="BodyText"/>
        <w:ind w:left="360"/>
        <w:rPr>
          <w:iCs/>
        </w:rPr>
      </w:pPr>
      <w:r>
        <w:t xml:space="preserve">A set of pre-defined automatic actions to execute post-contingency to address voltage issues or reduce overloading on one or more given, monitored Transmission Facilities to below their Emergency Rating, excluding any set of automatic actions that constitute a Remedial Action Scheme (RAS).  </w:t>
      </w:r>
      <w:proofErr w:type="gramStart"/>
      <w:r>
        <w:t>AMPs shall</w:t>
      </w:r>
      <w:proofErr w:type="gramEnd"/>
      <w:r>
        <w:t xml:space="preserve"> only include schemes which switch series reactors by </w:t>
      </w:r>
      <w:r>
        <w:rPr>
          <w:sz w:val="23"/>
          <w:szCs w:val="23"/>
        </w:rPr>
        <w:t>monitoring quantities that are solely located at the same substation as the switched device</w:t>
      </w:r>
      <w:r>
        <w:t xml:space="preserve">.  AMPs </w:t>
      </w:r>
      <w:proofErr w:type="gramStart"/>
      <w:r>
        <w:t>shall</w:t>
      </w:r>
      <w:proofErr w:type="gramEnd"/>
      <w:r>
        <w:t xml:space="preserve"> not include adjusting or tripping generation or Load shedding and shall not be implemented on Interconnection Reliability Operating Limits (IROLs).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CellMar>
          <w:top w:w="144" w:type="dxa"/>
          <w:left w:w="115" w:type="dxa"/>
          <w:right w:w="115" w:type="dxa"/>
        </w:tblCellMar>
        <w:tblLook w:val="01E0" w:firstRow="1" w:lastRow="1" w:firstColumn="1" w:lastColumn="1" w:noHBand="0" w:noVBand="0"/>
      </w:tblPr>
      <w:tblGrid>
        <w:gridCol w:w="9350"/>
      </w:tblGrid>
      <w:tr w:rsidR="00033EAA" w:rsidRPr="004B32CF" w14:paraId="040909CD" w14:textId="77777777" w:rsidTr="00B91F83">
        <w:trPr>
          <w:trHeight w:val="386"/>
        </w:trPr>
        <w:tc>
          <w:tcPr>
            <w:tcW w:w="9350" w:type="dxa"/>
            <w:shd w:val="pct12" w:color="auto" w:fill="auto"/>
          </w:tcPr>
          <w:p w14:paraId="7DB56FBD" w14:textId="77777777" w:rsidR="00033EAA" w:rsidRPr="004B32CF" w:rsidRDefault="00033EAA" w:rsidP="00B91F83">
            <w:pPr>
              <w:spacing w:before="120" w:after="240"/>
              <w:rPr>
                <w:b/>
                <w:i/>
                <w:iCs/>
              </w:rPr>
            </w:pPr>
            <w:r>
              <w:rPr>
                <w:b/>
                <w:i/>
                <w:iCs/>
              </w:rPr>
              <w:t>[NPRR1198</w:t>
            </w:r>
            <w:r w:rsidRPr="004B32CF">
              <w:rPr>
                <w:b/>
                <w:i/>
                <w:iCs/>
              </w:rPr>
              <w:t xml:space="preserve">:  </w:t>
            </w:r>
            <w:r>
              <w:rPr>
                <w:b/>
                <w:i/>
                <w:iCs/>
              </w:rPr>
              <w:t>Insert the</w:t>
            </w:r>
            <w:r w:rsidRPr="004B32CF">
              <w:rPr>
                <w:b/>
                <w:i/>
                <w:iCs/>
              </w:rPr>
              <w:t xml:space="preserve"> definition “</w:t>
            </w:r>
            <w:r w:rsidRPr="00577EDA">
              <w:rPr>
                <w:b/>
                <w:bCs/>
                <w:i/>
                <w:iCs/>
              </w:rPr>
              <w:t xml:space="preserve">Extended Action </w:t>
            </w:r>
            <w:r w:rsidRPr="004327A6">
              <w:rPr>
                <w:b/>
                <w:bCs/>
                <w:i/>
                <w:iCs/>
              </w:rPr>
              <w:t>Plan (EAP</w:t>
            </w:r>
            <w:r w:rsidRPr="00FD011B">
              <w:rPr>
                <w:b/>
                <w:i/>
                <w:iCs/>
              </w:rPr>
              <w:t>)</w:t>
            </w:r>
            <w:r>
              <w:rPr>
                <w:b/>
                <w:i/>
                <w:iCs/>
              </w:rPr>
              <w:t>” below</w:t>
            </w:r>
            <w:r w:rsidRPr="004B32CF">
              <w:rPr>
                <w:b/>
                <w:i/>
                <w:iCs/>
              </w:rPr>
              <w:t xml:space="preserve"> upon system implementation:]</w:t>
            </w:r>
          </w:p>
          <w:p w14:paraId="348C92E8" w14:textId="77777777" w:rsidR="00033EAA" w:rsidRPr="004327A6" w:rsidRDefault="00033EAA" w:rsidP="00B91F83">
            <w:pPr>
              <w:spacing w:after="240"/>
              <w:ind w:left="360"/>
              <w:rPr>
                <w:b/>
                <w:bCs/>
                <w:i/>
                <w:iCs/>
              </w:rPr>
            </w:pPr>
            <w:r w:rsidRPr="00577EDA">
              <w:rPr>
                <w:b/>
                <w:bCs/>
                <w:i/>
                <w:iCs/>
              </w:rPr>
              <w:t xml:space="preserve">Extended Action </w:t>
            </w:r>
            <w:r w:rsidRPr="004327A6">
              <w:rPr>
                <w:b/>
                <w:bCs/>
                <w:i/>
                <w:iCs/>
              </w:rPr>
              <w:t>Plan (EAP)</w:t>
            </w:r>
          </w:p>
          <w:p w14:paraId="0FECA1D4" w14:textId="77777777" w:rsidR="00033EAA" w:rsidRPr="00FD011B" w:rsidRDefault="00033EAA" w:rsidP="00B91F83">
            <w:pPr>
              <w:spacing w:after="240"/>
              <w:ind w:left="360"/>
            </w:pPr>
            <w:r w:rsidRPr="004327A6">
              <w:t xml:space="preserve">A set of pre-defined manual actions to execute pre-contingency and to remain in place for a pre-defined </w:t>
            </w:r>
            <w:proofErr w:type="gramStart"/>
            <w:r w:rsidRPr="004327A6">
              <w:t>period of time</w:t>
            </w:r>
            <w:proofErr w:type="gramEnd"/>
            <w:r w:rsidRPr="004327A6">
              <w:t xml:space="preserve"> to address voltage issues or reduce overloading on one or more given monitored Transmission Facilities to below their Emergency Rating with restoration of normal operating conditions within two hours.  </w:t>
            </w:r>
            <w:r>
              <w:rPr>
                <w:rFonts w:eastAsia="Calibri"/>
                <w:color w:val="000000"/>
              </w:rPr>
              <w:t xml:space="preserve">EAPs may be proposed by any Market Participant or developed by ERCOT and can be utilized for reliability or economic reasons.  EAPs proposed for reliability reasons may have thermal constraints that do not have a Security-Constrained Economic Dispatch (SCED) solution.  EAPs proposed for economic reasons may have thermal constraints that are resolvable by SCED but result in high congestion costs </w:t>
            </w:r>
            <w:r w:rsidRPr="004327A6">
              <w:t xml:space="preserve">and meet the criteria outlined in Nodal Operating Guide Section 11, Constraint Management Plans and Remedial Action Schemes.  An EAP may include transmission switching and does not include Load shedding.  EAPs shall be managed via the </w:t>
            </w:r>
            <w:r>
              <w:t>Network Operations Model Change Request (</w:t>
            </w:r>
            <w:r w:rsidRPr="004327A6">
              <w:t>NOMCR</w:t>
            </w:r>
            <w:r>
              <w:t>)</w:t>
            </w:r>
            <w:r w:rsidRPr="004327A6">
              <w:t xml:space="preserve"> and Outage </w:t>
            </w:r>
            <w:r>
              <w:t>s</w:t>
            </w:r>
            <w:r w:rsidRPr="004327A6">
              <w:t>cheduling processes as described in Nodal Operating Guide Section 11.8.1</w:t>
            </w:r>
            <w:r>
              <w:t>, Extended Action Plan (EAP) Process</w:t>
            </w:r>
            <w:r w:rsidRPr="004327A6">
              <w:t>.</w:t>
            </w:r>
          </w:p>
        </w:tc>
      </w:tr>
    </w:tbl>
    <w:p w14:paraId="229EBA25" w14:textId="77777777" w:rsidR="00A04481" w:rsidRDefault="00A04481" w:rsidP="00A04481">
      <w:pPr>
        <w:pStyle w:val="H3"/>
        <w:spacing w:before="480" w:after="120"/>
        <w:ind w:left="360" w:firstLine="0"/>
        <w:rPr>
          <w:b w:val="0"/>
          <w:szCs w:val="24"/>
        </w:rPr>
      </w:pPr>
      <w:r>
        <w:rPr>
          <w:szCs w:val="24"/>
        </w:rPr>
        <w:lastRenderedPageBreak/>
        <w:t>Mitigation Plan</w:t>
      </w:r>
    </w:p>
    <w:p w14:paraId="3E57E500" w14:textId="2417DE00" w:rsidR="00A04481" w:rsidRDefault="00A04481" w:rsidP="00A04481">
      <w:pPr>
        <w:pStyle w:val="BodyText"/>
        <w:ind w:left="360"/>
        <w:rPr>
          <w:iCs/>
        </w:rPr>
      </w:pPr>
      <w:r>
        <w:t xml:space="preserve">A set of pre-defined manual actions to execute </w:t>
      </w:r>
      <w:ins w:id="5" w:author="ERCOT" w:date="2025-10-02T23:18:00Z" w16du:dateUtc="2025-10-03T04:18:00Z">
        <w:r>
          <w:t xml:space="preserve">pre-contingency or </w:t>
        </w:r>
      </w:ins>
      <w:r>
        <w:t>post-contingency</w:t>
      </w:r>
      <w:ins w:id="6" w:author="ERCOT" w:date="2025-10-02T23:18:00Z" w16du:dateUtc="2025-10-03T04:18:00Z">
        <w:r>
          <w:t>.  Post-contingency actions are executed</w:t>
        </w:r>
      </w:ins>
      <w:r>
        <w:t xml:space="preserve"> to address voltage issues or reduce overloading on one or more given, monitored Transmission Facilities to below their Emergency Rating with restoration of normal operating conditions within two hours</w:t>
      </w:r>
      <w:ins w:id="7" w:author="ERCOT" w:date="2025-10-02T23:19:00Z" w16du:dateUtc="2025-10-03T04:19:00Z">
        <w:r>
          <w:t xml:space="preserve"> and may include transmission switching and Load shedding</w:t>
        </w:r>
      </w:ins>
      <w:r>
        <w:t>.</w:t>
      </w:r>
      <w:ins w:id="8" w:author="ERCOT" w:date="2025-10-02T23:19:00Z" w16du:dateUtc="2025-10-03T04:19:00Z">
        <w:r>
          <w:t xml:space="preserve">  Pre-contingency action</w:t>
        </w:r>
      </w:ins>
      <w:ins w:id="9" w:author="ERCOT" w:date="2025-10-02T23:21:00Z" w16du:dateUtc="2025-10-03T04:21:00Z">
        <w:r>
          <w:t>s</w:t>
        </w:r>
      </w:ins>
      <w:ins w:id="10" w:author="ERCOT" w:date="2025-10-02T23:19:00Z" w16du:dateUtc="2025-10-03T04:19:00Z">
        <w:r>
          <w:t xml:space="preserve"> are executed to address</w:t>
        </w:r>
      </w:ins>
      <w:ins w:id="11" w:author="ERCOT" w:date="2025-10-17T07:43:00Z" w16du:dateUtc="2025-10-17T12:43:00Z">
        <w:r w:rsidR="000B260B">
          <w:t xml:space="preserve"> </w:t>
        </w:r>
        <w:r w:rsidR="001D43EA">
          <w:t xml:space="preserve">ERCOT System cascading, </w:t>
        </w:r>
      </w:ins>
      <w:ins w:id="12" w:author="ERCOT" w:date="2025-10-02T23:19:00Z" w16du:dateUtc="2025-10-03T04:19:00Z">
        <w:r>
          <w:t>uncontrolled separatio</w:t>
        </w:r>
      </w:ins>
      <w:ins w:id="13" w:author="ERCOT" w:date="2025-10-17T07:44:00Z" w16du:dateUtc="2025-10-17T12:44:00Z">
        <w:r w:rsidR="002E4C6B">
          <w:t>n</w:t>
        </w:r>
      </w:ins>
      <w:ins w:id="14" w:author="ERCOT" w:date="2025-10-02T23:20:00Z" w16du:dateUtc="2025-10-03T04:20:00Z">
        <w:r>
          <w:t>,</w:t>
        </w:r>
      </w:ins>
      <w:ins w:id="15" w:author="ERCOT" w:date="2025-10-17T07:44:00Z" w16du:dateUtc="2025-10-17T12:44:00Z">
        <w:r w:rsidR="002E4C6B">
          <w:t xml:space="preserve"> angular instability, voltage instability, voltage collapse,</w:t>
        </w:r>
      </w:ins>
      <w:r w:rsidR="00AB435F">
        <w:t xml:space="preserve"> </w:t>
      </w:r>
      <w:ins w:id="16" w:author="ERCOT" w:date="2025-10-02T23:20:00Z" w16du:dateUtc="2025-10-03T04:20:00Z">
        <w:r>
          <w:t>or any other reliability risk that cannot be mitigated post-contingency and may include Load shedding.</w:t>
        </w:r>
      </w:ins>
      <w:r>
        <w:t xml:space="preserve">  </w:t>
      </w:r>
      <w:del w:id="17" w:author="ERCOT" w:date="2025-10-02T23:21:00Z" w16du:dateUtc="2025-10-03T04:21:00Z">
        <w:r w:rsidDel="00A04481">
          <w:delText xml:space="preserve">A Mitigation Plan must be implementable and may include transmission switching and Load shedding.  </w:delText>
        </w:r>
      </w:del>
      <w:r>
        <w:t>Mitigation Plans shall not be used to manage constraints in Security-Constrained Economic Dispatch (SCED).</w:t>
      </w:r>
    </w:p>
    <w:p w14:paraId="26C75E03" w14:textId="77777777" w:rsidR="00033EAA" w:rsidRDefault="00033EAA" w:rsidP="00033EAA">
      <w:pPr>
        <w:pStyle w:val="H3"/>
        <w:spacing w:after="120"/>
        <w:ind w:left="360" w:firstLine="0"/>
        <w:rPr>
          <w:b w:val="0"/>
          <w:szCs w:val="24"/>
        </w:rPr>
      </w:pPr>
      <w:r>
        <w:rPr>
          <w:szCs w:val="24"/>
        </w:rPr>
        <w:t>Pre-Contingency Action Plan (PCAP)</w:t>
      </w:r>
    </w:p>
    <w:p w14:paraId="496E69A3" w14:textId="77777777" w:rsidR="00033EAA" w:rsidRDefault="00033EAA" w:rsidP="00033EAA">
      <w:pPr>
        <w:pStyle w:val="BodyText"/>
        <w:ind w:left="360"/>
        <w:rPr>
          <w:iCs/>
        </w:rPr>
      </w:pPr>
      <w:r>
        <w:t xml:space="preserve">A set of pre-defined manual actions to execute pre-contingency to address voltage issues or reduce overloading on one or more given, monitored Transmission Facilities to below their Emergency Rating with restoration of normal operating conditions within two hours.  A PCAP may include transmission switching and does not include Load shedding.  A PCAP may also be implemented for the duration of an Outage and shall be included in the Outage Scheduler as soon as practicable.  </w:t>
      </w:r>
    </w:p>
    <w:p w14:paraId="2BD7762C" w14:textId="77777777" w:rsidR="00033EAA" w:rsidRDefault="00033EAA" w:rsidP="00033EAA">
      <w:pPr>
        <w:pStyle w:val="H3"/>
        <w:spacing w:after="120"/>
        <w:ind w:left="360" w:firstLine="0"/>
        <w:rPr>
          <w:szCs w:val="24"/>
        </w:rPr>
      </w:pPr>
      <w:r>
        <w:rPr>
          <w:szCs w:val="24"/>
        </w:rPr>
        <w:t>Remedial Action Plan (RAP)</w:t>
      </w:r>
    </w:p>
    <w:p w14:paraId="03DD354E" w14:textId="77777777" w:rsidR="00033EAA" w:rsidRDefault="00033EAA" w:rsidP="00033EAA">
      <w:pPr>
        <w:pStyle w:val="BodyText"/>
        <w:ind w:left="360"/>
        <w:rPr>
          <w:iCs/>
        </w:rPr>
      </w:pPr>
      <w:r>
        <w:t xml:space="preserve">A set of pre-defined manual actions to execute post-contingency to address voltage issues or </w:t>
      </w:r>
      <w:proofErr w:type="gramStart"/>
      <w:r>
        <w:t>in order to</w:t>
      </w:r>
      <w:proofErr w:type="gramEnd"/>
      <w:r>
        <w:t xml:space="preserve"> reduce loading on one or more given, monitored Transmission Facilities to below their Emergency Rating within 15 minutes.  RAPs are sufficiently dependable to assume they can be executed without loss of reliability to the interconnected network, with restoration of normal operating conditions and below Normal Rating within two hours as defined in the Network Operations Model.  RAPs may be relied upon in allowing additional use of the transmission system in Security-Constrained Economic Dispatch (SCED).  RAPs </w:t>
      </w:r>
      <w:proofErr w:type="gramStart"/>
      <w:r>
        <w:t>shall</w:t>
      </w:r>
      <w:proofErr w:type="gramEnd"/>
      <w:r>
        <w:t xml:space="preserve"> not include generation re-Dispatch or Load shedding.</w:t>
      </w:r>
    </w:p>
    <w:p w14:paraId="5852911B" w14:textId="77777777" w:rsidR="00033EAA" w:rsidRDefault="00033EAA" w:rsidP="00033EAA">
      <w:pPr>
        <w:pStyle w:val="H3"/>
        <w:spacing w:after="120"/>
        <w:ind w:left="360" w:firstLine="0"/>
        <w:rPr>
          <w:b w:val="0"/>
          <w:szCs w:val="24"/>
        </w:rPr>
      </w:pPr>
      <w:r>
        <w:rPr>
          <w:szCs w:val="24"/>
        </w:rPr>
        <w:t>Temporary Outage Action Plan (TOAP)</w:t>
      </w:r>
    </w:p>
    <w:p w14:paraId="7295933F" w14:textId="77777777" w:rsidR="00033EAA" w:rsidRDefault="00033EAA" w:rsidP="00033EAA">
      <w:pPr>
        <w:pStyle w:val="BodyText"/>
        <w:ind w:left="360"/>
      </w:pPr>
      <w:r>
        <w:t xml:space="preserve">A temporary set of pre-defined manual actions to execute post-contingency, during a specified Transmission Facility or Resource Outage, </w:t>
      </w:r>
      <w:proofErr w:type="gramStart"/>
      <w:r>
        <w:t>in order to</w:t>
      </w:r>
      <w:proofErr w:type="gramEnd"/>
      <w:r>
        <w:t xml:space="preserve"> address voltage issues or reduce overloading on one or more given, monitored Transmission Facilities to below their Emergency Rating with restoration of normal operating conditions within two hours.  A TOAP must be implementable and may include transmission switching and/or Load shedding.  TOAPs shall not be used to manage constraints in Security-Constrained Economic Dispatch (SCED).</w:t>
      </w:r>
    </w:p>
    <w:p w14:paraId="035099FA" w14:textId="77777777" w:rsidR="009A3772" w:rsidRPr="00BA2009" w:rsidRDefault="009A3772" w:rsidP="00BC2D06"/>
    <w:sectPr w:rsidR="009A3772" w:rsidRPr="00BA2009">
      <w:headerReference w:type="default" r:id="rId16"/>
      <w:footerReference w:type="even" r:id="rId17"/>
      <w:footerReference w:type="default" r:id="rId18"/>
      <w:footerReference w:type="first" r:id="rId19"/>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2A19D" w14:textId="77777777" w:rsidR="00607773" w:rsidRDefault="00607773">
      <w:r>
        <w:separator/>
      </w:r>
    </w:p>
  </w:endnote>
  <w:endnote w:type="continuationSeparator" w:id="0">
    <w:p w14:paraId="43DAB453" w14:textId="77777777" w:rsidR="00607773" w:rsidRDefault="0060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40C68"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1CD2" w14:textId="28BE92E4" w:rsidR="00D176CF" w:rsidRDefault="000A2A61">
    <w:pPr>
      <w:pStyle w:val="Footer"/>
      <w:tabs>
        <w:tab w:val="clear" w:pos="4320"/>
        <w:tab w:val="clear" w:pos="8640"/>
        <w:tab w:val="right" w:pos="9360"/>
      </w:tabs>
      <w:rPr>
        <w:rFonts w:ascii="Arial" w:hAnsi="Arial" w:cs="Arial"/>
        <w:sz w:val="18"/>
      </w:rPr>
    </w:pPr>
    <w:r>
      <w:rPr>
        <w:rFonts w:ascii="Arial" w:hAnsi="Arial" w:cs="Arial"/>
        <w:sz w:val="18"/>
      </w:rPr>
      <w:t>1307</w:t>
    </w:r>
    <w:r w:rsidR="00A04481">
      <w:rPr>
        <w:rFonts w:ascii="Arial" w:hAnsi="Arial" w:cs="Arial"/>
        <w:sz w:val="18"/>
      </w:rPr>
      <w:t>NPRR-01 Revised Definition of Mitigation Plan 1</w:t>
    </w:r>
    <w:r w:rsidR="001E0798">
      <w:rPr>
        <w:rFonts w:ascii="Arial" w:hAnsi="Arial" w:cs="Arial"/>
        <w:sz w:val="18"/>
      </w:rPr>
      <w:t>1</w:t>
    </w:r>
    <w:r>
      <w:rPr>
        <w:rFonts w:ascii="Arial" w:hAnsi="Arial" w:cs="Arial"/>
        <w:sz w:val="18"/>
      </w:rPr>
      <w:t>13</w:t>
    </w:r>
    <w:r w:rsidR="00A04481">
      <w:rPr>
        <w:rFonts w:ascii="Arial" w:hAnsi="Arial" w:cs="Arial"/>
        <w:sz w:val="18"/>
      </w:rPr>
      <w:t>25</w:t>
    </w:r>
    <w:r w:rsidR="00D176CF">
      <w:rPr>
        <w:rFonts w:ascii="Arial" w:hAnsi="Arial" w:cs="Arial"/>
        <w:sz w:val="18"/>
      </w:rPr>
      <w:tab/>
      <w:t>Pa</w:t>
    </w:r>
    <w:r w:rsidR="00D176CF" w:rsidRPr="00412DCA">
      <w:rPr>
        <w:rFonts w:ascii="Arial" w:hAnsi="Arial" w:cs="Arial"/>
        <w:sz w:val="18"/>
      </w:rPr>
      <w:t xml:space="preserve">ge </w:t>
    </w:r>
    <w:r w:rsidR="00D176CF" w:rsidRPr="00412DCA">
      <w:rPr>
        <w:rFonts w:ascii="Arial" w:hAnsi="Arial" w:cs="Arial"/>
        <w:sz w:val="18"/>
      </w:rPr>
      <w:fldChar w:fldCharType="begin"/>
    </w:r>
    <w:r w:rsidR="00D176CF" w:rsidRPr="00412DCA">
      <w:rPr>
        <w:rFonts w:ascii="Arial" w:hAnsi="Arial" w:cs="Arial"/>
        <w:sz w:val="18"/>
      </w:rPr>
      <w:instrText xml:space="preserve"> PAGE </w:instrText>
    </w:r>
    <w:r w:rsidR="00D176CF" w:rsidRPr="00412DCA">
      <w:rPr>
        <w:rFonts w:ascii="Arial" w:hAnsi="Arial" w:cs="Arial"/>
        <w:sz w:val="18"/>
      </w:rPr>
      <w:fldChar w:fldCharType="separate"/>
    </w:r>
    <w:r w:rsidR="006E4597">
      <w:rPr>
        <w:rFonts w:ascii="Arial" w:hAnsi="Arial" w:cs="Arial"/>
        <w:noProof/>
        <w:sz w:val="18"/>
      </w:rPr>
      <w:t>1</w:t>
    </w:r>
    <w:r w:rsidR="00D176CF" w:rsidRPr="00412DCA">
      <w:rPr>
        <w:rFonts w:ascii="Arial" w:hAnsi="Arial" w:cs="Arial"/>
        <w:sz w:val="18"/>
      </w:rPr>
      <w:fldChar w:fldCharType="end"/>
    </w:r>
    <w:r w:rsidR="00D176CF" w:rsidRPr="00412DCA">
      <w:rPr>
        <w:rFonts w:ascii="Arial" w:hAnsi="Arial" w:cs="Arial"/>
        <w:sz w:val="18"/>
      </w:rPr>
      <w:t xml:space="preserve"> of </w:t>
    </w:r>
    <w:r w:rsidR="00D176CF" w:rsidRPr="00412DCA">
      <w:rPr>
        <w:rFonts w:ascii="Arial" w:hAnsi="Arial" w:cs="Arial"/>
        <w:sz w:val="18"/>
      </w:rPr>
      <w:fldChar w:fldCharType="begin"/>
    </w:r>
    <w:r w:rsidR="00D176CF" w:rsidRPr="00412DCA">
      <w:rPr>
        <w:rFonts w:ascii="Arial" w:hAnsi="Arial" w:cs="Arial"/>
        <w:sz w:val="18"/>
      </w:rPr>
      <w:instrText xml:space="preserve"> NUMPAGES </w:instrText>
    </w:r>
    <w:r w:rsidR="00D176CF" w:rsidRPr="00412DCA">
      <w:rPr>
        <w:rFonts w:ascii="Arial" w:hAnsi="Arial" w:cs="Arial"/>
        <w:sz w:val="18"/>
      </w:rPr>
      <w:fldChar w:fldCharType="separate"/>
    </w:r>
    <w:r w:rsidR="006E4597">
      <w:rPr>
        <w:rFonts w:ascii="Arial" w:hAnsi="Arial" w:cs="Arial"/>
        <w:noProof/>
        <w:sz w:val="18"/>
      </w:rPr>
      <w:t>2</w:t>
    </w:r>
    <w:r w:rsidR="00D176CF" w:rsidRPr="00412DCA">
      <w:rPr>
        <w:rFonts w:ascii="Arial" w:hAnsi="Arial" w:cs="Arial"/>
        <w:sz w:val="18"/>
      </w:rPr>
      <w:fldChar w:fldCharType="end"/>
    </w:r>
  </w:p>
  <w:p w14:paraId="24F97763" w14:textId="77777777" w:rsidR="00D176CF" w:rsidRPr="00412DCA" w:rsidRDefault="00D176CF">
    <w:pPr>
      <w:pStyle w:val="Footer"/>
      <w:tabs>
        <w:tab w:val="clear" w:pos="4320"/>
        <w:tab w:val="clear" w:pos="8640"/>
        <w:tab w:val="right" w:pos="9360"/>
      </w:tabs>
      <w:rPr>
        <w:rFonts w:ascii="Arial" w:hAnsi="Arial" w:cs="Arial"/>
        <w:sz w:val="18"/>
      </w:rPr>
    </w:pPr>
    <w:r>
      <w:rPr>
        <w:rFonts w:ascii="Arial" w:hAnsi="Arial" w:cs="Arial"/>
        <w:sz w:val="18"/>
      </w:rPr>
      <w:t>PUBLIC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4B7A1" w14:textId="77777777" w:rsidR="00D176CF" w:rsidRPr="00412DCA" w:rsidRDefault="00D176CF">
    <w:pPr>
      <w:pStyle w:val="Footer"/>
      <w:pBdr>
        <w:top w:val="single" w:sz="4" w:space="1" w:color="auto"/>
      </w:pBdr>
      <w:tabs>
        <w:tab w:val="clear" w:pos="4320"/>
        <w:tab w:val="clear" w:pos="8640"/>
        <w:tab w:val="right" w:pos="9360"/>
      </w:tabs>
      <w:rPr>
        <w:rFonts w:ascii="Arial" w:hAnsi="Arial" w:cs="Arial"/>
        <w:sz w:val="18"/>
      </w:rPr>
    </w:pPr>
    <w:r w:rsidRPr="00412DCA">
      <w:rPr>
        <w:rFonts w:ascii="Arial" w:hAnsi="Arial" w:cs="Arial"/>
        <w:sz w:val="18"/>
      </w:rPr>
      <w:fldChar w:fldCharType="begin" w:fldLock="1"/>
    </w:r>
    <w:r w:rsidRPr="00412DCA">
      <w:rPr>
        <w:rFonts w:ascii="Arial" w:hAnsi="Arial" w:cs="Arial"/>
        <w:sz w:val="18"/>
      </w:rPr>
      <w:instrText xml:space="preserve"> FILENAME </w:instrText>
    </w:r>
    <w:r w:rsidRPr="00412DCA">
      <w:rPr>
        <w:rFonts w:ascii="Arial" w:hAnsi="Arial" w:cs="Arial"/>
        <w:sz w:val="18"/>
      </w:rPr>
      <w:fldChar w:fldCharType="separate"/>
    </w:r>
    <w:r w:rsidRPr="00412DCA">
      <w:rPr>
        <w:rFonts w:ascii="Arial" w:hAnsi="Arial" w:cs="Arial"/>
        <w:noProof/>
        <w:sz w:val="18"/>
      </w:rPr>
      <w:t>PRR_Template.doc</w:t>
    </w:r>
    <w:r w:rsidRPr="00412DCA">
      <w:rPr>
        <w:rFonts w:ascii="Arial" w:hAnsi="Arial" w:cs="Arial"/>
        <w:sz w:val="18"/>
      </w:rPr>
      <w:fldChar w:fldCharType="end"/>
    </w:r>
    <w:r w:rsidRPr="00412DCA">
      <w:rPr>
        <w:rFonts w:ascii="Arial" w:hAnsi="Arial" w:cs="Arial"/>
        <w:sz w:val="18"/>
      </w:rPr>
      <w:tab/>
      <w:t xml:space="preserve">Page </w:t>
    </w:r>
    <w:r w:rsidRPr="00412DCA">
      <w:rPr>
        <w:rFonts w:ascii="Arial" w:hAnsi="Arial" w:cs="Arial"/>
        <w:sz w:val="18"/>
      </w:rPr>
      <w:fldChar w:fldCharType="begin"/>
    </w:r>
    <w:r w:rsidRPr="00412DCA">
      <w:rPr>
        <w:rFonts w:ascii="Arial" w:hAnsi="Arial" w:cs="Arial"/>
        <w:sz w:val="18"/>
      </w:rPr>
      <w:instrText xml:space="preserve"> PAGE </w:instrText>
    </w:r>
    <w:r w:rsidRPr="00412DCA">
      <w:rPr>
        <w:rFonts w:ascii="Arial" w:hAnsi="Arial" w:cs="Arial"/>
        <w:sz w:val="18"/>
      </w:rPr>
      <w:fldChar w:fldCharType="separate"/>
    </w:r>
    <w:r w:rsidRPr="00412DCA">
      <w:rPr>
        <w:rFonts w:ascii="Arial" w:hAnsi="Arial" w:cs="Arial"/>
        <w:noProof/>
        <w:sz w:val="18"/>
      </w:rPr>
      <w:t>2</w:t>
    </w:r>
    <w:r w:rsidRPr="00412DCA">
      <w:rPr>
        <w:rFonts w:ascii="Arial" w:hAnsi="Arial" w:cs="Arial"/>
        <w:sz w:val="18"/>
      </w:rPr>
      <w:fldChar w:fldCharType="end"/>
    </w:r>
    <w:r w:rsidRPr="00412DCA">
      <w:rPr>
        <w:rFonts w:ascii="Arial" w:hAnsi="Arial" w:cs="Arial"/>
        <w:sz w:val="18"/>
      </w:rPr>
      <w:t xml:space="preserve"> of </w:t>
    </w:r>
    <w:r w:rsidRPr="00412DCA">
      <w:rPr>
        <w:rFonts w:ascii="Arial" w:hAnsi="Arial" w:cs="Arial"/>
        <w:sz w:val="18"/>
      </w:rPr>
      <w:fldChar w:fldCharType="begin"/>
    </w:r>
    <w:r w:rsidRPr="00412DCA">
      <w:rPr>
        <w:rFonts w:ascii="Arial" w:hAnsi="Arial" w:cs="Arial"/>
        <w:sz w:val="18"/>
      </w:rPr>
      <w:instrText xml:space="preserve"> NUMPAGES </w:instrText>
    </w:r>
    <w:r w:rsidRPr="00412DCA">
      <w:rPr>
        <w:rFonts w:ascii="Arial" w:hAnsi="Arial" w:cs="Arial"/>
        <w:sz w:val="18"/>
      </w:rPr>
      <w:fldChar w:fldCharType="separate"/>
    </w:r>
    <w:r w:rsidR="00386C35">
      <w:rPr>
        <w:rFonts w:ascii="Arial" w:hAnsi="Arial" w:cs="Arial"/>
        <w:noProof/>
        <w:sz w:val="18"/>
      </w:rPr>
      <w:t>2</w:t>
    </w:r>
    <w:r w:rsidRPr="00412DCA">
      <w:rPr>
        <w:rFonts w:ascii="Arial" w:hAnsi="Arial" w:cs="Arial"/>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5317A" w14:textId="77777777" w:rsidR="00607773" w:rsidRDefault="00607773">
      <w:r>
        <w:separator/>
      </w:r>
    </w:p>
  </w:footnote>
  <w:footnote w:type="continuationSeparator" w:id="0">
    <w:p w14:paraId="617B525C" w14:textId="77777777" w:rsidR="00607773" w:rsidRDefault="00607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AD309" w14:textId="77777777" w:rsidR="00D176CF" w:rsidRDefault="00D176CF" w:rsidP="006E4597">
    <w:pPr>
      <w:pStyle w:val="Header"/>
      <w:jc w:val="center"/>
      <w:rPr>
        <w:sz w:val="32"/>
      </w:rPr>
    </w:pPr>
    <w:r>
      <w:rPr>
        <w:sz w:val="32"/>
      </w:rPr>
      <w:t>Nodal Protocol Revision Request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2"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510064"/>
    <w:multiLevelType w:val="multilevel"/>
    <w:tmpl w:val="78CEE07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16cid:durableId="1086339920">
    <w:abstractNumId w:val="0"/>
  </w:num>
  <w:num w:numId="2" w16cid:durableId="1839425283">
    <w:abstractNumId w:val="10"/>
  </w:num>
  <w:num w:numId="3" w16cid:durableId="971709594">
    <w:abstractNumId w:val="11"/>
  </w:num>
  <w:num w:numId="4" w16cid:durableId="1736123474">
    <w:abstractNumId w:val="1"/>
  </w:num>
  <w:num w:numId="5" w16cid:durableId="1475442967">
    <w:abstractNumId w:val="6"/>
  </w:num>
  <w:num w:numId="6" w16cid:durableId="1071393571">
    <w:abstractNumId w:val="6"/>
  </w:num>
  <w:num w:numId="7" w16cid:durableId="1413744175">
    <w:abstractNumId w:val="6"/>
  </w:num>
  <w:num w:numId="8" w16cid:durableId="1147820290">
    <w:abstractNumId w:val="6"/>
  </w:num>
  <w:num w:numId="9" w16cid:durableId="729764067">
    <w:abstractNumId w:val="6"/>
  </w:num>
  <w:num w:numId="10" w16cid:durableId="651908752">
    <w:abstractNumId w:val="6"/>
  </w:num>
  <w:num w:numId="11" w16cid:durableId="2021545621">
    <w:abstractNumId w:val="6"/>
  </w:num>
  <w:num w:numId="12" w16cid:durableId="2033334835">
    <w:abstractNumId w:val="6"/>
  </w:num>
  <w:num w:numId="13" w16cid:durableId="1354840513">
    <w:abstractNumId w:val="6"/>
  </w:num>
  <w:num w:numId="14" w16cid:durableId="2082215892">
    <w:abstractNumId w:val="3"/>
  </w:num>
  <w:num w:numId="15" w16cid:durableId="1265773267">
    <w:abstractNumId w:val="5"/>
  </w:num>
  <w:num w:numId="16" w16cid:durableId="304939696">
    <w:abstractNumId w:val="8"/>
  </w:num>
  <w:num w:numId="17" w16cid:durableId="1837302691">
    <w:abstractNumId w:val="9"/>
  </w:num>
  <w:num w:numId="18" w16cid:durableId="2140175323">
    <w:abstractNumId w:val="4"/>
  </w:num>
  <w:num w:numId="19" w16cid:durableId="731661008">
    <w:abstractNumId w:val="7"/>
  </w:num>
  <w:num w:numId="20" w16cid:durableId="15129170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C6C"/>
    <w:rsid w:val="00006711"/>
    <w:rsid w:val="00033EAA"/>
    <w:rsid w:val="00060A5A"/>
    <w:rsid w:val="00064B44"/>
    <w:rsid w:val="00067FE2"/>
    <w:rsid w:val="0007682E"/>
    <w:rsid w:val="0008194D"/>
    <w:rsid w:val="000A2A61"/>
    <w:rsid w:val="000B260B"/>
    <w:rsid w:val="000D1AEB"/>
    <w:rsid w:val="000D3E64"/>
    <w:rsid w:val="000E4468"/>
    <w:rsid w:val="000F13C5"/>
    <w:rsid w:val="00105A36"/>
    <w:rsid w:val="001309C2"/>
    <w:rsid w:val="001313B4"/>
    <w:rsid w:val="00141EE1"/>
    <w:rsid w:val="0014546D"/>
    <w:rsid w:val="001500D9"/>
    <w:rsid w:val="00156DB7"/>
    <w:rsid w:val="00157228"/>
    <w:rsid w:val="00160C3C"/>
    <w:rsid w:val="00176375"/>
    <w:rsid w:val="0017783C"/>
    <w:rsid w:val="0019314C"/>
    <w:rsid w:val="0019673E"/>
    <w:rsid w:val="001D43EA"/>
    <w:rsid w:val="001E0798"/>
    <w:rsid w:val="001F38F0"/>
    <w:rsid w:val="00235322"/>
    <w:rsid w:val="00237430"/>
    <w:rsid w:val="002400B7"/>
    <w:rsid w:val="0026307D"/>
    <w:rsid w:val="00276A99"/>
    <w:rsid w:val="00286AD9"/>
    <w:rsid w:val="002966F3"/>
    <w:rsid w:val="002A4CE4"/>
    <w:rsid w:val="002B69F3"/>
    <w:rsid w:val="002B763A"/>
    <w:rsid w:val="002C7823"/>
    <w:rsid w:val="002D382A"/>
    <w:rsid w:val="002D4B0C"/>
    <w:rsid w:val="002E4C6B"/>
    <w:rsid w:val="002F1B13"/>
    <w:rsid w:val="002F1EDD"/>
    <w:rsid w:val="002F28B9"/>
    <w:rsid w:val="003013F2"/>
    <w:rsid w:val="0030232A"/>
    <w:rsid w:val="0030694A"/>
    <w:rsid w:val="003069F4"/>
    <w:rsid w:val="00360920"/>
    <w:rsid w:val="00384709"/>
    <w:rsid w:val="00386C35"/>
    <w:rsid w:val="00387FE2"/>
    <w:rsid w:val="00391583"/>
    <w:rsid w:val="00397B92"/>
    <w:rsid w:val="003A3D77"/>
    <w:rsid w:val="003B5AED"/>
    <w:rsid w:val="003C6B7B"/>
    <w:rsid w:val="004135BD"/>
    <w:rsid w:val="0041600A"/>
    <w:rsid w:val="004302A4"/>
    <w:rsid w:val="004463BA"/>
    <w:rsid w:val="004822D4"/>
    <w:rsid w:val="0049290B"/>
    <w:rsid w:val="004A3961"/>
    <w:rsid w:val="004A4451"/>
    <w:rsid w:val="004D3958"/>
    <w:rsid w:val="005008DF"/>
    <w:rsid w:val="005041EF"/>
    <w:rsid w:val="005045D0"/>
    <w:rsid w:val="00524EE1"/>
    <w:rsid w:val="00530B9F"/>
    <w:rsid w:val="00534C6C"/>
    <w:rsid w:val="00555554"/>
    <w:rsid w:val="005841C0"/>
    <w:rsid w:val="0059260F"/>
    <w:rsid w:val="005E5074"/>
    <w:rsid w:val="006019CC"/>
    <w:rsid w:val="00603D76"/>
    <w:rsid w:val="00607773"/>
    <w:rsid w:val="00612E4F"/>
    <w:rsid w:val="00613501"/>
    <w:rsid w:val="00615D5E"/>
    <w:rsid w:val="00622E99"/>
    <w:rsid w:val="00625E5D"/>
    <w:rsid w:val="00630FC1"/>
    <w:rsid w:val="00657C61"/>
    <w:rsid w:val="0066370F"/>
    <w:rsid w:val="00690F88"/>
    <w:rsid w:val="006A0784"/>
    <w:rsid w:val="006A697B"/>
    <w:rsid w:val="006B4DDE"/>
    <w:rsid w:val="006E4597"/>
    <w:rsid w:val="007060B9"/>
    <w:rsid w:val="00714F06"/>
    <w:rsid w:val="007256B2"/>
    <w:rsid w:val="00743968"/>
    <w:rsid w:val="007544CA"/>
    <w:rsid w:val="0077387F"/>
    <w:rsid w:val="00785415"/>
    <w:rsid w:val="00786294"/>
    <w:rsid w:val="00791CB9"/>
    <w:rsid w:val="00793130"/>
    <w:rsid w:val="00797DEE"/>
    <w:rsid w:val="007A1BE1"/>
    <w:rsid w:val="007A6E76"/>
    <w:rsid w:val="007B2D7E"/>
    <w:rsid w:val="007B3233"/>
    <w:rsid w:val="007B5A42"/>
    <w:rsid w:val="007C199B"/>
    <w:rsid w:val="007D3073"/>
    <w:rsid w:val="007D64B9"/>
    <w:rsid w:val="007D72D4"/>
    <w:rsid w:val="007E0452"/>
    <w:rsid w:val="007F1E18"/>
    <w:rsid w:val="008070C0"/>
    <w:rsid w:val="00811C12"/>
    <w:rsid w:val="008365D2"/>
    <w:rsid w:val="00845778"/>
    <w:rsid w:val="0084626A"/>
    <w:rsid w:val="00872C50"/>
    <w:rsid w:val="00887E28"/>
    <w:rsid w:val="008A7CC1"/>
    <w:rsid w:val="008B30C5"/>
    <w:rsid w:val="008D5C3A"/>
    <w:rsid w:val="008E2870"/>
    <w:rsid w:val="008E6DA2"/>
    <w:rsid w:val="008F6DD5"/>
    <w:rsid w:val="00907B1E"/>
    <w:rsid w:val="00943AFD"/>
    <w:rsid w:val="00963A51"/>
    <w:rsid w:val="00983B6E"/>
    <w:rsid w:val="00987B25"/>
    <w:rsid w:val="009936F8"/>
    <w:rsid w:val="009A3772"/>
    <w:rsid w:val="009A5BE6"/>
    <w:rsid w:val="009B4FFE"/>
    <w:rsid w:val="009D17F0"/>
    <w:rsid w:val="009D1B4A"/>
    <w:rsid w:val="00A04481"/>
    <w:rsid w:val="00A20BB1"/>
    <w:rsid w:val="00A264DE"/>
    <w:rsid w:val="00A42796"/>
    <w:rsid w:val="00A5311D"/>
    <w:rsid w:val="00AB435F"/>
    <w:rsid w:val="00AC399C"/>
    <w:rsid w:val="00AD3B58"/>
    <w:rsid w:val="00AF56C6"/>
    <w:rsid w:val="00AF7CB2"/>
    <w:rsid w:val="00B032E8"/>
    <w:rsid w:val="00B57F96"/>
    <w:rsid w:val="00B67892"/>
    <w:rsid w:val="00BA4D33"/>
    <w:rsid w:val="00BC2D06"/>
    <w:rsid w:val="00BC5A7F"/>
    <w:rsid w:val="00C007E4"/>
    <w:rsid w:val="00C744EB"/>
    <w:rsid w:val="00C90702"/>
    <w:rsid w:val="00C917FF"/>
    <w:rsid w:val="00C9766A"/>
    <w:rsid w:val="00CC4F39"/>
    <w:rsid w:val="00CD1510"/>
    <w:rsid w:val="00CD544C"/>
    <w:rsid w:val="00CF159C"/>
    <w:rsid w:val="00CF4256"/>
    <w:rsid w:val="00D04FE8"/>
    <w:rsid w:val="00D176CF"/>
    <w:rsid w:val="00D17AD5"/>
    <w:rsid w:val="00D271E3"/>
    <w:rsid w:val="00D47A80"/>
    <w:rsid w:val="00D85807"/>
    <w:rsid w:val="00D87349"/>
    <w:rsid w:val="00D87B61"/>
    <w:rsid w:val="00D91EE9"/>
    <w:rsid w:val="00D9627A"/>
    <w:rsid w:val="00D97220"/>
    <w:rsid w:val="00DC105A"/>
    <w:rsid w:val="00DE2F1D"/>
    <w:rsid w:val="00E14D47"/>
    <w:rsid w:val="00E1641C"/>
    <w:rsid w:val="00E26708"/>
    <w:rsid w:val="00E34958"/>
    <w:rsid w:val="00E37AB0"/>
    <w:rsid w:val="00E57CAF"/>
    <w:rsid w:val="00E71C39"/>
    <w:rsid w:val="00EA56E6"/>
    <w:rsid w:val="00EA694D"/>
    <w:rsid w:val="00EC335F"/>
    <w:rsid w:val="00EC48FB"/>
    <w:rsid w:val="00ED3965"/>
    <w:rsid w:val="00EF232A"/>
    <w:rsid w:val="00F05A69"/>
    <w:rsid w:val="00F4241B"/>
    <w:rsid w:val="00F43FFD"/>
    <w:rsid w:val="00F44236"/>
    <w:rsid w:val="00F52517"/>
    <w:rsid w:val="00FA57B2"/>
    <w:rsid w:val="00FB509B"/>
    <w:rsid w:val="00FC3D4B"/>
    <w:rsid w:val="00FC6312"/>
    <w:rsid w:val="00FE36E3"/>
    <w:rsid w:val="00FE6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2"/>
    </o:shapelayout>
  </w:shapeDefaults>
  <w:decimalSymbol w:val="."/>
  <w:listSeparator w:val=","/>
  <w14:docId w14:val="0C849B92"/>
  <w15:chartTrackingRefBased/>
  <w15:docId w15:val="{61FD26D6-2245-46B9-8305-87F9748D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BodyText"/>
    <w:qFormat/>
    <w:pPr>
      <w:keepNext/>
      <w:numPr>
        <w:numId w:val="13"/>
      </w:numPr>
      <w:tabs>
        <w:tab w:val="clear" w:pos="432"/>
        <w:tab w:val="num" w:pos="360"/>
      </w:tabs>
      <w:spacing w:after="240"/>
      <w:ind w:left="0" w:firstLine="0"/>
      <w:outlineLvl w:val="0"/>
    </w:pPr>
    <w:rPr>
      <w:b/>
      <w:caps/>
      <w:szCs w:val="20"/>
    </w:rPr>
  </w:style>
  <w:style w:type="paragraph" w:styleId="Heading2">
    <w:name w:val="heading 2"/>
    <w:basedOn w:val="Normal"/>
    <w:next w:val="BodyText"/>
    <w:qFormat/>
    <w:pPr>
      <w:keepNext/>
      <w:numPr>
        <w:ilvl w:val="1"/>
        <w:numId w:val="13"/>
      </w:numPr>
      <w:tabs>
        <w:tab w:val="clear" w:pos="576"/>
        <w:tab w:val="num" w:pos="360"/>
      </w:tabs>
      <w:spacing w:before="240" w:after="240"/>
      <w:ind w:left="0" w:firstLine="0"/>
      <w:outlineLvl w:val="1"/>
    </w:pPr>
    <w:rPr>
      <w:b/>
      <w:szCs w:val="20"/>
    </w:rPr>
  </w:style>
  <w:style w:type="paragraph" w:styleId="Heading3">
    <w:name w:val="heading 3"/>
    <w:basedOn w:val="Normal"/>
    <w:next w:val="BodyText"/>
    <w:qFormat/>
    <w:pPr>
      <w:keepNext/>
      <w:numPr>
        <w:ilvl w:val="2"/>
        <w:numId w:val="13"/>
      </w:numPr>
      <w:tabs>
        <w:tab w:val="clear" w:pos="720"/>
        <w:tab w:val="num" w:pos="360"/>
        <w:tab w:val="left" w:pos="1008"/>
      </w:tabs>
      <w:spacing w:before="240" w:after="240"/>
      <w:ind w:left="0" w:firstLine="0"/>
      <w:outlineLvl w:val="2"/>
    </w:pPr>
    <w:rPr>
      <w:b/>
      <w:bCs/>
      <w:i/>
      <w:szCs w:val="20"/>
    </w:rPr>
  </w:style>
  <w:style w:type="paragraph" w:styleId="Heading4">
    <w:name w:val="heading 4"/>
    <w:basedOn w:val="Normal"/>
    <w:next w:val="BodyText"/>
    <w:qFormat/>
    <w:pPr>
      <w:keepNext/>
      <w:widowControl w:val="0"/>
      <w:numPr>
        <w:ilvl w:val="3"/>
        <w:numId w:val="13"/>
      </w:numPr>
      <w:tabs>
        <w:tab w:val="clear" w:pos="864"/>
        <w:tab w:val="num" w:pos="360"/>
        <w:tab w:val="left" w:pos="1296"/>
      </w:tabs>
      <w:spacing w:before="240" w:after="240"/>
      <w:ind w:left="0" w:firstLine="0"/>
      <w:outlineLvl w:val="3"/>
    </w:pPr>
    <w:rPr>
      <w:b/>
      <w:bCs/>
      <w:snapToGrid w:val="0"/>
      <w:szCs w:val="20"/>
    </w:rPr>
  </w:style>
  <w:style w:type="paragraph" w:styleId="Heading5">
    <w:name w:val="heading 5"/>
    <w:basedOn w:val="Normal"/>
    <w:next w:val="BodyText"/>
    <w:qFormat/>
    <w:pPr>
      <w:keepNext/>
      <w:numPr>
        <w:ilvl w:val="4"/>
        <w:numId w:val="13"/>
      </w:numPr>
      <w:tabs>
        <w:tab w:val="clear" w:pos="1008"/>
        <w:tab w:val="num" w:pos="360"/>
        <w:tab w:val="left" w:pos="1440"/>
      </w:tabs>
      <w:spacing w:before="240" w:after="240"/>
      <w:ind w:left="0" w:firstLine="0"/>
      <w:outlineLvl w:val="4"/>
    </w:pPr>
    <w:rPr>
      <w:b/>
      <w:bCs/>
      <w:i/>
      <w:iCs/>
      <w:szCs w:val="26"/>
    </w:rPr>
  </w:style>
  <w:style w:type="paragraph" w:styleId="Heading6">
    <w:name w:val="heading 6"/>
    <w:basedOn w:val="Normal"/>
    <w:next w:val="BodyText"/>
    <w:qFormat/>
    <w:pPr>
      <w:keepNext/>
      <w:numPr>
        <w:ilvl w:val="5"/>
        <w:numId w:val="13"/>
      </w:numPr>
      <w:tabs>
        <w:tab w:val="clear" w:pos="1152"/>
        <w:tab w:val="num" w:pos="360"/>
        <w:tab w:val="left" w:pos="1584"/>
      </w:tabs>
      <w:spacing w:before="240" w:after="240"/>
      <w:ind w:left="0" w:firstLine="0"/>
      <w:outlineLvl w:val="5"/>
    </w:pPr>
    <w:rPr>
      <w:b/>
      <w:bCs/>
      <w:szCs w:val="22"/>
    </w:rPr>
  </w:style>
  <w:style w:type="paragraph" w:styleId="Heading7">
    <w:name w:val="heading 7"/>
    <w:basedOn w:val="Normal"/>
    <w:next w:val="BodyText"/>
    <w:qFormat/>
    <w:pPr>
      <w:keepNext/>
      <w:numPr>
        <w:ilvl w:val="6"/>
        <w:numId w:val="13"/>
      </w:numPr>
      <w:tabs>
        <w:tab w:val="clear" w:pos="1296"/>
        <w:tab w:val="num" w:pos="360"/>
        <w:tab w:val="left" w:pos="1728"/>
      </w:tabs>
      <w:spacing w:before="240" w:after="240"/>
      <w:ind w:left="0" w:firstLine="0"/>
      <w:outlineLvl w:val="6"/>
    </w:pPr>
  </w:style>
  <w:style w:type="paragraph" w:styleId="Heading8">
    <w:name w:val="heading 8"/>
    <w:basedOn w:val="Normal"/>
    <w:next w:val="BodyText"/>
    <w:qFormat/>
    <w:pPr>
      <w:keepNext/>
      <w:numPr>
        <w:ilvl w:val="7"/>
        <w:numId w:val="13"/>
      </w:numPr>
      <w:tabs>
        <w:tab w:val="clear" w:pos="1440"/>
        <w:tab w:val="num" w:pos="360"/>
        <w:tab w:val="left" w:pos="1872"/>
      </w:tabs>
      <w:spacing w:before="240" w:after="240"/>
      <w:ind w:left="0" w:firstLine="0"/>
      <w:outlineLvl w:val="7"/>
    </w:pPr>
    <w:rPr>
      <w:i/>
      <w:iCs/>
    </w:rPr>
  </w:style>
  <w:style w:type="paragraph" w:styleId="Heading9">
    <w:name w:val="heading 9"/>
    <w:basedOn w:val="Normal"/>
    <w:next w:val="BodyText"/>
    <w:qFormat/>
    <w:pPr>
      <w:keepNext/>
      <w:numPr>
        <w:ilvl w:val="8"/>
        <w:numId w:val="13"/>
      </w:numPr>
      <w:tabs>
        <w:tab w:val="clear" w:pos="1584"/>
        <w:tab w:val="num" w:pos="360"/>
        <w:tab w:val="left" w:pos="2160"/>
      </w:tabs>
      <w:spacing w:before="240" w:after="240"/>
      <w:ind w:left="0" w:firstLine="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after="240"/>
    </w:pPr>
  </w:style>
  <w:style w:type="paragraph" w:styleId="BodyTextIndent">
    <w:name w:val="Body Text Indent"/>
    <w:basedOn w:val="Normal"/>
    <w:pPr>
      <w:spacing w:after="240"/>
      <w:ind w:left="720"/>
    </w:pPr>
    <w:rPr>
      <w:iCs/>
      <w:szCs w:val="20"/>
    </w:rPr>
  </w:style>
  <w:style w:type="paragraph" w:customStyle="1" w:styleId="Bullet">
    <w:name w:val="Bullet"/>
    <w:basedOn w:val="Normal"/>
    <w:pPr>
      <w:numPr>
        <w:numId w:val="3"/>
      </w:numPr>
      <w:tabs>
        <w:tab w:val="clear" w:pos="360"/>
        <w:tab w:val="num" w:pos="432"/>
      </w:tabs>
      <w:spacing w:after="180"/>
      <w:ind w:left="432" w:hanging="432"/>
    </w:pPr>
    <w:rPr>
      <w:szCs w:val="20"/>
    </w:rPr>
  </w:style>
  <w:style w:type="paragraph" w:customStyle="1" w:styleId="NormalArial">
    <w:name w:val="Normal+Arial"/>
    <w:basedOn w:val="Normal"/>
    <w:link w:val="NormalArialChar"/>
    <w:rPr>
      <w:rFonts w:ascii="Arial" w:hAnsi="Arial"/>
    </w:rPr>
  </w:style>
  <w:style w:type="table" w:customStyle="1" w:styleId="BoxedLanguage">
    <w:name w:val="Boxed Language"/>
    <w:basedOn w:val="TableNormal"/>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pPr>
      <w:numPr>
        <w:numId w:val="4"/>
      </w:numPr>
      <w:tabs>
        <w:tab w:val="clear" w:pos="360"/>
        <w:tab w:val="num" w:pos="432"/>
      </w:tabs>
      <w:spacing w:after="180"/>
      <w:ind w:left="432" w:hanging="432"/>
    </w:pPr>
    <w:rPr>
      <w:szCs w:val="20"/>
    </w:rPr>
  </w:style>
  <w:style w:type="paragraph" w:styleId="FootnoteText">
    <w:name w:val="footnote text"/>
    <w:basedOn w:val="Normal"/>
    <w:semiHidden/>
    <w:rPr>
      <w:sz w:val="18"/>
      <w:szCs w:val="20"/>
    </w:rPr>
  </w:style>
  <w:style w:type="paragraph" w:customStyle="1" w:styleId="Formula">
    <w:name w:val="Formula"/>
    <w:basedOn w:val="Normal"/>
    <w:autoRedefine/>
    <w:pPr>
      <w:tabs>
        <w:tab w:val="left" w:pos="2340"/>
        <w:tab w:val="left" w:pos="3420"/>
      </w:tabs>
      <w:spacing w:after="240"/>
      <w:ind w:left="3420" w:hanging="2700"/>
    </w:pPr>
    <w:rPr>
      <w:bCs/>
    </w:rPr>
  </w:style>
  <w:style w:type="paragraph" w:customStyle="1" w:styleId="FormulaBold">
    <w:name w:val="Formula Bold"/>
    <w:basedOn w:val="Normal"/>
    <w:autoRedefine/>
    <w:pPr>
      <w:tabs>
        <w:tab w:val="left" w:pos="2340"/>
        <w:tab w:val="left" w:pos="3420"/>
      </w:tabs>
      <w:spacing w:after="240"/>
      <w:ind w:left="3420" w:hanging="2700"/>
    </w:pPr>
    <w:rPr>
      <w:b/>
      <w:bCs/>
    </w:rPr>
  </w:style>
  <w:style w:type="table" w:customStyle="1" w:styleId="FormulaVariableTable">
    <w:name w:val="Formula Variable Table"/>
    <w:basedOn w:val="TableNormal"/>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link w:val="H2Char"/>
    <w:pPr>
      <w:numPr>
        <w:ilvl w:val="0"/>
        <w:numId w:val="0"/>
      </w:numPr>
      <w:tabs>
        <w:tab w:val="left" w:pos="900"/>
      </w:tabs>
      <w:ind w:left="900" w:hanging="900"/>
    </w:pPr>
  </w:style>
  <w:style w:type="paragraph" w:customStyle="1" w:styleId="H3">
    <w:name w:val="H3"/>
    <w:basedOn w:val="Heading3"/>
    <w:next w:val="BodyText"/>
    <w:link w:val="H3Char"/>
    <w:pPr>
      <w:numPr>
        <w:ilvl w:val="0"/>
        <w:numId w:val="0"/>
      </w:numPr>
      <w:tabs>
        <w:tab w:val="clear" w:pos="1008"/>
        <w:tab w:val="left" w:pos="1080"/>
      </w:tabs>
      <w:ind w:left="1080" w:hanging="1080"/>
    </w:pPr>
  </w:style>
  <w:style w:type="paragraph" w:customStyle="1" w:styleId="H4">
    <w:name w:val="H4"/>
    <w:basedOn w:val="Heading4"/>
    <w:next w:val="BodyText"/>
    <w:pPr>
      <w:numPr>
        <w:ilvl w:val="0"/>
        <w:numId w:val="0"/>
      </w:numPr>
      <w:tabs>
        <w:tab w:val="clear" w:pos="1296"/>
        <w:tab w:val="left" w:pos="1260"/>
      </w:tabs>
      <w:ind w:left="1260" w:hanging="1260"/>
    </w:pPr>
  </w:style>
  <w:style w:type="paragraph" w:customStyle="1" w:styleId="H5">
    <w:name w:val="H5"/>
    <w:basedOn w:val="Heading5"/>
    <w:next w:val="BodyText"/>
    <w:pPr>
      <w:numPr>
        <w:ilvl w:val="0"/>
        <w:numId w:val="0"/>
      </w:numPr>
      <w:tabs>
        <w:tab w:val="clear" w:pos="1440"/>
        <w:tab w:val="left" w:pos="1620"/>
      </w:tabs>
      <w:ind w:left="1620" w:hanging="1620"/>
    </w:pPr>
  </w:style>
  <w:style w:type="paragraph" w:customStyle="1" w:styleId="H6">
    <w:name w:val="H6"/>
    <w:basedOn w:val="Heading6"/>
    <w:next w:val="BodyText"/>
    <w:pPr>
      <w:numPr>
        <w:ilvl w:val="0"/>
        <w:numId w:val="0"/>
      </w:numPr>
      <w:tabs>
        <w:tab w:val="clear" w:pos="1584"/>
        <w:tab w:val="left" w:pos="1800"/>
      </w:tabs>
      <w:ind w:left="1800" w:hanging="1800"/>
    </w:pPr>
  </w:style>
  <w:style w:type="paragraph" w:customStyle="1" w:styleId="H7">
    <w:name w:val="H7"/>
    <w:basedOn w:val="Heading7"/>
    <w:next w:val="BodyText"/>
    <w:pPr>
      <w:numPr>
        <w:ilvl w:val="0"/>
        <w:numId w:val="0"/>
      </w:numPr>
      <w:tabs>
        <w:tab w:val="clear" w:pos="1728"/>
        <w:tab w:val="left" w:pos="1980"/>
      </w:tabs>
      <w:ind w:left="1980" w:hanging="1980"/>
    </w:pPr>
    <w:rPr>
      <w:b/>
      <w:i/>
    </w:rPr>
  </w:style>
  <w:style w:type="paragraph" w:customStyle="1" w:styleId="H8">
    <w:name w:val="H8"/>
    <w:basedOn w:val="Heading8"/>
    <w:next w:val="BodyText"/>
    <w:pPr>
      <w:numPr>
        <w:ilvl w:val="0"/>
        <w:numId w:val="0"/>
      </w:numPr>
      <w:tabs>
        <w:tab w:val="clear" w:pos="1872"/>
        <w:tab w:val="left" w:pos="2160"/>
      </w:tabs>
      <w:ind w:left="2160" w:hanging="2160"/>
    </w:pPr>
    <w:rPr>
      <w:b/>
      <w:i w:val="0"/>
    </w:rPr>
  </w:style>
  <w:style w:type="paragraph" w:customStyle="1" w:styleId="H9">
    <w:name w:val="H9"/>
    <w:basedOn w:val="Heading9"/>
    <w:next w:val="BodyText"/>
    <w:pPr>
      <w:numPr>
        <w:ilvl w:val="0"/>
        <w:numId w:val="0"/>
      </w:numPr>
      <w:tabs>
        <w:tab w:val="clear" w:pos="2160"/>
        <w:tab w:val="left" w:pos="2340"/>
      </w:tabs>
      <w:ind w:left="2340" w:hanging="2340"/>
    </w:pPr>
    <w:rPr>
      <w:i/>
    </w:rPr>
  </w:style>
  <w:style w:type="paragraph" w:customStyle="1" w:styleId="HeadSub">
    <w:name w:val="Head Sub"/>
    <w:basedOn w:val="BodyText"/>
    <w:next w:val="BodyText"/>
    <w:pPr>
      <w:keepNext/>
      <w:spacing w:before="240"/>
    </w:pPr>
    <w:rPr>
      <w:b/>
      <w:iCs/>
      <w:szCs w:val="20"/>
    </w:rPr>
  </w:style>
  <w:style w:type="paragraph" w:customStyle="1" w:styleId="Instructions">
    <w:name w:val="Instructions"/>
    <w:basedOn w:val="BodyText"/>
    <w:rPr>
      <w:b/>
      <w:i/>
      <w:iCs/>
    </w:rPr>
  </w:style>
  <w:style w:type="paragraph" w:styleId="List">
    <w:name w:val="List"/>
    <w:aliases w:val=" Char2 Char Char Char Char, Char2 Char"/>
    <w:basedOn w:val="Normal"/>
    <w:link w:val="ListChar"/>
    <w:pPr>
      <w:spacing w:after="240"/>
      <w:ind w:left="720" w:hanging="720"/>
    </w:pPr>
    <w:rPr>
      <w:szCs w:val="20"/>
    </w:rPr>
  </w:style>
  <w:style w:type="paragraph" w:styleId="List2">
    <w:name w:val="List 2"/>
    <w:basedOn w:val="Normal"/>
    <w:pPr>
      <w:spacing w:after="240"/>
      <w:ind w:left="1440" w:hanging="720"/>
    </w:pPr>
    <w:rPr>
      <w:szCs w:val="20"/>
    </w:rPr>
  </w:style>
  <w:style w:type="paragraph" w:styleId="List3">
    <w:name w:val="List 3"/>
    <w:basedOn w:val="Normal"/>
    <w:pPr>
      <w:spacing w:after="240"/>
      <w:ind w:left="2160" w:hanging="720"/>
    </w:pPr>
    <w:rPr>
      <w:szCs w:val="20"/>
    </w:rPr>
  </w:style>
  <w:style w:type="paragraph" w:customStyle="1" w:styleId="ListIntroduction">
    <w:name w:val="List Introduction"/>
    <w:basedOn w:val="BodyText"/>
    <w:pPr>
      <w:keepNext/>
    </w:pPr>
    <w:rPr>
      <w:iCs/>
      <w:szCs w:val="20"/>
    </w:rPr>
  </w:style>
  <w:style w:type="paragraph" w:customStyle="1" w:styleId="ListSub">
    <w:name w:val="List Sub"/>
    <w:basedOn w:val="List"/>
    <w:pPr>
      <w:ind w:firstLine="0"/>
    </w:pPr>
  </w:style>
  <w:style w:type="character" w:styleId="PageNumber">
    <w:name w:val="page number"/>
    <w:basedOn w:val="DefaultParagraphFont"/>
  </w:style>
  <w:style w:type="paragraph" w:customStyle="1" w:styleId="Spaceafterbox">
    <w:name w:val="Space after box"/>
    <w:basedOn w:val="Normal"/>
    <w:rPr>
      <w:szCs w:val="20"/>
    </w:rPr>
  </w:style>
  <w:style w:type="paragraph" w:customStyle="1" w:styleId="TableBody">
    <w:name w:val="Table Body"/>
    <w:basedOn w:val="BodyText"/>
    <w:pPr>
      <w:spacing w:after="60"/>
    </w:pPr>
    <w:rPr>
      <w:iCs/>
      <w:sz w:val="20"/>
      <w:szCs w:val="20"/>
    </w:rPr>
  </w:style>
  <w:style w:type="paragraph" w:customStyle="1" w:styleId="TableBullet">
    <w:name w:val="Table Bullet"/>
    <w:basedOn w:val="TableBody"/>
    <w:pPr>
      <w:numPr>
        <w:numId w:val="14"/>
      </w:numPr>
      <w:ind w:left="0" w:firstLine="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Pr>
      <w:b/>
      <w:iCs/>
      <w:sz w:val="20"/>
      <w:szCs w:val="20"/>
    </w:rPr>
  </w:style>
  <w:style w:type="paragraph" w:styleId="TOC1">
    <w:name w:val="toc 1"/>
    <w:basedOn w:val="Normal"/>
    <w:next w:val="Normal"/>
    <w:autoRedefine/>
    <w:semiHidden/>
    <w:pPr>
      <w:tabs>
        <w:tab w:val="left" w:pos="540"/>
        <w:tab w:val="right" w:leader="dot" w:pos="9360"/>
      </w:tabs>
      <w:spacing w:before="120" w:after="120"/>
      <w:ind w:left="540" w:right="720" w:hanging="540"/>
    </w:pPr>
    <w:rPr>
      <w:b/>
      <w:bCs/>
      <w:i/>
    </w:rPr>
  </w:style>
  <w:style w:type="paragraph" w:styleId="TOC2">
    <w:name w:val="toc 2"/>
    <w:basedOn w:val="Normal"/>
    <w:next w:val="Normal"/>
    <w:autoRedefine/>
    <w:semiHidden/>
    <w:pPr>
      <w:tabs>
        <w:tab w:val="left" w:pos="1260"/>
        <w:tab w:val="right" w:leader="dot" w:pos="9360"/>
      </w:tabs>
      <w:ind w:left="1260" w:right="720" w:hanging="720"/>
    </w:pPr>
    <w:rPr>
      <w:sz w:val="20"/>
      <w:szCs w:val="20"/>
    </w:rPr>
  </w:style>
  <w:style w:type="paragraph" w:styleId="TOC3">
    <w:name w:val="toc 3"/>
    <w:basedOn w:val="Normal"/>
    <w:next w:val="Normal"/>
    <w:autoRedefine/>
    <w:semiHidden/>
    <w:pPr>
      <w:tabs>
        <w:tab w:val="left" w:pos="1980"/>
        <w:tab w:val="right" w:leader="dot" w:pos="9360"/>
      </w:tabs>
      <w:ind w:left="1980" w:right="720" w:hanging="900"/>
    </w:pPr>
    <w:rPr>
      <w:i/>
      <w:iCs/>
      <w:sz w:val="20"/>
      <w:szCs w:val="20"/>
    </w:rPr>
  </w:style>
  <w:style w:type="paragraph" w:styleId="TOC4">
    <w:name w:val="toc 4"/>
    <w:basedOn w:val="Normal"/>
    <w:next w:val="Normal"/>
    <w:autoRedefine/>
    <w:semiHidden/>
    <w:pPr>
      <w:tabs>
        <w:tab w:val="left" w:pos="2700"/>
        <w:tab w:val="right" w:leader="dot" w:pos="9360"/>
      </w:tabs>
      <w:ind w:left="2700" w:right="720" w:hanging="1080"/>
    </w:pPr>
    <w:rPr>
      <w:sz w:val="18"/>
      <w:szCs w:val="18"/>
    </w:rPr>
  </w:style>
  <w:style w:type="paragraph" w:styleId="TOC5">
    <w:name w:val="toc 5"/>
    <w:basedOn w:val="Normal"/>
    <w:next w:val="Normal"/>
    <w:autoRedefine/>
    <w:semiHidden/>
    <w:pPr>
      <w:tabs>
        <w:tab w:val="left" w:pos="3600"/>
        <w:tab w:val="right" w:leader="dot" w:pos="9360"/>
      </w:tabs>
      <w:ind w:left="3600" w:right="720" w:hanging="1260"/>
    </w:pPr>
    <w:rPr>
      <w:i/>
      <w:noProof/>
      <w:sz w:val="18"/>
      <w:szCs w:val="18"/>
    </w:rPr>
  </w:style>
  <w:style w:type="paragraph" w:styleId="TOC6">
    <w:name w:val="toc 6"/>
    <w:basedOn w:val="Normal"/>
    <w:next w:val="Normal"/>
    <w:autoRedefine/>
    <w:semiHidden/>
    <w:pPr>
      <w:tabs>
        <w:tab w:val="left" w:pos="4500"/>
        <w:tab w:val="right" w:leader="dot" w:pos="9360"/>
      </w:tabs>
      <w:ind w:left="4500" w:right="720" w:hanging="1440"/>
    </w:pPr>
    <w:rPr>
      <w:sz w:val="18"/>
      <w:szCs w:val="18"/>
    </w:rPr>
  </w:style>
  <w:style w:type="paragraph" w:styleId="TOC7">
    <w:name w:val="toc 7"/>
    <w:basedOn w:val="Normal"/>
    <w:next w:val="Normal"/>
    <w:autoRedefine/>
    <w:semiHidden/>
    <w:pPr>
      <w:tabs>
        <w:tab w:val="left" w:pos="5400"/>
        <w:tab w:val="right" w:leader="dot" w:pos="9360"/>
      </w:tabs>
      <w:ind w:left="5400" w:right="720" w:hanging="1620"/>
    </w:pPr>
    <w:rPr>
      <w:i/>
      <w:noProof/>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paragraph" w:customStyle="1" w:styleId="VariableDefinition">
    <w:name w:val="Variable Definition"/>
    <w:basedOn w:val="BodyTextIndent"/>
    <w:pPr>
      <w:tabs>
        <w:tab w:val="left" w:pos="2160"/>
      </w:tabs>
      <w:ind w:left="2160" w:hanging="1440"/>
      <w:contextualSpacing/>
    </w:pPr>
  </w:style>
  <w:style w:type="table" w:customStyle="1" w:styleId="VariableTable">
    <w:name w:val="Variable Table"/>
    <w:basedOn w:val="TableNormal"/>
    <w:tblPr/>
  </w:style>
  <w:style w:type="paragraph" w:styleId="BalloonText">
    <w:name w:val="Balloon Text"/>
    <w:basedOn w:val="Normal"/>
    <w:semiHidden/>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character" w:customStyle="1" w:styleId="NormalArialChar">
    <w:name w:val="Normal+Arial Char"/>
    <w:link w:val="NormalArial"/>
    <w:rPr>
      <w:rFonts w:ascii="Arial" w:hAnsi="Arial"/>
      <w:sz w:val="24"/>
      <w:szCs w:val="24"/>
      <w:lang w:val="en-US" w:eastAsia="en-US" w:bidi="ar-SA"/>
    </w:rPr>
  </w:style>
  <w:style w:type="character" w:styleId="FollowedHyperlink">
    <w:name w:val="FollowedHyperlink"/>
    <w:rsid w:val="007E0452"/>
    <w:rPr>
      <w:color w:val="800080"/>
      <w:u w:val="single"/>
    </w:rPr>
  </w:style>
  <w:style w:type="paragraph" w:styleId="NormalWeb">
    <w:name w:val="Normal (Web)"/>
    <w:basedOn w:val="Normal"/>
    <w:uiPriority w:val="99"/>
    <w:unhideWhenUsed/>
    <w:rsid w:val="0059260F"/>
    <w:pPr>
      <w:spacing w:before="100" w:beforeAutospacing="1" w:after="100" w:afterAutospacing="1"/>
    </w:pPr>
  </w:style>
  <w:style w:type="character" w:customStyle="1" w:styleId="ListChar">
    <w:name w:val="List Char"/>
    <w:aliases w:val=" Char2 Char Char Char Char Char, Char2 Char Char"/>
    <w:link w:val="List"/>
    <w:rsid w:val="00F05A69"/>
    <w:rPr>
      <w:sz w:val="24"/>
    </w:rPr>
  </w:style>
  <w:style w:type="paragraph" w:styleId="Revision">
    <w:name w:val="Revision"/>
    <w:hidden/>
    <w:uiPriority w:val="99"/>
    <w:semiHidden/>
    <w:rsid w:val="000D3E64"/>
    <w:rPr>
      <w:sz w:val="24"/>
      <w:szCs w:val="24"/>
    </w:rPr>
  </w:style>
  <w:style w:type="character" w:styleId="UnresolvedMention">
    <w:name w:val="Unresolved Mention"/>
    <w:basedOn w:val="DefaultParagraphFont"/>
    <w:uiPriority w:val="99"/>
    <w:semiHidden/>
    <w:unhideWhenUsed/>
    <w:rsid w:val="00AF7CB2"/>
    <w:rPr>
      <w:color w:val="605E5C"/>
      <w:shd w:val="clear" w:color="auto" w:fill="E1DFDD"/>
    </w:rPr>
  </w:style>
  <w:style w:type="character" w:customStyle="1" w:styleId="H2Char">
    <w:name w:val="H2 Char"/>
    <w:link w:val="H2"/>
    <w:rsid w:val="00033EAA"/>
    <w:rPr>
      <w:b/>
      <w:sz w:val="24"/>
    </w:rPr>
  </w:style>
  <w:style w:type="character" w:customStyle="1" w:styleId="H3Char">
    <w:name w:val="H3 Char"/>
    <w:link w:val="H3"/>
    <w:rsid w:val="00033EAA"/>
    <w:rPr>
      <w:b/>
      <w:bCs/>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852281">
      <w:bodyDiv w:val="1"/>
      <w:marLeft w:val="0"/>
      <w:marRight w:val="0"/>
      <w:marTop w:val="0"/>
      <w:marBottom w:val="0"/>
      <w:divBdr>
        <w:top w:val="none" w:sz="0" w:space="0" w:color="auto"/>
        <w:left w:val="none" w:sz="0" w:space="0" w:color="auto"/>
        <w:bottom w:val="none" w:sz="0" w:space="0" w:color="auto"/>
        <w:right w:val="none" w:sz="0" w:space="0" w:color="auto"/>
      </w:divBdr>
    </w:div>
    <w:div w:id="371809834">
      <w:bodyDiv w:val="1"/>
      <w:marLeft w:val="0"/>
      <w:marRight w:val="0"/>
      <w:marTop w:val="0"/>
      <w:marBottom w:val="0"/>
      <w:divBdr>
        <w:top w:val="none" w:sz="0" w:space="0" w:color="auto"/>
        <w:left w:val="none" w:sz="0" w:space="0" w:color="auto"/>
        <w:bottom w:val="none" w:sz="0" w:space="0" w:color="auto"/>
        <w:right w:val="none" w:sz="0" w:space="0" w:color="auto"/>
      </w:divBdr>
    </w:div>
    <w:div w:id="523448469">
      <w:bodyDiv w:val="1"/>
      <w:marLeft w:val="0"/>
      <w:marRight w:val="0"/>
      <w:marTop w:val="0"/>
      <w:marBottom w:val="0"/>
      <w:divBdr>
        <w:top w:val="none" w:sz="0" w:space="0" w:color="auto"/>
        <w:left w:val="none" w:sz="0" w:space="0" w:color="auto"/>
        <w:bottom w:val="none" w:sz="0" w:space="0" w:color="auto"/>
        <w:right w:val="none" w:sz="0" w:space="0" w:color="auto"/>
      </w:divBdr>
    </w:div>
    <w:div w:id="564074370">
      <w:bodyDiv w:val="1"/>
      <w:marLeft w:val="0"/>
      <w:marRight w:val="0"/>
      <w:marTop w:val="0"/>
      <w:marBottom w:val="0"/>
      <w:divBdr>
        <w:top w:val="none" w:sz="0" w:space="0" w:color="auto"/>
        <w:left w:val="none" w:sz="0" w:space="0" w:color="auto"/>
        <w:bottom w:val="none" w:sz="0" w:space="0" w:color="auto"/>
        <w:right w:val="none" w:sz="0" w:space="0" w:color="auto"/>
      </w:divBdr>
    </w:div>
    <w:div w:id="602304810">
      <w:bodyDiv w:val="1"/>
      <w:marLeft w:val="0"/>
      <w:marRight w:val="0"/>
      <w:marTop w:val="0"/>
      <w:marBottom w:val="0"/>
      <w:divBdr>
        <w:top w:val="none" w:sz="0" w:space="0" w:color="auto"/>
        <w:left w:val="none" w:sz="0" w:space="0" w:color="auto"/>
        <w:bottom w:val="none" w:sz="0" w:space="0" w:color="auto"/>
        <w:right w:val="none" w:sz="0" w:space="0" w:color="auto"/>
      </w:divBdr>
    </w:div>
    <w:div w:id="1516924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rcot.com/mktrules/issues/NPRR1307" TargetMode="External"/><Relationship Id="rId13" Type="http://schemas.openxmlformats.org/officeDocument/2006/relationships/image" Target="media/image2.wmf"/><Relationship Id="rId18" Type="http://schemas.openxmlformats.org/officeDocument/2006/relationships/footer" Target="footer2.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www.ercot.com/files/docs/2023/08/25/ERCOT-Strategic-Plan-2024-2028.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rcot.com/files/docs/2023/08/25/ERCOT-Strategic-Plan-2024-2028.pdf" TargetMode="External"/><Relationship Id="rId5" Type="http://schemas.openxmlformats.org/officeDocument/2006/relationships/webSettings" Target="webSettings.xml"/><Relationship Id="rId15" Type="http://schemas.openxmlformats.org/officeDocument/2006/relationships/hyperlink" Target="mailto:Elizabeth.morales@ercot.com" TargetMode="External"/><Relationship Id="rId10" Type="http://schemas.openxmlformats.org/officeDocument/2006/relationships/hyperlink" Target="https://www.ercot.com/files/docs/2023/08/25/ERCOT-Strategic-Plan-2024-2028.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yperlink" Target="mailto:Freddy.garcia@erco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2A10E-7217-4107-821F-9CEE2942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1348</Words>
  <Characters>7685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Protocols Workshop</vt:lpstr>
    </vt:vector>
  </TitlesOfParts>
  <Company>Hewlett-Packard Company</Company>
  <LinksUpToDate>false</LinksUpToDate>
  <CharactersWithSpaces>9015</CharactersWithSpaces>
  <SharedDoc>false</SharedDoc>
  <HLinks>
    <vt:vector size="12" baseType="variant">
      <vt:variant>
        <vt:i4>3276916</vt:i4>
      </vt:variant>
      <vt:variant>
        <vt:i4>21</vt:i4>
      </vt:variant>
      <vt:variant>
        <vt:i4>0</vt:i4>
      </vt:variant>
      <vt:variant>
        <vt:i4>5</vt:i4>
      </vt:variant>
      <vt:variant>
        <vt:lpwstr>http://www.ercot.com/content/mktrules/nprotocols/Revision Request and Comment Submission Guidelines.doc</vt:lpwstr>
      </vt:variant>
      <vt:variant>
        <vt:lpwstr/>
      </vt:variant>
      <vt:variant>
        <vt:i4>1572914</vt:i4>
      </vt:variant>
      <vt:variant>
        <vt:i4>6</vt:i4>
      </vt:variant>
      <vt:variant>
        <vt:i4>0</vt:i4>
      </vt:variant>
      <vt:variant>
        <vt:i4>5</vt:i4>
      </vt:variant>
      <vt:variant>
        <vt:lpwstr>http://www.ercot.com/content/wcm/lists/144926/ERCOT_Strategic_Plan_2019-2023.pdf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Jim Street</dc:creator>
  <cp:keywords/>
  <cp:lastModifiedBy>Elizabeth Morales</cp:lastModifiedBy>
  <cp:revision>2</cp:revision>
  <cp:lastPrinted>2013-11-15T22:11:00Z</cp:lastPrinted>
  <dcterms:created xsi:type="dcterms:W3CDTF">2025-11-13T21:45:00Z</dcterms:created>
  <dcterms:modified xsi:type="dcterms:W3CDTF">2025-11-13T21:45:00Z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2023-10-06T19:00:29Z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90f21957-896a-401b-9cfc-2ed8d4d14d62</vt:lpwstr>
  </property>
  <property fmtid="{D5CDD505-2E9C-101B-9397-08002B2CF9AE}" pid="8" name="MSIP_Label_7084cbda-52b8-46fb-a7b7-cb5bd465ed85_ContentBits">
    <vt:lpwstr>0</vt:lpwstr>
  </property>
</Properties>
</file>