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50"/>
        <w:gridCol w:w="1530"/>
        <w:gridCol w:w="5940"/>
      </w:tblGrid>
      <w:tr w:rsidR="00152993" w14:paraId="2A3C4B3B" w14:textId="77777777" w:rsidTr="006C7EB2">
        <w:tblPrEx>
          <w:tblCellMar>
            <w:top w:w="0" w:type="dxa"/>
            <w:bottom w:w="0" w:type="dxa"/>
          </w:tblCellMar>
        </w:tblPrEx>
        <w:tc>
          <w:tcPr>
            <w:tcW w:w="1620" w:type="dxa"/>
            <w:tcBorders>
              <w:bottom w:val="single" w:sz="4" w:space="0" w:color="auto"/>
            </w:tcBorders>
            <w:shd w:val="clear" w:color="auto" w:fill="FFFFFF"/>
            <w:vAlign w:val="center"/>
          </w:tcPr>
          <w:p w14:paraId="4F270EB5" w14:textId="77777777" w:rsidR="00152993" w:rsidRDefault="00170E84">
            <w:pPr>
              <w:pStyle w:val="Header"/>
              <w:rPr>
                <w:rFonts w:ascii="Verdana" w:hAnsi="Verdana"/>
                <w:sz w:val="22"/>
              </w:rPr>
            </w:pPr>
            <w:r>
              <w:t>P</w:t>
            </w:r>
            <w:r w:rsidR="00C158EE">
              <w:t xml:space="preserve">GRR </w:t>
            </w:r>
            <w:r w:rsidR="00152993">
              <w:t>Number</w:t>
            </w:r>
          </w:p>
        </w:tc>
        <w:tc>
          <w:tcPr>
            <w:tcW w:w="1350" w:type="dxa"/>
            <w:tcBorders>
              <w:bottom w:val="single" w:sz="4" w:space="0" w:color="auto"/>
            </w:tcBorders>
            <w:vAlign w:val="center"/>
          </w:tcPr>
          <w:p w14:paraId="286C1C08" w14:textId="292A53AE" w:rsidR="00152993" w:rsidRDefault="00637467">
            <w:pPr>
              <w:pStyle w:val="Header"/>
            </w:pPr>
            <w:hyperlink r:id="rId10" w:history="1">
              <w:r w:rsidR="003B6825" w:rsidRPr="00637467">
                <w:rPr>
                  <w:rStyle w:val="Hyperlink"/>
                </w:rPr>
                <w:t>134</w:t>
              </w:r>
            </w:hyperlink>
          </w:p>
        </w:tc>
        <w:tc>
          <w:tcPr>
            <w:tcW w:w="1530" w:type="dxa"/>
            <w:tcBorders>
              <w:bottom w:val="single" w:sz="4" w:space="0" w:color="auto"/>
            </w:tcBorders>
            <w:shd w:val="clear" w:color="auto" w:fill="FFFFFF"/>
            <w:vAlign w:val="center"/>
          </w:tcPr>
          <w:p w14:paraId="567C366C" w14:textId="77777777" w:rsidR="00152993" w:rsidRDefault="00170E84">
            <w:pPr>
              <w:pStyle w:val="Header"/>
            </w:pPr>
            <w:r>
              <w:t>P</w:t>
            </w:r>
            <w:r w:rsidR="00C158EE">
              <w:t xml:space="preserve">GRR </w:t>
            </w:r>
            <w:r w:rsidR="00152993">
              <w:t>Title</w:t>
            </w:r>
          </w:p>
        </w:tc>
        <w:tc>
          <w:tcPr>
            <w:tcW w:w="5940" w:type="dxa"/>
            <w:tcBorders>
              <w:bottom w:val="single" w:sz="4" w:space="0" w:color="auto"/>
            </w:tcBorders>
            <w:vAlign w:val="center"/>
          </w:tcPr>
          <w:p w14:paraId="7640AD11" w14:textId="77777777" w:rsidR="00152993" w:rsidRDefault="003B6825">
            <w:pPr>
              <w:pStyle w:val="Header"/>
            </w:pPr>
            <w:r w:rsidRPr="003B6825">
              <w:t>Interconnection Studies Reform for Dispatchable Loads</w:t>
            </w:r>
          </w:p>
        </w:tc>
      </w:tr>
    </w:tbl>
    <w:p w14:paraId="661ED931"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347F8432" w14:textId="77777777">
        <w:tblPrEx>
          <w:tblCellMar>
            <w:top w:w="0" w:type="dxa"/>
            <w:bottom w:w="0" w:type="dxa"/>
          </w:tblCellMar>
        </w:tblPrEx>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1057B83"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5A601E84" w14:textId="77777777" w:rsidR="00152993" w:rsidRDefault="003B6825">
            <w:pPr>
              <w:pStyle w:val="NormalArial"/>
            </w:pPr>
            <w:r>
              <w:t>November 3, 2025</w:t>
            </w:r>
          </w:p>
        </w:tc>
      </w:tr>
    </w:tbl>
    <w:p w14:paraId="4F782F8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4CC76B7" w14:textId="77777777">
        <w:tblPrEx>
          <w:tblCellMar>
            <w:top w:w="0" w:type="dxa"/>
            <w:bottom w:w="0" w:type="dxa"/>
          </w:tblCellMar>
        </w:tblPrEx>
        <w:trPr>
          <w:trHeight w:val="440"/>
        </w:trPr>
        <w:tc>
          <w:tcPr>
            <w:tcW w:w="10440" w:type="dxa"/>
            <w:gridSpan w:val="2"/>
            <w:tcBorders>
              <w:top w:val="single" w:sz="4" w:space="0" w:color="auto"/>
            </w:tcBorders>
            <w:shd w:val="clear" w:color="auto" w:fill="FFFFFF"/>
            <w:vAlign w:val="center"/>
          </w:tcPr>
          <w:p w14:paraId="50C370D5" w14:textId="77777777" w:rsidR="00152993" w:rsidRDefault="00152993">
            <w:pPr>
              <w:pStyle w:val="Header"/>
              <w:jc w:val="center"/>
            </w:pPr>
            <w:r>
              <w:t>Submitter’s Information</w:t>
            </w:r>
          </w:p>
        </w:tc>
      </w:tr>
      <w:tr w:rsidR="00152993" w14:paraId="58E3497D" w14:textId="77777777">
        <w:tblPrEx>
          <w:tblCellMar>
            <w:top w:w="0" w:type="dxa"/>
            <w:bottom w:w="0" w:type="dxa"/>
          </w:tblCellMar>
        </w:tblPrEx>
        <w:trPr>
          <w:trHeight w:val="350"/>
        </w:trPr>
        <w:tc>
          <w:tcPr>
            <w:tcW w:w="2880" w:type="dxa"/>
            <w:shd w:val="clear" w:color="auto" w:fill="FFFFFF"/>
            <w:vAlign w:val="center"/>
          </w:tcPr>
          <w:p w14:paraId="62F3346D" w14:textId="77777777" w:rsidR="00152993" w:rsidRPr="00EC55B3" w:rsidRDefault="00152993" w:rsidP="00EC55B3">
            <w:pPr>
              <w:pStyle w:val="Header"/>
            </w:pPr>
            <w:r w:rsidRPr="00EC55B3">
              <w:t>Name</w:t>
            </w:r>
          </w:p>
        </w:tc>
        <w:tc>
          <w:tcPr>
            <w:tcW w:w="7560" w:type="dxa"/>
            <w:vAlign w:val="center"/>
          </w:tcPr>
          <w:p w14:paraId="272F33CF" w14:textId="77777777" w:rsidR="00152993" w:rsidRDefault="003B6825">
            <w:pPr>
              <w:pStyle w:val="NormalArial"/>
            </w:pPr>
            <w:r>
              <w:t>Andrew Schaper, P.E.</w:t>
            </w:r>
          </w:p>
        </w:tc>
      </w:tr>
      <w:tr w:rsidR="00152993" w14:paraId="6400AC8A" w14:textId="77777777">
        <w:tblPrEx>
          <w:tblCellMar>
            <w:top w:w="0" w:type="dxa"/>
            <w:bottom w:w="0" w:type="dxa"/>
          </w:tblCellMar>
        </w:tblPrEx>
        <w:trPr>
          <w:trHeight w:val="350"/>
        </w:trPr>
        <w:tc>
          <w:tcPr>
            <w:tcW w:w="2880" w:type="dxa"/>
            <w:shd w:val="clear" w:color="auto" w:fill="FFFFFF"/>
            <w:vAlign w:val="center"/>
          </w:tcPr>
          <w:p w14:paraId="22873094" w14:textId="77777777" w:rsidR="00152993" w:rsidRPr="00EC55B3" w:rsidRDefault="00152993" w:rsidP="00EC55B3">
            <w:pPr>
              <w:pStyle w:val="Header"/>
            </w:pPr>
            <w:r w:rsidRPr="00EC55B3">
              <w:t>E-mail Address</w:t>
            </w:r>
          </w:p>
        </w:tc>
        <w:tc>
          <w:tcPr>
            <w:tcW w:w="7560" w:type="dxa"/>
            <w:vAlign w:val="center"/>
          </w:tcPr>
          <w:p w14:paraId="375F7462" w14:textId="1E970AB8" w:rsidR="00152993" w:rsidRDefault="006C7EB2">
            <w:pPr>
              <w:pStyle w:val="NormalArial"/>
            </w:pPr>
            <w:hyperlink r:id="rId11" w:history="1">
              <w:r w:rsidRPr="00C433DE">
                <w:rPr>
                  <w:rStyle w:val="Hyperlink"/>
                </w:rPr>
                <w:t>andrew@schaperintl.com</w:t>
              </w:r>
            </w:hyperlink>
          </w:p>
        </w:tc>
      </w:tr>
      <w:tr w:rsidR="00152993" w14:paraId="6A40245F" w14:textId="77777777">
        <w:tblPrEx>
          <w:tblCellMar>
            <w:top w:w="0" w:type="dxa"/>
            <w:bottom w:w="0" w:type="dxa"/>
          </w:tblCellMar>
        </w:tblPrEx>
        <w:trPr>
          <w:trHeight w:val="350"/>
        </w:trPr>
        <w:tc>
          <w:tcPr>
            <w:tcW w:w="2880" w:type="dxa"/>
            <w:shd w:val="clear" w:color="auto" w:fill="FFFFFF"/>
            <w:vAlign w:val="center"/>
          </w:tcPr>
          <w:p w14:paraId="08E81B47" w14:textId="77777777" w:rsidR="00152993" w:rsidRPr="00EC55B3" w:rsidRDefault="00152993" w:rsidP="00EC55B3">
            <w:pPr>
              <w:pStyle w:val="Header"/>
            </w:pPr>
            <w:r w:rsidRPr="00EC55B3">
              <w:t>Company</w:t>
            </w:r>
          </w:p>
        </w:tc>
        <w:tc>
          <w:tcPr>
            <w:tcW w:w="7560" w:type="dxa"/>
            <w:vAlign w:val="center"/>
          </w:tcPr>
          <w:p w14:paraId="4B6B30E8" w14:textId="77777777" w:rsidR="00152993" w:rsidRDefault="003B6825">
            <w:pPr>
              <w:pStyle w:val="NormalArial"/>
            </w:pPr>
            <w:r>
              <w:t>Schaper Energy Consulting LLC</w:t>
            </w:r>
          </w:p>
        </w:tc>
      </w:tr>
      <w:tr w:rsidR="00152993" w14:paraId="5F8BC66D" w14:textId="77777777">
        <w:tblPrEx>
          <w:tblCellMar>
            <w:top w:w="0" w:type="dxa"/>
            <w:bottom w:w="0" w:type="dxa"/>
          </w:tblCellMar>
        </w:tblPrEx>
        <w:trPr>
          <w:trHeight w:val="350"/>
        </w:trPr>
        <w:tc>
          <w:tcPr>
            <w:tcW w:w="2880" w:type="dxa"/>
            <w:tcBorders>
              <w:bottom w:val="single" w:sz="4" w:space="0" w:color="auto"/>
            </w:tcBorders>
            <w:shd w:val="clear" w:color="auto" w:fill="FFFFFF"/>
            <w:vAlign w:val="center"/>
          </w:tcPr>
          <w:p w14:paraId="39C04686"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205E5FBE" w14:textId="77777777" w:rsidR="00152993" w:rsidRDefault="00152993">
            <w:pPr>
              <w:pStyle w:val="NormalArial"/>
            </w:pPr>
          </w:p>
        </w:tc>
      </w:tr>
      <w:tr w:rsidR="00152993" w14:paraId="6CBB8725" w14:textId="77777777">
        <w:tblPrEx>
          <w:tblCellMar>
            <w:top w:w="0" w:type="dxa"/>
            <w:bottom w:w="0" w:type="dxa"/>
          </w:tblCellMar>
        </w:tblPrEx>
        <w:trPr>
          <w:trHeight w:val="350"/>
        </w:trPr>
        <w:tc>
          <w:tcPr>
            <w:tcW w:w="2880" w:type="dxa"/>
            <w:shd w:val="clear" w:color="auto" w:fill="FFFFFF"/>
            <w:vAlign w:val="center"/>
          </w:tcPr>
          <w:p w14:paraId="10482B9A"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BBD6AEB" w14:textId="77777777" w:rsidR="00152993" w:rsidRDefault="003B6825">
            <w:pPr>
              <w:pStyle w:val="NormalArial"/>
            </w:pPr>
            <w:r>
              <w:t>713-515-4620</w:t>
            </w:r>
          </w:p>
        </w:tc>
      </w:tr>
      <w:tr w:rsidR="00075A94" w14:paraId="4B5FBAF4" w14:textId="77777777">
        <w:tblPrEx>
          <w:tblCellMar>
            <w:top w:w="0" w:type="dxa"/>
            <w:bottom w:w="0" w:type="dxa"/>
          </w:tblCellMar>
        </w:tblPrEx>
        <w:trPr>
          <w:trHeight w:val="350"/>
        </w:trPr>
        <w:tc>
          <w:tcPr>
            <w:tcW w:w="2880" w:type="dxa"/>
            <w:tcBorders>
              <w:bottom w:val="single" w:sz="4" w:space="0" w:color="auto"/>
            </w:tcBorders>
            <w:shd w:val="clear" w:color="auto" w:fill="FFFFFF"/>
            <w:vAlign w:val="center"/>
          </w:tcPr>
          <w:p w14:paraId="713C851C"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39CB67F3" w14:textId="77777777" w:rsidR="00075A94" w:rsidRDefault="008E1792">
            <w:pPr>
              <w:pStyle w:val="NormalArial"/>
            </w:pPr>
            <w:r>
              <w:t>Not Applicable</w:t>
            </w:r>
          </w:p>
        </w:tc>
      </w:tr>
    </w:tbl>
    <w:p w14:paraId="75158C26"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02EC44A5" w14:textId="77777777" w:rsidTr="00F038EC">
        <w:trPr>
          <w:trHeight w:val="422"/>
          <w:jc w:val="center"/>
        </w:trPr>
        <w:tc>
          <w:tcPr>
            <w:tcW w:w="10440" w:type="dxa"/>
            <w:vAlign w:val="center"/>
          </w:tcPr>
          <w:p w14:paraId="56AE9739" w14:textId="77777777" w:rsidR="00075A94" w:rsidRPr="00075A94" w:rsidRDefault="00075A94" w:rsidP="00F038EC">
            <w:pPr>
              <w:pStyle w:val="Header"/>
              <w:jc w:val="center"/>
            </w:pPr>
            <w:r w:rsidRPr="00075A94">
              <w:t>Comments</w:t>
            </w:r>
          </w:p>
        </w:tc>
      </w:tr>
    </w:tbl>
    <w:p w14:paraId="3D1226BD" w14:textId="77777777" w:rsidR="00152993" w:rsidRDefault="00152993" w:rsidP="008E1792">
      <w:pPr>
        <w:pStyle w:val="NormalArial"/>
        <w:jc w:val="both"/>
      </w:pPr>
    </w:p>
    <w:p w14:paraId="7C64EE5C" w14:textId="77777777" w:rsidR="008E1792" w:rsidRDefault="008E1792" w:rsidP="008E1792">
      <w:pPr>
        <w:pStyle w:val="NormalArial"/>
        <w:jc w:val="both"/>
      </w:pPr>
      <w:r w:rsidRPr="008E1792">
        <w:t xml:space="preserve">Schaper Energy Consulting LLC provides strategic and technical advisory services exclusively to </w:t>
      </w:r>
      <w:proofErr w:type="gramStart"/>
      <w:r w:rsidRPr="008E1792">
        <w:t>large load</w:t>
      </w:r>
      <w:proofErr w:type="gramEnd"/>
      <w:r w:rsidRPr="008E1792">
        <w:t xml:space="preserve"> developers operating within Texas and the ERCOT market. Our clients represent a significant share of the state’s new industrial and data center load growth, and their investment decisions depend upon transparent, accurate, and forward-looking assumptions within ERCOT’s long-term system planning processes.</w:t>
      </w:r>
    </w:p>
    <w:p w14:paraId="47193E20" w14:textId="77777777" w:rsidR="008E1792" w:rsidRPr="008E1792" w:rsidRDefault="008E1792" w:rsidP="008E1792">
      <w:pPr>
        <w:pStyle w:val="NormalArial"/>
        <w:jc w:val="both"/>
      </w:pPr>
    </w:p>
    <w:p w14:paraId="2E713176" w14:textId="77777777" w:rsidR="008E1792" w:rsidRDefault="008E1792" w:rsidP="008E1792">
      <w:pPr>
        <w:pStyle w:val="NormalArial"/>
        <w:jc w:val="both"/>
      </w:pPr>
      <w:r w:rsidRPr="008E1792">
        <w:t>At present, the ERCOT planning study framework does not adequately reflect the dispatchable characteristics of large loads, nor does it provide meaningful visibility into how Controllable Load Resources (CLRs) are represented in study assumptions. This gap has created uncertainty that materially affects investment decisions and constrains the ability of developers to commit capital to new projects within the ERCOT footprint.</w:t>
      </w:r>
    </w:p>
    <w:p w14:paraId="47833B8E" w14:textId="77777777" w:rsidR="008E1792" w:rsidRPr="008E1792" w:rsidRDefault="008E1792" w:rsidP="008E1792">
      <w:pPr>
        <w:pStyle w:val="NormalArial"/>
        <w:jc w:val="both"/>
      </w:pPr>
    </w:p>
    <w:p w14:paraId="10909F90" w14:textId="6C415A87" w:rsidR="008E1792" w:rsidRPr="008E1792" w:rsidRDefault="008E1792" w:rsidP="008E1792">
      <w:pPr>
        <w:pStyle w:val="NormalArial"/>
        <w:jc w:val="both"/>
      </w:pPr>
      <w:r w:rsidRPr="008E1792">
        <w:t xml:space="preserve">Schaper Energy Consulting LLC strongly supports </w:t>
      </w:r>
      <w:r w:rsidR="00637467">
        <w:t>Planning Guide Revision Request (</w:t>
      </w:r>
      <w:r w:rsidRPr="008E1792">
        <w:t>PGRR</w:t>
      </w:r>
      <w:r w:rsidR="00637467">
        <w:t xml:space="preserve">) </w:t>
      </w:r>
      <w:r w:rsidRPr="008E1792">
        <w:t xml:space="preserve">134, as proposed by Luminary Strategies, LLC and the other co-sponsors of this </w:t>
      </w:r>
      <w:r w:rsidR="00637467">
        <w:t>R</w:t>
      </w:r>
      <w:r w:rsidRPr="008E1792">
        <w:t xml:space="preserve">evision </w:t>
      </w:r>
      <w:r w:rsidR="00637467">
        <w:t>R</w:t>
      </w:r>
      <w:r w:rsidRPr="008E1792">
        <w:t xml:space="preserve">equest. This proposal complements </w:t>
      </w:r>
      <w:r w:rsidR="00637467">
        <w:t>Nodal Protocol Revision Request (</w:t>
      </w:r>
      <w:r w:rsidRPr="008E1792">
        <w:t>NPRR</w:t>
      </w:r>
      <w:r w:rsidR="00637467">
        <w:t xml:space="preserve">) </w:t>
      </w:r>
      <w:r w:rsidRPr="008E1792">
        <w:t>1188</w:t>
      </w:r>
      <w:r w:rsidR="00637467">
        <w:t>,</w:t>
      </w:r>
      <w:r w:rsidR="00637467" w:rsidRPr="00637467">
        <w:t xml:space="preserve"> </w:t>
      </w:r>
      <w:r w:rsidR="00637467" w:rsidRPr="00637467">
        <w:t>Implement Nodal Dispatch and Energy Settlement for Controllable Load Resources</w:t>
      </w:r>
      <w:r w:rsidR="00637467">
        <w:t>,</w:t>
      </w:r>
      <w:r w:rsidRPr="008E1792">
        <w:t xml:space="preserve"> and ensures that ERCOT’s planning framework evolves in parallel with forthcoming operational reforms. The alignment between interconnection studies and dispatchable load operation is necessary to achieve seamless integration, accurate transmission planning, and efficient use of existing infrastructure.</w:t>
      </w:r>
    </w:p>
    <w:p w14:paraId="17461D26" w14:textId="77777777" w:rsidR="008E1792" w:rsidRPr="008E1792" w:rsidRDefault="008E1792" w:rsidP="008E1792">
      <w:pPr>
        <w:pStyle w:val="NormalArial"/>
        <w:jc w:val="both"/>
      </w:pPr>
    </w:p>
    <w:p w14:paraId="77D8F95E" w14:textId="77777777" w:rsidR="008E1792" w:rsidRPr="008E1792" w:rsidRDefault="008E1792" w:rsidP="008E1792">
      <w:pPr>
        <w:pStyle w:val="NormalArial"/>
        <w:jc w:val="both"/>
      </w:pPr>
      <w:r w:rsidRPr="008E1792">
        <w:t>Incorporating dispatchable load behavior into ERCOT’s planning assumptions is fully consistent with ERCOT’s Strategic Plan Objectives 1 and 2</w:t>
      </w:r>
      <w:r>
        <w:t xml:space="preserve">: </w:t>
      </w:r>
      <w:r w:rsidRPr="008E1792">
        <w:t>to lead the industry in reliability and resilience, and to enhance the ERCOT region’s economic competitiveness</w:t>
      </w:r>
    </w:p>
    <w:p w14:paraId="59E37EB0" w14:textId="77777777" w:rsidR="008E1792" w:rsidRPr="008E1792" w:rsidRDefault="008E1792" w:rsidP="008E1792">
      <w:pPr>
        <w:pStyle w:val="NormalArial"/>
        <w:jc w:val="both"/>
      </w:pPr>
    </w:p>
    <w:p w14:paraId="07800360" w14:textId="77777777" w:rsidR="008E1792" w:rsidRDefault="008E1792" w:rsidP="008E1792">
      <w:pPr>
        <w:pStyle w:val="NormalArial"/>
        <w:jc w:val="both"/>
      </w:pPr>
      <w:r w:rsidRPr="008E1792">
        <w:t xml:space="preserve">Allowing Interconnecting Large Load Entities (ILLEs) to elect CLR treatment in interconnection and planning studies will improve the accuracy of transmission constraint </w:t>
      </w:r>
      <w:r w:rsidRPr="008E1792">
        <w:lastRenderedPageBreak/>
        <w:t>modeling, enable earlier energization where reliability permits, and shift delivery risk to the market participant best positioned to manage it.</w:t>
      </w:r>
    </w:p>
    <w:p w14:paraId="550E40C2" w14:textId="77777777" w:rsidR="008E1792" w:rsidRPr="008E1792" w:rsidRDefault="008E1792" w:rsidP="008E1792">
      <w:pPr>
        <w:pStyle w:val="NormalArial"/>
        <w:jc w:val="both"/>
      </w:pPr>
    </w:p>
    <w:p w14:paraId="1ED725E0" w14:textId="77777777" w:rsidR="008E1792" w:rsidRDefault="008E1792" w:rsidP="008E1792">
      <w:pPr>
        <w:pStyle w:val="NormalArial"/>
        <w:jc w:val="both"/>
      </w:pPr>
      <w:r w:rsidRPr="008E1792">
        <w:t>Other organized markets have already begun integrating frameworks that recognize flexible and dispatchable loads as a vital component of system reliability. ERCOT should not delay implementation of this important update. Continued exclusion of load dispatchability from planning assumptions will lead to distorted study outcomes, inefficient allocation of transmission investment, and diminished competitiveness relative to peer markets.</w:t>
      </w:r>
    </w:p>
    <w:p w14:paraId="3ED4BC38" w14:textId="77777777" w:rsidR="008E1792" w:rsidRPr="008E1792" w:rsidRDefault="008E1792" w:rsidP="008E1792">
      <w:pPr>
        <w:pStyle w:val="NormalArial"/>
      </w:pPr>
    </w:p>
    <w:p w14:paraId="024592E1" w14:textId="77777777" w:rsidR="00B23D1A" w:rsidRPr="00B23D1A" w:rsidRDefault="00B23D1A" w:rsidP="00B23D1A">
      <w:pPr>
        <w:pStyle w:val="NormalArial"/>
        <w:jc w:val="both"/>
      </w:pPr>
      <w:r w:rsidRPr="00B23D1A">
        <w:t xml:space="preserve">Accordingly, Schaper Energy Consulting LLC urges ERCOT to place </w:t>
      </w:r>
      <w:r w:rsidRPr="00B23D1A">
        <w:rPr>
          <w:b/>
          <w:bCs/>
        </w:rPr>
        <w:t>PGRR134</w:t>
      </w:r>
      <w:r w:rsidRPr="00B23D1A">
        <w:t xml:space="preserve"> on the agenda for discussion and approval at the </w:t>
      </w:r>
      <w:r w:rsidRPr="00B23D1A">
        <w:rPr>
          <w:b/>
          <w:bCs/>
        </w:rPr>
        <w:t>upcoming ROS meeting on Thursday, November 6, 2025</w:t>
      </w:r>
      <w:r w:rsidRPr="00B23D1A">
        <w:t>. Prompt action is warranted. Any delay in advancing this revision will materially impair ERCOT’s ability to remain competitive with other markets that are already integrating dispatchable load into their planning and operational frameworks.</w:t>
      </w:r>
    </w:p>
    <w:p w14:paraId="42206FBF" w14:textId="77777777" w:rsidR="00B23D1A" w:rsidRDefault="00B23D1A" w:rsidP="00B23D1A">
      <w:pPr>
        <w:pStyle w:val="NormalArial"/>
        <w:jc w:val="both"/>
      </w:pPr>
    </w:p>
    <w:p w14:paraId="716BBA18" w14:textId="77777777" w:rsidR="008E1792" w:rsidRPr="008E1792" w:rsidRDefault="008E1792" w:rsidP="008E1792">
      <w:pPr>
        <w:pStyle w:val="NormalArial"/>
        <w:jc w:val="both"/>
      </w:pPr>
      <w:r w:rsidRPr="008E1792">
        <w:t>Timely adoption of PGRR134 will enhance transparency, improve planning accuracy, and provide greater certainty for load developers and transmission service providers. It will also align ERCOT’s planning practices with the operational framework established under NPRR1188 and with the intent of Senate Bill 6, supporting continued economic growth and reliability for the State of Texas.</w:t>
      </w:r>
    </w:p>
    <w:p w14:paraId="3F67173F" w14:textId="77777777" w:rsidR="00FF5E88" w:rsidRDefault="00FF5E88" w:rsidP="00FF5E8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B8060E4" w14:textId="77777777" w:rsidTr="00366799">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70F393F7" w14:textId="77777777" w:rsidR="00FF5E88" w:rsidRDefault="00FF5E88" w:rsidP="00366799">
            <w:pPr>
              <w:pStyle w:val="Header"/>
              <w:jc w:val="center"/>
            </w:pPr>
            <w:r>
              <w:t>Revised Cover Page Language</w:t>
            </w:r>
          </w:p>
        </w:tc>
      </w:tr>
    </w:tbl>
    <w:p w14:paraId="2E8B78FD" w14:textId="27271728" w:rsidR="00152993" w:rsidRDefault="00637467" w:rsidP="0063746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0524A2D" w14:textId="77777777">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37AD5994" w14:textId="77777777" w:rsidR="00152993" w:rsidRDefault="00152993">
            <w:pPr>
              <w:pStyle w:val="Header"/>
              <w:jc w:val="center"/>
            </w:pPr>
            <w:r>
              <w:t xml:space="preserve">Revised Proposed </w:t>
            </w:r>
            <w:r w:rsidR="00C158EE">
              <w:t xml:space="preserve">Guide </w:t>
            </w:r>
            <w:r>
              <w:t>Language</w:t>
            </w:r>
          </w:p>
        </w:tc>
      </w:tr>
    </w:tbl>
    <w:p w14:paraId="6C8E10BF" w14:textId="158A2F72" w:rsidR="00152993" w:rsidRDefault="00637467" w:rsidP="00637467">
      <w:pPr>
        <w:pStyle w:val="NormalArial"/>
        <w:spacing w:before="120" w:after="120"/>
      </w:pPr>
      <w:r>
        <w:t>None</w:t>
      </w:r>
    </w:p>
    <w:sectPr w:rsidR="00152993"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EEC8" w14:textId="77777777" w:rsidR="00014C13" w:rsidRDefault="00014C13">
      <w:r>
        <w:separator/>
      </w:r>
    </w:p>
  </w:endnote>
  <w:endnote w:type="continuationSeparator" w:id="0">
    <w:p w14:paraId="366922DC" w14:textId="77777777" w:rsidR="00014C13" w:rsidRDefault="0001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08B9" w14:textId="0D609AD5" w:rsidR="003D0994" w:rsidRDefault="006C7EB2" w:rsidP="0074209E">
    <w:pPr>
      <w:pStyle w:val="Footer"/>
      <w:tabs>
        <w:tab w:val="clear" w:pos="4320"/>
        <w:tab w:val="clear" w:pos="8640"/>
        <w:tab w:val="right" w:pos="9360"/>
      </w:tabs>
      <w:rPr>
        <w:rFonts w:ascii="Arial" w:hAnsi="Arial"/>
        <w:sz w:val="18"/>
      </w:rPr>
    </w:pPr>
    <w:r>
      <w:rPr>
        <w:rFonts w:ascii="Arial" w:hAnsi="Arial"/>
        <w:sz w:val="18"/>
      </w:rPr>
      <w:t>134</w:t>
    </w:r>
    <w:r w:rsidR="00170E84">
      <w:rPr>
        <w:rFonts w:ascii="Arial" w:hAnsi="Arial"/>
        <w:sz w:val="18"/>
      </w:rPr>
      <w:t>P</w:t>
    </w:r>
    <w:r w:rsidR="00C158EE">
      <w:rPr>
        <w:rFonts w:ascii="Arial" w:hAnsi="Arial"/>
        <w:sz w:val="18"/>
      </w:rPr>
      <w:t>GRR</w:t>
    </w:r>
    <w:r>
      <w:rPr>
        <w:rFonts w:ascii="Arial" w:hAnsi="Arial"/>
        <w:sz w:val="18"/>
      </w:rPr>
      <w:t xml:space="preserve">-04 </w:t>
    </w:r>
    <w:r w:rsidRPr="006C7EB2">
      <w:rPr>
        <w:rFonts w:ascii="Arial" w:hAnsi="Arial"/>
        <w:sz w:val="18"/>
      </w:rPr>
      <w:t>Schaper Energy Consulting</w:t>
    </w:r>
    <w:r w:rsidR="00C158EE">
      <w:rPr>
        <w:rFonts w:ascii="Arial" w:hAnsi="Arial"/>
        <w:sz w:val="18"/>
      </w:rPr>
      <w:t xml:space="preserve"> </w:t>
    </w:r>
    <w:r w:rsidR="007269C4">
      <w:rPr>
        <w:rFonts w:ascii="Arial" w:hAnsi="Arial"/>
        <w:sz w:val="18"/>
      </w:rPr>
      <w:t>Comment</w:t>
    </w:r>
    <w:r>
      <w:rPr>
        <w:rFonts w:ascii="Arial" w:hAnsi="Arial"/>
        <w:sz w:val="18"/>
      </w:rPr>
      <w:t>s 110325</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36384699"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3998" w14:textId="77777777" w:rsidR="00014C13" w:rsidRDefault="00014C13">
      <w:r>
        <w:separator/>
      </w:r>
    </w:p>
  </w:footnote>
  <w:footnote w:type="continuationSeparator" w:id="0">
    <w:p w14:paraId="08FBD9EE" w14:textId="77777777" w:rsidR="00014C13" w:rsidRDefault="00014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4816"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45CC6CDA"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06915122">
    <w:abstractNumId w:val="0"/>
  </w:num>
  <w:num w:numId="2" w16cid:durableId="1195969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14C13"/>
    <w:rsid w:val="00037668"/>
    <w:rsid w:val="00075A94"/>
    <w:rsid w:val="00132855"/>
    <w:rsid w:val="00152993"/>
    <w:rsid w:val="00170297"/>
    <w:rsid w:val="00170E84"/>
    <w:rsid w:val="001A227D"/>
    <w:rsid w:val="001E2032"/>
    <w:rsid w:val="00237F13"/>
    <w:rsid w:val="002771E6"/>
    <w:rsid w:val="003010C0"/>
    <w:rsid w:val="00332A97"/>
    <w:rsid w:val="00350C00"/>
    <w:rsid w:val="00366113"/>
    <w:rsid w:val="00366799"/>
    <w:rsid w:val="003B6825"/>
    <w:rsid w:val="003C270C"/>
    <w:rsid w:val="003C405A"/>
    <w:rsid w:val="003D0994"/>
    <w:rsid w:val="003E7D74"/>
    <w:rsid w:val="00423824"/>
    <w:rsid w:val="0043567D"/>
    <w:rsid w:val="00485845"/>
    <w:rsid w:val="004B7B90"/>
    <w:rsid w:val="004E2C19"/>
    <w:rsid w:val="005D284C"/>
    <w:rsid w:val="00633E23"/>
    <w:rsid w:val="00637467"/>
    <w:rsid w:val="00673B94"/>
    <w:rsid w:val="00680AC6"/>
    <w:rsid w:val="006835D8"/>
    <w:rsid w:val="006C316E"/>
    <w:rsid w:val="006C7EB2"/>
    <w:rsid w:val="006D0F7C"/>
    <w:rsid w:val="007269C4"/>
    <w:rsid w:val="00734EAF"/>
    <w:rsid w:val="0074209E"/>
    <w:rsid w:val="007F2CA8"/>
    <w:rsid w:val="007F7161"/>
    <w:rsid w:val="00823E4A"/>
    <w:rsid w:val="0085559E"/>
    <w:rsid w:val="00896B1B"/>
    <w:rsid w:val="008E1792"/>
    <w:rsid w:val="008E559E"/>
    <w:rsid w:val="00916080"/>
    <w:rsid w:val="00921A68"/>
    <w:rsid w:val="00960706"/>
    <w:rsid w:val="00A015C4"/>
    <w:rsid w:val="00A15172"/>
    <w:rsid w:val="00A63F15"/>
    <w:rsid w:val="00B23D1A"/>
    <w:rsid w:val="00B845F9"/>
    <w:rsid w:val="00C00682"/>
    <w:rsid w:val="00C0598D"/>
    <w:rsid w:val="00C11956"/>
    <w:rsid w:val="00C158EE"/>
    <w:rsid w:val="00C602E5"/>
    <w:rsid w:val="00C748FD"/>
    <w:rsid w:val="00D24DCF"/>
    <w:rsid w:val="00D4046E"/>
    <w:rsid w:val="00DD4739"/>
    <w:rsid w:val="00DE5F33"/>
    <w:rsid w:val="00E07B54"/>
    <w:rsid w:val="00E11F78"/>
    <w:rsid w:val="00E367F1"/>
    <w:rsid w:val="00E621E1"/>
    <w:rsid w:val="00E85951"/>
    <w:rsid w:val="00EC55B3"/>
    <w:rsid w:val="00F038EC"/>
    <w:rsid w:val="00F96FB2"/>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5A5B134"/>
  <w15:chartTrackingRefBased/>
  <w15:docId w15:val="{49A8CFB2-0BB4-4050-AC24-DC2C109D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6C7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3304">
      <w:bodyDiv w:val="1"/>
      <w:marLeft w:val="0"/>
      <w:marRight w:val="0"/>
      <w:marTop w:val="0"/>
      <w:marBottom w:val="0"/>
      <w:divBdr>
        <w:top w:val="none" w:sz="0" w:space="0" w:color="auto"/>
        <w:left w:val="none" w:sz="0" w:space="0" w:color="auto"/>
        <w:bottom w:val="none" w:sz="0" w:space="0" w:color="auto"/>
        <w:right w:val="none" w:sz="0" w:space="0" w:color="auto"/>
      </w:divBdr>
    </w:div>
    <w:div w:id="421998964">
      <w:bodyDiv w:val="1"/>
      <w:marLeft w:val="0"/>
      <w:marRight w:val="0"/>
      <w:marTop w:val="0"/>
      <w:marBottom w:val="0"/>
      <w:divBdr>
        <w:top w:val="none" w:sz="0" w:space="0" w:color="auto"/>
        <w:left w:val="none" w:sz="0" w:space="0" w:color="auto"/>
        <w:bottom w:val="none" w:sz="0" w:space="0" w:color="auto"/>
        <w:right w:val="none" w:sz="0" w:space="0" w:color="auto"/>
      </w:divBdr>
    </w:div>
    <w:div w:id="442305029">
      <w:bodyDiv w:val="1"/>
      <w:marLeft w:val="0"/>
      <w:marRight w:val="0"/>
      <w:marTop w:val="0"/>
      <w:marBottom w:val="0"/>
      <w:divBdr>
        <w:top w:val="none" w:sz="0" w:space="0" w:color="auto"/>
        <w:left w:val="none" w:sz="0" w:space="0" w:color="auto"/>
        <w:bottom w:val="none" w:sz="0" w:space="0" w:color="auto"/>
        <w:right w:val="none" w:sz="0" w:space="0" w:color="auto"/>
      </w:divBdr>
    </w:div>
    <w:div w:id="488719424">
      <w:bodyDiv w:val="1"/>
      <w:marLeft w:val="0"/>
      <w:marRight w:val="0"/>
      <w:marTop w:val="0"/>
      <w:marBottom w:val="0"/>
      <w:divBdr>
        <w:top w:val="none" w:sz="0" w:space="0" w:color="auto"/>
        <w:left w:val="none" w:sz="0" w:space="0" w:color="auto"/>
        <w:bottom w:val="none" w:sz="0" w:space="0" w:color="auto"/>
        <w:right w:val="none" w:sz="0" w:space="0" w:color="auto"/>
      </w:divBdr>
    </w:div>
    <w:div w:id="556358004">
      <w:bodyDiv w:val="1"/>
      <w:marLeft w:val="0"/>
      <w:marRight w:val="0"/>
      <w:marTop w:val="0"/>
      <w:marBottom w:val="0"/>
      <w:divBdr>
        <w:top w:val="none" w:sz="0" w:space="0" w:color="auto"/>
        <w:left w:val="none" w:sz="0" w:space="0" w:color="auto"/>
        <w:bottom w:val="none" w:sz="0" w:space="0" w:color="auto"/>
        <w:right w:val="none" w:sz="0" w:space="0" w:color="auto"/>
      </w:divBdr>
    </w:div>
    <w:div w:id="608901186">
      <w:bodyDiv w:val="1"/>
      <w:marLeft w:val="0"/>
      <w:marRight w:val="0"/>
      <w:marTop w:val="0"/>
      <w:marBottom w:val="0"/>
      <w:divBdr>
        <w:top w:val="none" w:sz="0" w:space="0" w:color="auto"/>
        <w:left w:val="none" w:sz="0" w:space="0" w:color="auto"/>
        <w:bottom w:val="none" w:sz="0" w:space="0" w:color="auto"/>
        <w:right w:val="none" w:sz="0" w:space="0" w:color="auto"/>
      </w:divBdr>
    </w:div>
    <w:div w:id="780298314">
      <w:bodyDiv w:val="1"/>
      <w:marLeft w:val="0"/>
      <w:marRight w:val="0"/>
      <w:marTop w:val="0"/>
      <w:marBottom w:val="0"/>
      <w:divBdr>
        <w:top w:val="none" w:sz="0" w:space="0" w:color="auto"/>
        <w:left w:val="none" w:sz="0" w:space="0" w:color="auto"/>
        <w:bottom w:val="none" w:sz="0" w:space="0" w:color="auto"/>
        <w:right w:val="none" w:sz="0" w:space="0" w:color="auto"/>
      </w:divBdr>
    </w:div>
    <w:div w:id="874075871">
      <w:bodyDiv w:val="1"/>
      <w:marLeft w:val="0"/>
      <w:marRight w:val="0"/>
      <w:marTop w:val="0"/>
      <w:marBottom w:val="0"/>
      <w:divBdr>
        <w:top w:val="none" w:sz="0" w:space="0" w:color="auto"/>
        <w:left w:val="none" w:sz="0" w:space="0" w:color="auto"/>
        <w:bottom w:val="none" w:sz="0" w:space="0" w:color="auto"/>
        <w:right w:val="none" w:sz="0" w:space="0" w:color="auto"/>
      </w:divBdr>
    </w:div>
    <w:div w:id="1221401395">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315598747">
      <w:bodyDiv w:val="1"/>
      <w:marLeft w:val="0"/>
      <w:marRight w:val="0"/>
      <w:marTop w:val="0"/>
      <w:marBottom w:val="0"/>
      <w:divBdr>
        <w:top w:val="none" w:sz="0" w:space="0" w:color="auto"/>
        <w:left w:val="none" w:sz="0" w:space="0" w:color="auto"/>
        <w:bottom w:val="none" w:sz="0" w:space="0" w:color="auto"/>
        <w:right w:val="none" w:sz="0" w:space="0" w:color="auto"/>
      </w:divBdr>
    </w:div>
    <w:div w:id="1488520364">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669558197">
      <w:bodyDiv w:val="1"/>
      <w:marLeft w:val="0"/>
      <w:marRight w:val="0"/>
      <w:marTop w:val="0"/>
      <w:marBottom w:val="0"/>
      <w:divBdr>
        <w:top w:val="none" w:sz="0" w:space="0" w:color="auto"/>
        <w:left w:val="none" w:sz="0" w:space="0" w:color="auto"/>
        <w:bottom w:val="none" w:sz="0" w:space="0" w:color="auto"/>
        <w:right w:val="none" w:sz="0" w:space="0" w:color="auto"/>
      </w:divBdr>
    </w:div>
    <w:div w:id="1683389989">
      <w:bodyDiv w:val="1"/>
      <w:marLeft w:val="0"/>
      <w:marRight w:val="0"/>
      <w:marTop w:val="0"/>
      <w:marBottom w:val="0"/>
      <w:divBdr>
        <w:top w:val="none" w:sz="0" w:space="0" w:color="auto"/>
        <w:left w:val="none" w:sz="0" w:space="0" w:color="auto"/>
        <w:bottom w:val="none" w:sz="0" w:space="0" w:color="auto"/>
        <w:right w:val="none" w:sz="0" w:space="0" w:color="auto"/>
      </w:divBdr>
    </w:div>
    <w:div w:id="213301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w@schaperint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rcot.com/mktrules/issues/PGRR13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1b0b517c0cd9fc39e65ed26e03edff46">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bf9ae67d26c008334ecaf6f31f092ab1"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Props1.xml><?xml version="1.0" encoding="utf-8"?>
<ds:datastoreItem xmlns:ds="http://schemas.openxmlformats.org/officeDocument/2006/customXml" ds:itemID="{113C74BF-D109-44E2-8A1E-D3B8F66D7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2CF3B-BE43-441C-9AB5-FAF95BDDBC14}">
  <ds:schemaRefs>
    <ds:schemaRef ds:uri="http://schemas.microsoft.com/sharepoint/v3/contenttype/forms"/>
  </ds:schemaRefs>
</ds:datastoreItem>
</file>

<file path=customXml/itemProps3.xml><?xml version="1.0" encoding="utf-8"?>
<ds:datastoreItem xmlns:ds="http://schemas.openxmlformats.org/officeDocument/2006/customXml" ds:itemID="{379F2FA6-921A-40DF-A3B5-1704F20C3223}">
  <ds:schemaRefs>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cab09d9c-5730-44ce-a74a-32ebb28ed15c"/>
    <ds:schemaRef ds:uri="e50c2e4a-fb1d-4161-81b9-5623c3f0c82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493</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3</cp:revision>
  <cp:lastPrinted>2001-06-20T16:28:00Z</cp:lastPrinted>
  <dcterms:created xsi:type="dcterms:W3CDTF">2025-11-03T21:21:00Z</dcterms:created>
  <dcterms:modified xsi:type="dcterms:W3CDTF">2025-11-03T21:21:00Z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0x0101009DE1FCA776AD4B44B81A57B059081B18</vt:lpwstr>
  </property>
  <property fmtid="{D5CDD505-2E9C-101B-9397-08002B2CF9AE}" pid="3" name="MSIP_Label_c144db1d-993e-40da-980d-6eea152adc50_Enabled">
    <vt:lpwstr>true</vt:lpwstr>
  </property>
  <property fmtid="{D5CDD505-2E9C-101B-9397-08002B2CF9AE}" pid="4" name="MSIP_Label_c144db1d-993e-40da-980d-6eea152adc50_SetDate">
    <vt:lpwstr>2025-11-03T21:21:48Z</vt:lpwstr>
  </property>
  <property fmtid="{D5CDD505-2E9C-101B-9397-08002B2CF9AE}" pid="5" name="MSIP_Label_c144db1d-993e-40da-980d-6eea152adc50_Method">
    <vt:lpwstr>Privileged</vt:lpwstr>
  </property>
  <property fmtid="{D5CDD505-2E9C-101B-9397-08002B2CF9AE}" pid="6" name="MSIP_Label_c144db1d-993e-40da-980d-6eea152adc50_Name">
    <vt:lpwstr>Public</vt:lpwstr>
  </property>
  <property fmtid="{D5CDD505-2E9C-101B-9397-08002B2CF9AE}" pid="7" name="MSIP_Label_c144db1d-993e-40da-980d-6eea152adc50_SiteId">
    <vt:lpwstr>0afb747d-bff7-4596-a9fc-950ef9e0ec45</vt:lpwstr>
  </property>
  <property fmtid="{D5CDD505-2E9C-101B-9397-08002B2CF9AE}" pid="8" name="MSIP_Label_c144db1d-993e-40da-980d-6eea152adc50_ActionId">
    <vt:lpwstr>d876ffdf-739a-4d7f-bee2-c957c233c7a5</vt:lpwstr>
  </property>
  <property fmtid="{D5CDD505-2E9C-101B-9397-08002B2CF9AE}" pid="9" name="MSIP_Label_c144db1d-993e-40da-980d-6eea152adc50_ContentBits">
    <vt:lpwstr>0</vt:lpwstr>
  </property>
  <property fmtid="{D5CDD505-2E9C-101B-9397-08002B2CF9AE}" pid="10" name="MSIP_Label_c144db1d-993e-40da-980d-6eea152adc50_Tag">
    <vt:lpwstr>10, 0, 1, 1</vt:lpwstr>
  </property>
</Properties>
</file>