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rsidRPr="00722896" w14:paraId="5957FC4A" w14:textId="77777777">
        <w:tc>
          <w:tcPr>
            <w:tcW w:w="1620" w:type="dxa"/>
            <w:tcBorders>
              <w:bottom w:val="single" w:sz="4" w:space="0" w:color="auto"/>
            </w:tcBorders>
            <w:shd w:val="clear" w:color="auto" w:fill="FFFFFF"/>
            <w:vAlign w:val="center"/>
          </w:tcPr>
          <w:p w14:paraId="58E1B937" w14:textId="77777777" w:rsidR="00152993" w:rsidRPr="000112E8" w:rsidRDefault="00EE6681">
            <w:pPr>
              <w:pStyle w:val="Header"/>
              <w:rPr>
                <w:rFonts w:cs="Arial"/>
              </w:rPr>
            </w:pPr>
            <w:r w:rsidRPr="00722896">
              <w:rPr>
                <w:rFonts w:cs="Arial"/>
              </w:rPr>
              <w:t>N</w:t>
            </w:r>
            <w:r w:rsidR="00152993" w:rsidRPr="00722896">
              <w:rPr>
                <w:rFonts w:cs="Arial"/>
              </w:rPr>
              <w:t>PRR Number</w:t>
            </w:r>
          </w:p>
        </w:tc>
        <w:tc>
          <w:tcPr>
            <w:tcW w:w="1260" w:type="dxa"/>
            <w:tcBorders>
              <w:bottom w:val="single" w:sz="4" w:space="0" w:color="auto"/>
            </w:tcBorders>
            <w:vAlign w:val="center"/>
          </w:tcPr>
          <w:p w14:paraId="668B471F" w14:textId="28E95770" w:rsidR="00152993" w:rsidRPr="00722896" w:rsidRDefault="00036C4B">
            <w:pPr>
              <w:pStyle w:val="Header"/>
              <w:rPr>
                <w:rFonts w:cs="Arial"/>
              </w:rPr>
            </w:pPr>
            <w:hyperlink r:id="rId11" w:history="1">
              <w:r w:rsidR="00E6726F" w:rsidRPr="00036C4B">
                <w:rPr>
                  <w:rStyle w:val="Hyperlink"/>
                  <w:rFonts w:cs="Arial"/>
                </w:rPr>
                <w:t>1296</w:t>
              </w:r>
            </w:hyperlink>
          </w:p>
        </w:tc>
        <w:tc>
          <w:tcPr>
            <w:tcW w:w="900" w:type="dxa"/>
            <w:tcBorders>
              <w:bottom w:val="single" w:sz="4" w:space="0" w:color="auto"/>
            </w:tcBorders>
            <w:shd w:val="clear" w:color="auto" w:fill="FFFFFF"/>
            <w:vAlign w:val="center"/>
          </w:tcPr>
          <w:p w14:paraId="08346FCB" w14:textId="77777777" w:rsidR="00152993" w:rsidRPr="00722896" w:rsidRDefault="00EE6681">
            <w:pPr>
              <w:pStyle w:val="Header"/>
              <w:rPr>
                <w:rFonts w:cs="Arial"/>
              </w:rPr>
            </w:pPr>
            <w:r w:rsidRPr="00722896">
              <w:rPr>
                <w:rFonts w:cs="Arial"/>
              </w:rPr>
              <w:t>N</w:t>
            </w:r>
            <w:r w:rsidR="00152993" w:rsidRPr="00722896">
              <w:rPr>
                <w:rFonts w:cs="Arial"/>
              </w:rPr>
              <w:t>PRR Title</w:t>
            </w:r>
          </w:p>
        </w:tc>
        <w:tc>
          <w:tcPr>
            <w:tcW w:w="6660" w:type="dxa"/>
            <w:tcBorders>
              <w:bottom w:val="single" w:sz="4" w:space="0" w:color="auto"/>
            </w:tcBorders>
            <w:vAlign w:val="center"/>
          </w:tcPr>
          <w:p w14:paraId="5EB17811" w14:textId="77777777" w:rsidR="00152993" w:rsidRPr="00722896" w:rsidRDefault="00E6726F">
            <w:pPr>
              <w:pStyle w:val="Header"/>
              <w:rPr>
                <w:rFonts w:cs="Arial"/>
              </w:rPr>
            </w:pPr>
            <w:r w:rsidRPr="00722896">
              <w:rPr>
                <w:rFonts w:cs="Arial"/>
              </w:rPr>
              <w:t>Residential Demand Response Program</w:t>
            </w:r>
            <w:r w:rsidRPr="00722896">
              <w:rPr>
                <w:rFonts w:cs="Arial"/>
              </w:rPr>
              <w:tab/>
            </w:r>
          </w:p>
        </w:tc>
      </w:tr>
      <w:tr w:rsidR="00152993" w:rsidRPr="00722896" w14:paraId="14C91D05" w14:textId="77777777">
        <w:trPr>
          <w:trHeight w:val="413"/>
        </w:trPr>
        <w:tc>
          <w:tcPr>
            <w:tcW w:w="2880" w:type="dxa"/>
            <w:gridSpan w:val="2"/>
            <w:tcBorders>
              <w:top w:val="nil"/>
              <w:left w:val="nil"/>
              <w:bottom w:val="single" w:sz="4" w:space="0" w:color="auto"/>
              <w:right w:val="nil"/>
            </w:tcBorders>
            <w:vAlign w:val="center"/>
          </w:tcPr>
          <w:p w14:paraId="1F76941A" w14:textId="77777777" w:rsidR="00152993" w:rsidRPr="00722896" w:rsidRDefault="00152993">
            <w:pPr>
              <w:pStyle w:val="NormalArial"/>
              <w:rPr>
                <w:rFonts w:cs="Arial"/>
              </w:rPr>
            </w:pPr>
          </w:p>
        </w:tc>
        <w:tc>
          <w:tcPr>
            <w:tcW w:w="7560" w:type="dxa"/>
            <w:gridSpan w:val="2"/>
            <w:tcBorders>
              <w:top w:val="single" w:sz="4" w:space="0" w:color="auto"/>
              <w:left w:val="nil"/>
              <w:bottom w:val="nil"/>
              <w:right w:val="nil"/>
            </w:tcBorders>
            <w:vAlign w:val="center"/>
          </w:tcPr>
          <w:p w14:paraId="231C6E88" w14:textId="77777777" w:rsidR="00152993" w:rsidRPr="00722896" w:rsidRDefault="00152993">
            <w:pPr>
              <w:pStyle w:val="NormalArial"/>
              <w:rPr>
                <w:rFonts w:cs="Arial"/>
              </w:rPr>
            </w:pPr>
          </w:p>
        </w:tc>
      </w:tr>
      <w:tr w:rsidR="00152993" w:rsidRPr="00722896" w14:paraId="7D04D315"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26AF27B" w14:textId="77777777" w:rsidR="00152993" w:rsidRPr="00722896" w:rsidRDefault="00152993">
            <w:pPr>
              <w:pStyle w:val="Header"/>
              <w:rPr>
                <w:rFonts w:cs="Arial"/>
              </w:rPr>
            </w:pPr>
            <w:r w:rsidRPr="00722896">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BE50BDC" w14:textId="1B50D5F3" w:rsidR="00152993" w:rsidRPr="000112E8" w:rsidRDefault="00036C4B">
            <w:pPr>
              <w:pStyle w:val="NormalArial"/>
              <w:rPr>
                <w:rFonts w:cs="Arial"/>
              </w:rPr>
            </w:pPr>
            <w:r>
              <w:rPr>
                <w:rFonts w:cs="Arial"/>
              </w:rPr>
              <w:t>November 3, 2025</w:t>
            </w:r>
          </w:p>
        </w:tc>
      </w:tr>
      <w:tr w:rsidR="00152993" w:rsidRPr="00722896" w14:paraId="63C55A20" w14:textId="77777777">
        <w:trPr>
          <w:trHeight w:val="467"/>
        </w:trPr>
        <w:tc>
          <w:tcPr>
            <w:tcW w:w="2880" w:type="dxa"/>
            <w:gridSpan w:val="2"/>
            <w:tcBorders>
              <w:top w:val="single" w:sz="4" w:space="0" w:color="auto"/>
              <w:left w:val="nil"/>
              <w:bottom w:val="nil"/>
              <w:right w:val="nil"/>
            </w:tcBorders>
            <w:shd w:val="clear" w:color="auto" w:fill="FFFFFF"/>
            <w:vAlign w:val="center"/>
          </w:tcPr>
          <w:p w14:paraId="3D22CD82" w14:textId="77777777" w:rsidR="00152993" w:rsidRPr="00722896" w:rsidRDefault="00152993">
            <w:pPr>
              <w:pStyle w:val="NormalArial"/>
              <w:rPr>
                <w:rFonts w:cs="Arial"/>
              </w:rPr>
            </w:pPr>
          </w:p>
        </w:tc>
        <w:tc>
          <w:tcPr>
            <w:tcW w:w="7560" w:type="dxa"/>
            <w:gridSpan w:val="2"/>
            <w:tcBorders>
              <w:top w:val="nil"/>
              <w:left w:val="nil"/>
              <w:bottom w:val="nil"/>
              <w:right w:val="nil"/>
            </w:tcBorders>
            <w:vAlign w:val="center"/>
          </w:tcPr>
          <w:p w14:paraId="7B32B7E2" w14:textId="77777777" w:rsidR="00152993" w:rsidRPr="00722896" w:rsidRDefault="00152993">
            <w:pPr>
              <w:pStyle w:val="NormalArial"/>
              <w:rPr>
                <w:rFonts w:cs="Arial"/>
              </w:rPr>
            </w:pPr>
          </w:p>
        </w:tc>
      </w:tr>
      <w:tr w:rsidR="00152993" w:rsidRPr="00722896" w14:paraId="42F48DA8" w14:textId="77777777">
        <w:trPr>
          <w:trHeight w:val="440"/>
        </w:trPr>
        <w:tc>
          <w:tcPr>
            <w:tcW w:w="10440" w:type="dxa"/>
            <w:gridSpan w:val="4"/>
            <w:tcBorders>
              <w:top w:val="single" w:sz="4" w:space="0" w:color="auto"/>
            </w:tcBorders>
            <w:shd w:val="clear" w:color="auto" w:fill="FFFFFF"/>
            <w:vAlign w:val="center"/>
          </w:tcPr>
          <w:p w14:paraId="251F75BD" w14:textId="77777777" w:rsidR="00152993" w:rsidRPr="00722896" w:rsidRDefault="00152993">
            <w:pPr>
              <w:pStyle w:val="Header"/>
              <w:jc w:val="center"/>
              <w:rPr>
                <w:rFonts w:cs="Arial"/>
              </w:rPr>
            </w:pPr>
            <w:r w:rsidRPr="00722896">
              <w:rPr>
                <w:rFonts w:cs="Arial"/>
              </w:rPr>
              <w:t>Submitter’s Information</w:t>
            </w:r>
          </w:p>
        </w:tc>
      </w:tr>
      <w:tr w:rsidR="00152993" w:rsidRPr="00722896" w14:paraId="534F78EC" w14:textId="77777777">
        <w:trPr>
          <w:trHeight w:val="350"/>
        </w:trPr>
        <w:tc>
          <w:tcPr>
            <w:tcW w:w="2880" w:type="dxa"/>
            <w:gridSpan w:val="2"/>
            <w:shd w:val="clear" w:color="auto" w:fill="FFFFFF"/>
            <w:vAlign w:val="center"/>
          </w:tcPr>
          <w:p w14:paraId="3AEB3023" w14:textId="77777777" w:rsidR="00152993" w:rsidRPr="00722896" w:rsidRDefault="00152993" w:rsidP="00EC55B3">
            <w:pPr>
              <w:pStyle w:val="Header"/>
              <w:rPr>
                <w:rFonts w:cs="Arial"/>
              </w:rPr>
            </w:pPr>
            <w:r w:rsidRPr="00722896">
              <w:rPr>
                <w:rFonts w:cs="Arial"/>
              </w:rPr>
              <w:t>Name</w:t>
            </w:r>
          </w:p>
        </w:tc>
        <w:tc>
          <w:tcPr>
            <w:tcW w:w="7560" w:type="dxa"/>
            <w:gridSpan w:val="2"/>
            <w:vAlign w:val="center"/>
          </w:tcPr>
          <w:p w14:paraId="6BA27AD7" w14:textId="77777777" w:rsidR="00152993" w:rsidRPr="00722896" w:rsidRDefault="00E6726F">
            <w:pPr>
              <w:pStyle w:val="NormalArial"/>
              <w:rPr>
                <w:rFonts w:cs="Arial"/>
              </w:rPr>
            </w:pPr>
            <w:r w:rsidRPr="00722896">
              <w:rPr>
                <w:rFonts w:cs="Arial"/>
              </w:rPr>
              <w:t>Andrew Reimers</w:t>
            </w:r>
          </w:p>
        </w:tc>
      </w:tr>
      <w:tr w:rsidR="00152993" w:rsidRPr="00722896" w14:paraId="3F0361FE" w14:textId="77777777">
        <w:trPr>
          <w:trHeight w:val="350"/>
        </w:trPr>
        <w:tc>
          <w:tcPr>
            <w:tcW w:w="2880" w:type="dxa"/>
            <w:gridSpan w:val="2"/>
            <w:shd w:val="clear" w:color="auto" w:fill="FFFFFF"/>
            <w:vAlign w:val="center"/>
          </w:tcPr>
          <w:p w14:paraId="2ADEE874" w14:textId="77777777" w:rsidR="00152993" w:rsidRPr="00722896" w:rsidRDefault="00152993" w:rsidP="00EC55B3">
            <w:pPr>
              <w:pStyle w:val="Header"/>
              <w:rPr>
                <w:rFonts w:cs="Arial"/>
              </w:rPr>
            </w:pPr>
            <w:r w:rsidRPr="00722896">
              <w:rPr>
                <w:rFonts w:cs="Arial"/>
              </w:rPr>
              <w:t>E-mail Address</w:t>
            </w:r>
          </w:p>
        </w:tc>
        <w:tc>
          <w:tcPr>
            <w:tcW w:w="7560" w:type="dxa"/>
            <w:gridSpan w:val="2"/>
            <w:vAlign w:val="center"/>
          </w:tcPr>
          <w:p w14:paraId="44886123" w14:textId="21542959" w:rsidR="00152993" w:rsidRPr="00722896" w:rsidRDefault="00036C4B">
            <w:pPr>
              <w:pStyle w:val="NormalArial"/>
              <w:rPr>
                <w:rFonts w:cs="Arial"/>
              </w:rPr>
            </w:pPr>
            <w:hyperlink r:id="rId12" w:history="1">
              <w:r w:rsidRPr="00153B5E">
                <w:rPr>
                  <w:rStyle w:val="Hyperlink"/>
                  <w:rFonts w:cs="Arial"/>
                </w:rPr>
                <w:t>areimers@potomaceconomics.com</w:t>
              </w:r>
            </w:hyperlink>
          </w:p>
        </w:tc>
      </w:tr>
      <w:tr w:rsidR="00152993" w:rsidRPr="00722896" w14:paraId="7B9AD91B" w14:textId="77777777">
        <w:trPr>
          <w:trHeight w:val="350"/>
        </w:trPr>
        <w:tc>
          <w:tcPr>
            <w:tcW w:w="2880" w:type="dxa"/>
            <w:gridSpan w:val="2"/>
            <w:shd w:val="clear" w:color="auto" w:fill="FFFFFF"/>
            <w:vAlign w:val="center"/>
          </w:tcPr>
          <w:p w14:paraId="7FD324C9" w14:textId="77777777" w:rsidR="00152993" w:rsidRPr="00722896" w:rsidRDefault="00152993" w:rsidP="00EC55B3">
            <w:pPr>
              <w:pStyle w:val="Header"/>
              <w:rPr>
                <w:rFonts w:cs="Arial"/>
              </w:rPr>
            </w:pPr>
            <w:r w:rsidRPr="00722896">
              <w:rPr>
                <w:rFonts w:cs="Arial"/>
              </w:rPr>
              <w:t>Company</w:t>
            </w:r>
          </w:p>
        </w:tc>
        <w:tc>
          <w:tcPr>
            <w:tcW w:w="7560" w:type="dxa"/>
            <w:gridSpan w:val="2"/>
            <w:vAlign w:val="center"/>
          </w:tcPr>
          <w:p w14:paraId="62373937" w14:textId="1E8D596D" w:rsidR="00152993" w:rsidRPr="00722896" w:rsidRDefault="00E6726F">
            <w:pPr>
              <w:pStyle w:val="NormalArial"/>
              <w:rPr>
                <w:rFonts w:cs="Arial"/>
              </w:rPr>
            </w:pPr>
            <w:r w:rsidRPr="00722896">
              <w:rPr>
                <w:rFonts w:cs="Arial"/>
              </w:rPr>
              <w:t>Potomac Economics</w:t>
            </w:r>
            <w:r w:rsidR="00036C4B">
              <w:rPr>
                <w:rFonts w:cs="Arial"/>
              </w:rPr>
              <w:t xml:space="preserve">, </w:t>
            </w:r>
            <w:r w:rsidR="00036C4B" w:rsidRPr="00722896">
              <w:rPr>
                <w:rFonts w:cs="Arial"/>
              </w:rPr>
              <w:t>Independent Market Monitor (IMM)</w:t>
            </w:r>
          </w:p>
        </w:tc>
      </w:tr>
      <w:tr w:rsidR="00152993" w:rsidRPr="00722896" w14:paraId="76366CC5" w14:textId="77777777">
        <w:trPr>
          <w:trHeight w:val="350"/>
        </w:trPr>
        <w:tc>
          <w:tcPr>
            <w:tcW w:w="2880" w:type="dxa"/>
            <w:gridSpan w:val="2"/>
            <w:tcBorders>
              <w:bottom w:val="single" w:sz="4" w:space="0" w:color="auto"/>
            </w:tcBorders>
            <w:shd w:val="clear" w:color="auto" w:fill="FFFFFF"/>
            <w:vAlign w:val="center"/>
          </w:tcPr>
          <w:p w14:paraId="7E87D0BF" w14:textId="77777777" w:rsidR="00152993" w:rsidRPr="00722896" w:rsidRDefault="00152993" w:rsidP="00EC55B3">
            <w:pPr>
              <w:pStyle w:val="Header"/>
              <w:rPr>
                <w:rFonts w:cs="Arial"/>
              </w:rPr>
            </w:pPr>
            <w:r w:rsidRPr="00722896">
              <w:rPr>
                <w:rFonts w:cs="Arial"/>
              </w:rPr>
              <w:t>Phone Number</w:t>
            </w:r>
          </w:p>
        </w:tc>
        <w:tc>
          <w:tcPr>
            <w:tcW w:w="7560" w:type="dxa"/>
            <w:gridSpan w:val="2"/>
            <w:tcBorders>
              <w:bottom w:val="single" w:sz="4" w:space="0" w:color="auto"/>
            </w:tcBorders>
            <w:vAlign w:val="center"/>
          </w:tcPr>
          <w:p w14:paraId="3B603DFA" w14:textId="7C09E447" w:rsidR="00152993" w:rsidRPr="00722896" w:rsidRDefault="00E76962">
            <w:pPr>
              <w:pStyle w:val="NormalArial"/>
              <w:rPr>
                <w:rFonts w:cs="Arial"/>
              </w:rPr>
            </w:pPr>
            <w:r w:rsidRPr="00E76962">
              <w:rPr>
                <w:rFonts w:cs="Arial"/>
              </w:rPr>
              <w:t>512</w:t>
            </w:r>
            <w:r>
              <w:rPr>
                <w:rFonts w:cs="Arial"/>
              </w:rPr>
              <w:t>-</w:t>
            </w:r>
            <w:r w:rsidRPr="00E76962">
              <w:rPr>
                <w:rFonts w:cs="Arial"/>
              </w:rPr>
              <w:t>225</w:t>
            </w:r>
            <w:r>
              <w:rPr>
                <w:rFonts w:cs="Arial"/>
              </w:rPr>
              <w:t>-</w:t>
            </w:r>
            <w:r w:rsidRPr="00E76962">
              <w:rPr>
                <w:rFonts w:cs="Arial"/>
              </w:rPr>
              <w:t>7253</w:t>
            </w:r>
          </w:p>
        </w:tc>
      </w:tr>
      <w:tr w:rsidR="00152993" w:rsidRPr="00722896" w14:paraId="2F5480C5" w14:textId="77777777">
        <w:trPr>
          <w:trHeight w:val="350"/>
        </w:trPr>
        <w:tc>
          <w:tcPr>
            <w:tcW w:w="2880" w:type="dxa"/>
            <w:gridSpan w:val="2"/>
            <w:shd w:val="clear" w:color="auto" w:fill="FFFFFF"/>
            <w:vAlign w:val="center"/>
          </w:tcPr>
          <w:p w14:paraId="20F7B050" w14:textId="77777777" w:rsidR="00152993" w:rsidRPr="00722896" w:rsidRDefault="00075A94" w:rsidP="00EC55B3">
            <w:pPr>
              <w:pStyle w:val="Header"/>
              <w:rPr>
                <w:rFonts w:cs="Arial"/>
              </w:rPr>
            </w:pPr>
            <w:r w:rsidRPr="00722896">
              <w:rPr>
                <w:rFonts w:cs="Arial"/>
              </w:rPr>
              <w:t xml:space="preserve">Cell </w:t>
            </w:r>
            <w:r w:rsidR="00152993" w:rsidRPr="00722896">
              <w:rPr>
                <w:rFonts w:cs="Arial"/>
              </w:rPr>
              <w:t>Number</w:t>
            </w:r>
          </w:p>
        </w:tc>
        <w:tc>
          <w:tcPr>
            <w:tcW w:w="7560" w:type="dxa"/>
            <w:gridSpan w:val="2"/>
            <w:vAlign w:val="center"/>
          </w:tcPr>
          <w:p w14:paraId="5933B285" w14:textId="219456BB" w:rsidR="00152993" w:rsidRPr="00722896" w:rsidRDefault="00B86B7D">
            <w:pPr>
              <w:pStyle w:val="NormalArial"/>
              <w:rPr>
                <w:rFonts w:cs="Arial"/>
              </w:rPr>
            </w:pPr>
            <w:r w:rsidRPr="009B0996">
              <w:rPr>
                <w:rFonts w:cs="Arial"/>
              </w:rPr>
              <w:t>409</w:t>
            </w:r>
            <w:r>
              <w:rPr>
                <w:rFonts w:cs="Arial"/>
              </w:rPr>
              <w:t>-</w:t>
            </w:r>
            <w:r w:rsidRPr="009B0996">
              <w:rPr>
                <w:rFonts w:cs="Arial"/>
              </w:rPr>
              <w:t>656</w:t>
            </w:r>
            <w:r>
              <w:rPr>
                <w:rFonts w:cs="Arial"/>
              </w:rPr>
              <w:t>-</w:t>
            </w:r>
            <w:r w:rsidRPr="009B0996">
              <w:rPr>
                <w:rFonts w:cs="Arial"/>
              </w:rPr>
              <w:t>4403</w:t>
            </w:r>
          </w:p>
        </w:tc>
      </w:tr>
      <w:tr w:rsidR="00075A94" w:rsidRPr="00722896" w14:paraId="361BCDEC" w14:textId="77777777">
        <w:trPr>
          <w:trHeight w:val="350"/>
        </w:trPr>
        <w:tc>
          <w:tcPr>
            <w:tcW w:w="2880" w:type="dxa"/>
            <w:gridSpan w:val="2"/>
            <w:tcBorders>
              <w:bottom w:val="single" w:sz="4" w:space="0" w:color="auto"/>
            </w:tcBorders>
            <w:shd w:val="clear" w:color="auto" w:fill="FFFFFF"/>
            <w:vAlign w:val="center"/>
          </w:tcPr>
          <w:p w14:paraId="57DCC0FC" w14:textId="77777777" w:rsidR="00075A94" w:rsidRPr="00722896" w:rsidDel="00075A94" w:rsidRDefault="00075A94" w:rsidP="00EC55B3">
            <w:pPr>
              <w:pStyle w:val="Header"/>
              <w:rPr>
                <w:rFonts w:cs="Arial"/>
              </w:rPr>
            </w:pPr>
            <w:r w:rsidRPr="00722896">
              <w:rPr>
                <w:rFonts w:cs="Arial"/>
              </w:rPr>
              <w:t>Market Segment</w:t>
            </w:r>
          </w:p>
        </w:tc>
        <w:tc>
          <w:tcPr>
            <w:tcW w:w="7560" w:type="dxa"/>
            <w:gridSpan w:val="2"/>
            <w:tcBorders>
              <w:bottom w:val="single" w:sz="4" w:space="0" w:color="auto"/>
            </w:tcBorders>
            <w:vAlign w:val="center"/>
          </w:tcPr>
          <w:p w14:paraId="4AE45EF6" w14:textId="0674ACD6" w:rsidR="00075A94" w:rsidRPr="00722896" w:rsidRDefault="00036C4B">
            <w:pPr>
              <w:pStyle w:val="NormalArial"/>
              <w:rPr>
                <w:rFonts w:cs="Arial"/>
              </w:rPr>
            </w:pPr>
            <w:r>
              <w:rPr>
                <w:rFonts w:cs="Arial"/>
              </w:rPr>
              <w:t>Not applicable</w:t>
            </w:r>
          </w:p>
        </w:tc>
      </w:tr>
    </w:tbl>
    <w:p w14:paraId="1773FACB" w14:textId="77777777" w:rsidR="00075A94" w:rsidRDefault="00075A9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36C4B" w:rsidRPr="00722896" w14:paraId="5B30F4DB" w14:textId="77777777" w:rsidTr="002C5365">
        <w:trPr>
          <w:trHeight w:val="350"/>
        </w:trPr>
        <w:tc>
          <w:tcPr>
            <w:tcW w:w="10440" w:type="dxa"/>
            <w:tcBorders>
              <w:bottom w:val="single" w:sz="4" w:space="0" w:color="auto"/>
            </w:tcBorders>
            <w:shd w:val="clear" w:color="auto" w:fill="FFFFFF"/>
            <w:vAlign w:val="center"/>
          </w:tcPr>
          <w:p w14:paraId="04696AC0" w14:textId="1960C35F" w:rsidR="00036C4B" w:rsidRPr="00722896" w:rsidRDefault="00036C4B" w:rsidP="002C5365">
            <w:pPr>
              <w:pStyle w:val="Header"/>
              <w:jc w:val="center"/>
              <w:rPr>
                <w:rFonts w:cs="Arial"/>
              </w:rPr>
            </w:pPr>
            <w:r>
              <w:rPr>
                <w:rFonts w:cs="Arial"/>
              </w:rPr>
              <w:t>Comments</w:t>
            </w:r>
          </w:p>
        </w:tc>
      </w:tr>
    </w:tbl>
    <w:p w14:paraId="2C469310" w14:textId="77777777" w:rsidR="00BD7258" w:rsidRPr="00722896" w:rsidRDefault="00BD7258" w:rsidP="00BD7258">
      <w:pPr>
        <w:pStyle w:val="NormalArial"/>
        <w:rPr>
          <w:rFonts w:cs="Arial"/>
        </w:rPr>
      </w:pPr>
    </w:p>
    <w:p w14:paraId="654E6B95" w14:textId="6FDBDD14" w:rsidR="00D7044F" w:rsidRPr="00722896" w:rsidRDefault="00D7044F" w:rsidP="00D7044F">
      <w:pPr>
        <w:spacing w:after="240"/>
        <w:rPr>
          <w:rFonts w:ascii="Arial" w:hAnsi="Arial" w:cs="Arial"/>
        </w:rPr>
      </w:pPr>
      <w:r w:rsidRPr="00722896">
        <w:rPr>
          <w:rFonts w:ascii="Arial" w:hAnsi="Arial" w:cs="Arial"/>
        </w:rPr>
        <w:t xml:space="preserve">We appreciate the opportunity to comment on </w:t>
      </w:r>
      <w:r w:rsidR="00036C4B">
        <w:rPr>
          <w:rFonts w:ascii="Arial" w:hAnsi="Arial" w:cs="Arial"/>
        </w:rPr>
        <w:t>Nodal Protocol Revision Request (</w:t>
      </w:r>
      <w:r w:rsidRPr="00722896">
        <w:rPr>
          <w:rFonts w:ascii="Arial" w:hAnsi="Arial" w:cs="Arial"/>
        </w:rPr>
        <w:t>NPRR</w:t>
      </w:r>
      <w:r w:rsidR="00036C4B">
        <w:rPr>
          <w:rFonts w:ascii="Arial" w:hAnsi="Arial" w:cs="Arial"/>
        </w:rPr>
        <w:t>)</w:t>
      </w:r>
      <w:r w:rsidRPr="00722896">
        <w:rPr>
          <w:rFonts w:ascii="Arial" w:hAnsi="Arial" w:cs="Arial"/>
        </w:rPr>
        <w:t xml:space="preserve"> 1296, which would establish an ERCOT administrated </w:t>
      </w:r>
      <w:r w:rsidR="00036C4B">
        <w:rPr>
          <w:rFonts w:ascii="Arial" w:hAnsi="Arial" w:cs="Arial"/>
        </w:rPr>
        <w:t>d</w:t>
      </w:r>
      <w:r w:rsidRPr="00722896">
        <w:rPr>
          <w:rFonts w:ascii="Arial" w:hAnsi="Arial" w:cs="Arial"/>
        </w:rPr>
        <w:t xml:space="preserve">emand response program for residential consumers. The current proposal for NPRR1296 would compensate participants for reducing their </w:t>
      </w:r>
      <w:r w:rsidR="00036C4B">
        <w:rPr>
          <w:rFonts w:ascii="Arial" w:hAnsi="Arial" w:cs="Arial"/>
        </w:rPr>
        <w:t>D</w:t>
      </w:r>
      <w:r w:rsidRPr="00722896">
        <w:rPr>
          <w:rFonts w:ascii="Arial" w:hAnsi="Arial" w:cs="Arial"/>
        </w:rPr>
        <w:t xml:space="preserve">emand during a set number of peak </w:t>
      </w:r>
      <w:r w:rsidR="00036C4B">
        <w:rPr>
          <w:rFonts w:ascii="Arial" w:hAnsi="Arial" w:cs="Arial"/>
        </w:rPr>
        <w:t>n</w:t>
      </w:r>
      <w:r w:rsidRPr="00722896">
        <w:rPr>
          <w:rFonts w:ascii="Arial" w:hAnsi="Arial" w:cs="Arial"/>
        </w:rPr>
        <w:t xml:space="preserve">et </w:t>
      </w:r>
      <w:r w:rsidR="00036C4B">
        <w:rPr>
          <w:rFonts w:ascii="Arial" w:hAnsi="Arial" w:cs="Arial"/>
        </w:rPr>
        <w:t>l</w:t>
      </w:r>
      <w:r w:rsidRPr="00722896">
        <w:rPr>
          <w:rFonts w:ascii="Arial" w:hAnsi="Arial" w:cs="Arial"/>
        </w:rPr>
        <w:t>oad intervals per season. We oppose this program and recommend that stakeholders reject it.</w:t>
      </w:r>
      <w:r w:rsidRPr="003349E8">
        <w:rPr>
          <w:rFonts w:ascii="Arial" w:hAnsi="Arial" w:cs="Arial"/>
          <w:b/>
          <w:bCs/>
        </w:rPr>
        <w:t xml:space="preserve"> </w:t>
      </w:r>
      <w:r w:rsidRPr="00722896">
        <w:rPr>
          <w:rFonts w:ascii="Arial" w:hAnsi="Arial" w:cs="Arial"/>
        </w:rPr>
        <w:t>We first summarize our key concerns, then provide detailed explanations and supporting analysis for each.</w:t>
      </w:r>
    </w:p>
    <w:p w14:paraId="0C822865" w14:textId="77777777" w:rsidR="00D7044F" w:rsidRPr="00722896" w:rsidRDefault="00D7044F" w:rsidP="00D7044F">
      <w:pPr>
        <w:spacing w:after="120"/>
        <w:rPr>
          <w:rFonts w:ascii="Arial" w:hAnsi="Arial" w:cs="Arial"/>
          <w:b/>
          <w:bCs/>
        </w:rPr>
      </w:pPr>
      <w:r w:rsidRPr="00722896">
        <w:rPr>
          <w:rFonts w:ascii="Arial" w:hAnsi="Arial" w:cs="Arial"/>
          <w:b/>
          <w:bCs/>
        </w:rPr>
        <w:t>Main Points</w:t>
      </w:r>
    </w:p>
    <w:p w14:paraId="050F1F63" w14:textId="228AE4C6" w:rsidR="00D7044F" w:rsidRPr="003349E8" w:rsidRDefault="00D7044F" w:rsidP="003349E8">
      <w:pPr>
        <w:pStyle w:val="ListParagraph"/>
        <w:numPr>
          <w:ilvl w:val="0"/>
          <w:numId w:val="4"/>
        </w:numPr>
        <w:spacing w:line="240" w:lineRule="auto"/>
        <w:rPr>
          <w:rFonts w:ascii="Arial" w:hAnsi="Arial" w:cs="Arial"/>
        </w:rPr>
      </w:pPr>
      <w:r w:rsidRPr="00722896">
        <w:rPr>
          <w:rFonts w:ascii="Arial" w:hAnsi="Arial" w:cs="Arial"/>
        </w:rPr>
        <w:t xml:space="preserve">This program compensates participants without reference to the market value of their demand reductions, creating payments that do not reflect the true contribution of the response to reliability or price formation. </w:t>
      </w:r>
      <w:r w:rsidRPr="003349E8">
        <w:rPr>
          <w:rFonts w:ascii="Arial" w:hAnsi="Arial" w:cs="Arial"/>
        </w:rPr>
        <w:t xml:space="preserve">The </w:t>
      </w:r>
      <w:r w:rsidR="00F30073">
        <w:rPr>
          <w:rFonts w:ascii="Arial" w:hAnsi="Arial" w:cs="Arial"/>
        </w:rPr>
        <w:t>administratively</w:t>
      </w:r>
      <w:r w:rsidRPr="003349E8">
        <w:rPr>
          <w:rFonts w:ascii="Arial" w:hAnsi="Arial" w:cs="Arial"/>
        </w:rPr>
        <w:t xml:space="preserve"> </w:t>
      </w:r>
      <w:r w:rsidR="00F30073">
        <w:rPr>
          <w:rFonts w:ascii="Arial" w:hAnsi="Arial" w:cs="Arial"/>
        </w:rPr>
        <w:t>set</w:t>
      </w:r>
      <w:r w:rsidRPr="003349E8">
        <w:rPr>
          <w:rFonts w:ascii="Arial" w:hAnsi="Arial" w:cs="Arial"/>
        </w:rPr>
        <w:t xml:space="preserve"> cost of this program represents a reduction of revenue from generators across the arguably highest-revenue hours across each season, ultimately undermining resource adequacy. </w:t>
      </w:r>
    </w:p>
    <w:p w14:paraId="365BE6BB" w14:textId="1646D568" w:rsidR="00D7044F" w:rsidRPr="00722896" w:rsidRDefault="00854EBA" w:rsidP="003349E8">
      <w:pPr>
        <w:pStyle w:val="ListParagraph"/>
        <w:numPr>
          <w:ilvl w:val="0"/>
          <w:numId w:val="4"/>
        </w:numPr>
        <w:spacing w:line="240" w:lineRule="auto"/>
        <w:rPr>
          <w:rFonts w:ascii="Arial" w:hAnsi="Arial" w:cs="Arial"/>
        </w:rPr>
      </w:pPr>
      <w:r>
        <w:rPr>
          <w:rFonts w:ascii="Arial" w:hAnsi="Arial" w:cs="Arial"/>
        </w:rPr>
        <w:t xml:space="preserve">Demand reductions are fundamentally about avoiding costs rather than </w:t>
      </w:r>
      <w:r w:rsidR="00C400F7">
        <w:rPr>
          <w:rFonts w:ascii="Arial" w:hAnsi="Arial" w:cs="Arial"/>
        </w:rPr>
        <w:t xml:space="preserve">earning revenue. </w:t>
      </w:r>
      <w:r w:rsidR="00D7044F" w:rsidRPr="00722896">
        <w:rPr>
          <w:rFonts w:ascii="Arial" w:hAnsi="Arial" w:cs="Arial"/>
        </w:rPr>
        <w:t>A scheme for paying for demand reductions necessarily introduces measurement error and gaming opportunities for determining demand response volumes and baseline consumption.</w:t>
      </w:r>
    </w:p>
    <w:p w14:paraId="7EAF7616" w14:textId="574CBA4C" w:rsidR="00D7044F" w:rsidRPr="00722896" w:rsidRDefault="00D7044F" w:rsidP="003349E8">
      <w:pPr>
        <w:pStyle w:val="ListParagraph"/>
        <w:numPr>
          <w:ilvl w:val="0"/>
          <w:numId w:val="4"/>
        </w:numPr>
        <w:spacing w:line="240" w:lineRule="auto"/>
        <w:rPr>
          <w:rFonts w:ascii="Arial" w:hAnsi="Arial" w:cs="Arial"/>
        </w:rPr>
      </w:pPr>
      <w:r w:rsidRPr="00722896">
        <w:rPr>
          <w:rFonts w:ascii="Arial" w:hAnsi="Arial" w:cs="Arial"/>
        </w:rPr>
        <w:t xml:space="preserve">This program </w:t>
      </w:r>
      <w:r w:rsidR="00927A9A">
        <w:rPr>
          <w:rFonts w:ascii="Arial" w:hAnsi="Arial" w:cs="Arial"/>
        </w:rPr>
        <w:t>amounts to</w:t>
      </w:r>
      <w:r w:rsidRPr="00722896">
        <w:rPr>
          <w:rFonts w:ascii="Arial" w:hAnsi="Arial" w:cs="Arial"/>
        </w:rPr>
        <w:t xml:space="preserve"> competition </w:t>
      </w:r>
      <w:r w:rsidR="000F5CC9">
        <w:rPr>
          <w:rFonts w:ascii="Arial" w:hAnsi="Arial" w:cs="Arial"/>
        </w:rPr>
        <w:t>against</w:t>
      </w:r>
      <w:r w:rsidRPr="00722896">
        <w:rPr>
          <w:rFonts w:ascii="Arial" w:hAnsi="Arial" w:cs="Arial"/>
        </w:rPr>
        <w:t xml:space="preserve"> the ADER program, in which distributed resources can respond directly to wholesale market signals. </w:t>
      </w:r>
      <w:r w:rsidR="00CE4E67">
        <w:rPr>
          <w:rFonts w:ascii="Arial" w:hAnsi="Arial" w:cs="Arial"/>
        </w:rPr>
        <w:t>T</w:t>
      </w:r>
      <w:r w:rsidRPr="00722896">
        <w:rPr>
          <w:rFonts w:ascii="Arial" w:hAnsi="Arial" w:cs="Arial"/>
        </w:rPr>
        <w:t xml:space="preserve">he ADER program </w:t>
      </w:r>
      <w:r w:rsidR="00CE4E67">
        <w:rPr>
          <w:rFonts w:ascii="Arial" w:hAnsi="Arial" w:cs="Arial"/>
        </w:rPr>
        <w:t xml:space="preserve">may </w:t>
      </w:r>
      <w:r w:rsidRPr="00722896">
        <w:rPr>
          <w:rFonts w:ascii="Arial" w:hAnsi="Arial" w:cs="Arial"/>
        </w:rPr>
        <w:t>face technical challenges to upgrade it from its current pilot phase to a fully incorporated market tool</w:t>
      </w:r>
      <w:r w:rsidR="007A52EB">
        <w:rPr>
          <w:rFonts w:ascii="Arial" w:hAnsi="Arial" w:cs="Arial"/>
        </w:rPr>
        <w:t>.</w:t>
      </w:r>
      <w:r w:rsidRPr="00722896">
        <w:rPr>
          <w:rFonts w:ascii="Arial" w:hAnsi="Arial" w:cs="Arial"/>
        </w:rPr>
        <w:t xml:space="preserve"> </w:t>
      </w:r>
      <w:r w:rsidR="007A52EB">
        <w:rPr>
          <w:rFonts w:ascii="Arial" w:hAnsi="Arial" w:cs="Arial"/>
        </w:rPr>
        <w:t>W</w:t>
      </w:r>
      <w:r w:rsidRPr="00722896">
        <w:rPr>
          <w:rFonts w:ascii="Arial" w:hAnsi="Arial" w:cs="Arial"/>
        </w:rPr>
        <w:t>e expect that the resources that will be sunk into the RDR program will discourage ERCOT from making the necessary improvements and investments to expand the ADER program.</w:t>
      </w:r>
    </w:p>
    <w:p w14:paraId="66DED545" w14:textId="0173AB18" w:rsidR="00D7044F" w:rsidRPr="003349E8" w:rsidRDefault="00D7044F" w:rsidP="003349E8">
      <w:pPr>
        <w:keepNext/>
        <w:spacing w:after="160"/>
        <w:rPr>
          <w:rFonts w:ascii="Arial" w:hAnsi="Arial" w:cs="Arial"/>
          <w:b/>
          <w:bCs/>
        </w:rPr>
      </w:pPr>
      <w:r w:rsidRPr="00722896">
        <w:rPr>
          <w:rFonts w:ascii="Arial" w:hAnsi="Arial" w:cs="Arial"/>
          <w:b/>
          <w:bCs/>
        </w:rPr>
        <w:lastRenderedPageBreak/>
        <w:t>Further Explanation</w:t>
      </w:r>
    </w:p>
    <w:p w14:paraId="0DA8B6D9" w14:textId="77777777" w:rsidR="00D7044F" w:rsidRPr="00722896" w:rsidRDefault="00D7044F" w:rsidP="003349E8">
      <w:pPr>
        <w:pStyle w:val="ListParagraph"/>
        <w:numPr>
          <w:ilvl w:val="0"/>
          <w:numId w:val="5"/>
        </w:numPr>
        <w:contextualSpacing w:val="0"/>
        <w:rPr>
          <w:rFonts w:ascii="Arial" w:hAnsi="Arial" w:cs="Arial"/>
          <w:b/>
          <w:bCs/>
        </w:rPr>
      </w:pPr>
      <w:r w:rsidRPr="00722896">
        <w:rPr>
          <w:rFonts w:ascii="Arial" w:hAnsi="Arial" w:cs="Arial"/>
          <w:b/>
          <w:bCs/>
        </w:rPr>
        <w:t>RDR compensation is decoupled from market prices and reliability.</w:t>
      </w:r>
    </w:p>
    <w:p w14:paraId="10EE2447" w14:textId="1CC38B85" w:rsidR="003E788F" w:rsidRDefault="00D7044F" w:rsidP="003349E8">
      <w:pPr>
        <w:pStyle w:val="ListParagraph"/>
        <w:spacing w:line="240" w:lineRule="auto"/>
        <w:ind w:left="0"/>
        <w:contextualSpacing w:val="0"/>
        <w:rPr>
          <w:rFonts w:ascii="Arial" w:hAnsi="Arial" w:cs="Arial"/>
        </w:rPr>
      </w:pPr>
      <w:r w:rsidRPr="00722896">
        <w:rPr>
          <w:rFonts w:ascii="Arial" w:hAnsi="Arial" w:cs="Arial"/>
        </w:rPr>
        <w:t>Peak net demand does not necessarily correspond to elevated energy prices, particularly in seasons that do not experience particularly tight system conditions. Compensating demand response according to CONE in the absence of elevated wholesale prices results in over-charging the load base through uplift while reducing revenue to generators by uneconomically reducing load and/or prices. The long-term effect of such a revenue reduction undermines resource adequacy</w:t>
      </w:r>
      <w:r w:rsidR="00A24F79">
        <w:rPr>
          <w:rFonts w:ascii="Arial" w:hAnsi="Arial" w:cs="Arial"/>
        </w:rPr>
        <w:t>.</w:t>
      </w:r>
    </w:p>
    <w:p w14:paraId="27068243" w14:textId="70C8C978" w:rsidR="006F4D76" w:rsidRDefault="00D7044F">
      <w:pPr>
        <w:pStyle w:val="ListParagraph"/>
        <w:spacing w:line="240" w:lineRule="auto"/>
        <w:ind w:left="0"/>
        <w:contextualSpacing w:val="0"/>
        <w:rPr>
          <w:rFonts w:ascii="Arial" w:hAnsi="Arial" w:cs="Arial"/>
        </w:rPr>
      </w:pPr>
      <w:r w:rsidRPr="00722896">
        <w:rPr>
          <w:rFonts w:ascii="Arial" w:hAnsi="Arial" w:cs="Arial"/>
        </w:rPr>
        <w:t>Basing the program’s budget and compensation on CONE is unjustified, as CONE relates to generation investment and long-term resource adequacy, not to valuing demand response</w:t>
      </w:r>
      <w:r w:rsidR="00AF43E9">
        <w:rPr>
          <w:rFonts w:ascii="Arial" w:hAnsi="Arial" w:cs="Arial"/>
        </w:rPr>
        <w:t xml:space="preserve"> during seasonal net demand peaks that may be well below the</w:t>
      </w:r>
      <w:r w:rsidR="00E423B0">
        <w:rPr>
          <w:rFonts w:ascii="Arial" w:hAnsi="Arial" w:cs="Arial"/>
        </w:rPr>
        <w:t xml:space="preserve"> existing</w:t>
      </w:r>
      <w:r w:rsidR="00AF43E9">
        <w:rPr>
          <w:rFonts w:ascii="Arial" w:hAnsi="Arial" w:cs="Arial"/>
        </w:rPr>
        <w:t xml:space="preserve"> </w:t>
      </w:r>
      <w:r w:rsidR="00DD74D5">
        <w:rPr>
          <w:rFonts w:ascii="Arial" w:hAnsi="Arial" w:cs="Arial"/>
        </w:rPr>
        <w:t>load serving capacity of the system</w:t>
      </w:r>
      <w:r w:rsidRPr="00722896">
        <w:rPr>
          <w:rFonts w:ascii="Arial" w:hAnsi="Arial" w:cs="Arial"/>
        </w:rPr>
        <w:t>. Although both concepts aim to support reliability, there is no meaningful link that would justify using CONE as the foundation for this program’s design.</w:t>
      </w:r>
      <w:r w:rsidR="00CF4AB4">
        <w:rPr>
          <w:rFonts w:ascii="Arial" w:hAnsi="Arial" w:cs="Arial"/>
        </w:rPr>
        <w:t xml:space="preserve"> </w:t>
      </w:r>
    </w:p>
    <w:p w14:paraId="6F2CF61F" w14:textId="048B57A1" w:rsidR="00265E89" w:rsidRDefault="00265E89" w:rsidP="00265E89">
      <w:pPr>
        <w:pStyle w:val="NormalArial"/>
        <w:spacing w:after="160"/>
      </w:pPr>
      <w:r>
        <w:t xml:space="preserve">We appreciate </w:t>
      </w:r>
      <w:proofErr w:type="spellStart"/>
      <w:r>
        <w:t>Reliant’s</w:t>
      </w:r>
      <w:proofErr w:type="spellEnd"/>
      <w:r>
        <w:t xml:space="preserve"> suggestion that the price formation impacts of this program could be muted through the RDPA in the same fashion as with ERS deployments. This workaround isn’t likely to be effective</w:t>
      </w:r>
      <w:r w:rsidR="00545AFE">
        <w:t>,</w:t>
      </w:r>
      <w:r>
        <w:t xml:space="preserve"> because the volume of residential demand response isn’t known in real time</w:t>
      </w:r>
      <w:r w:rsidR="00E45CF4">
        <w:t>,</w:t>
      </w:r>
      <w:r>
        <w:t xml:space="preserve"> and the intervals over which demand response would be compensated through this program are only known at the end of the season once the peak net demand intervals have been identified. </w:t>
      </w:r>
    </w:p>
    <w:p w14:paraId="3693BC69" w14:textId="52AD88CD" w:rsidR="00265E89" w:rsidRPr="003349E8" w:rsidRDefault="00265E89" w:rsidP="003349E8">
      <w:pPr>
        <w:pStyle w:val="ListParagraph"/>
        <w:spacing w:line="240" w:lineRule="auto"/>
        <w:ind w:left="0"/>
        <w:contextualSpacing w:val="0"/>
        <w:rPr>
          <w:rFonts w:ascii="Arial" w:eastAsia="Times New Roman" w:hAnsi="Arial"/>
          <w:kern w:val="0"/>
        </w:rPr>
      </w:pPr>
      <w:r w:rsidRPr="003349E8">
        <w:rPr>
          <w:rFonts w:ascii="Arial" w:eastAsia="Times New Roman" w:hAnsi="Arial"/>
          <w:kern w:val="0"/>
        </w:rPr>
        <w:t>ERS deployments, by contrast, are initiated by ERCOT operators during EEAs and are then accounted for in the reliability pricing run of SCED in a consistent, formulaic manner. Even granting that distinction, the remediation of the impact of ERS deployments on price formation through the RDPA is imperfect at best, and straightforward improvements to that methodology such as NPRR1006</w:t>
      </w:r>
      <w:r w:rsidR="00036C4B">
        <w:rPr>
          <w:rFonts w:ascii="Arial" w:eastAsia="Times New Roman" w:hAnsi="Arial"/>
          <w:kern w:val="0"/>
        </w:rPr>
        <w:t xml:space="preserve">, </w:t>
      </w:r>
      <w:r w:rsidR="00036C4B" w:rsidRPr="00036C4B">
        <w:rPr>
          <w:rFonts w:ascii="Arial" w:eastAsia="Times New Roman" w:hAnsi="Arial"/>
          <w:kern w:val="0"/>
        </w:rPr>
        <w:t>Update Real-Time On-Line Reliability Deployment Price Adder Inputs to Match Actual Data</w:t>
      </w:r>
      <w:r w:rsidR="00036C4B">
        <w:rPr>
          <w:rFonts w:ascii="Arial" w:eastAsia="Times New Roman" w:hAnsi="Arial"/>
          <w:kern w:val="0"/>
        </w:rPr>
        <w:t>,</w:t>
      </w:r>
      <w:r w:rsidRPr="003349E8">
        <w:rPr>
          <w:rFonts w:ascii="Arial" w:eastAsia="Times New Roman" w:hAnsi="Arial"/>
          <w:kern w:val="0"/>
        </w:rPr>
        <w:t xml:space="preserve"> have been long delayed in their implementation. Thus, we are skeptical that the RDPA could effectively overcome the price formation impacts of this out of market demand response program.</w:t>
      </w:r>
    </w:p>
    <w:p w14:paraId="4AECC746" w14:textId="1D97C82D" w:rsidR="00012B96" w:rsidRPr="0002097F" w:rsidRDefault="001B0D4E" w:rsidP="003349E8">
      <w:pPr>
        <w:pStyle w:val="ListParagraph"/>
        <w:numPr>
          <w:ilvl w:val="0"/>
          <w:numId w:val="5"/>
        </w:numPr>
        <w:contextualSpacing w:val="0"/>
      </w:pPr>
      <w:r>
        <w:rPr>
          <w:rFonts w:ascii="Arial" w:hAnsi="Arial" w:cs="Arial"/>
          <w:b/>
          <w:bCs/>
        </w:rPr>
        <w:t>Treating d</w:t>
      </w:r>
      <w:r w:rsidR="00C400F7" w:rsidRPr="003349E8">
        <w:rPr>
          <w:rFonts w:ascii="Arial" w:hAnsi="Arial" w:cs="Arial"/>
          <w:b/>
          <w:bCs/>
        </w:rPr>
        <w:t xml:space="preserve">emand reductions </w:t>
      </w:r>
      <w:r>
        <w:rPr>
          <w:rFonts w:ascii="Arial" w:hAnsi="Arial" w:cs="Arial"/>
          <w:b/>
          <w:bCs/>
        </w:rPr>
        <w:t xml:space="preserve">differently through </w:t>
      </w:r>
      <w:r w:rsidR="00BF7695">
        <w:rPr>
          <w:rFonts w:ascii="Arial" w:hAnsi="Arial" w:cs="Arial"/>
          <w:b/>
          <w:bCs/>
        </w:rPr>
        <w:t>above market payments is fundamentally flawed</w:t>
      </w:r>
      <w:r w:rsidR="00C400F7" w:rsidRPr="003349E8">
        <w:rPr>
          <w:rFonts w:ascii="Arial" w:hAnsi="Arial" w:cs="Arial"/>
          <w:b/>
          <w:bCs/>
        </w:rPr>
        <w:t xml:space="preserve">. </w:t>
      </w:r>
    </w:p>
    <w:p w14:paraId="714712B7" w14:textId="1D91A312" w:rsidR="00E6726F" w:rsidRPr="003349E8" w:rsidRDefault="00ED3E98" w:rsidP="003349E8">
      <w:pPr>
        <w:spacing w:after="160"/>
        <w:rPr>
          <w:rFonts w:ascii="Arial" w:hAnsi="Arial" w:cs="Arial"/>
        </w:rPr>
      </w:pPr>
      <w:r>
        <w:rPr>
          <w:rFonts w:ascii="Arial" w:hAnsi="Arial" w:cs="Arial"/>
        </w:rPr>
        <w:t>Demand reduction is inherently</w:t>
      </w:r>
      <w:r w:rsidR="00FB3C95">
        <w:rPr>
          <w:rFonts w:ascii="Arial" w:hAnsi="Arial" w:cs="Arial"/>
        </w:rPr>
        <w:t xml:space="preserve"> about</w:t>
      </w:r>
      <w:r>
        <w:rPr>
          <w:rFonts w:ascii="Arial" w:hAnsi="Arial" w:cs="Arial"/>
        </w:rPr>
        <w:t xml:space="preserve"> </w:t>
      </w:r>
      <w:r w:rsidR="00185DBF">
        <w:rPr>
          <w:rFonts w:ascii="Arial" w:hAnsi="Arial" w:cs="Arial"/>
        </w:rPr>
        <w:t xml:space="preserve">cost avoidance. While the trigger price for avoiding cost varies across demand sources, </w:t>
      </w:r>
      <w:r w:rsidR="00C51947">
        <w:rPr>
          <w:rFonts w:ascii="Arial" w:hAnsi="Arial" w:cs="Arial"/>
        </w:rPr>
        <w:t>it is ultimately a financial decision to reduce consumption to avoid cost</w:t>
      </w:r>
      <w:r w:rsidR="00185DBF">
        <w:rPr>
          <w:rFonts w:ascii="Arial" w:hAnsi="Arial" w:cs="Arial"/>
        </w:rPr>
        <w:t xml:space="preserve">. </w:t>
      </w:r>
      <w:r w:rsidR="00C51947">
        <w:rPr>
          <w:rFonts w:ascii="Arial" w:hAnsi="Arial" w:cs="Arial"/>
        </w:rPr>
        <w:t>The cost avoidance is the compensation</w:t>
      </w:r>
      <w:r w:rsidR="000B180F">
        <w:rPr>
          <w:rFonts w:ascii="Arial" w:hAnsi="Arial" w:cs="Arial"/>
        </w:rPr>
        <w:t xml:space="preserve"> </w:t>
      </w:r>
      <w:r w:rsidR="00C51947">
        <w:rPr>
          <w:rFonts w:ascii="Arial" w:hAnsi="Arial" w:cs="Arial"/>
        </w:rPr>
        <w:t xml:space="preserve">for </w:t>
      </w:r>
      <w:r w:rsidR="000B180F">
        <w:rPr>
          <w:rFonts w:ascii="Arial" w:hAnsi="Arial" w:cs="Arial"/>
        </w:rPr>
        <w:t xml:space="preserve">the </w:t>
      </w:r>
      <w:r w:rsidR="00C51947">
        <w:rPr>
          <w:rFonts w:ascii="Arial" w:hAnsi="Arial" w:cs="Arial"/>
        </w:rPr>
        <w:t>reduction</w:t>
      </w:r>
      <w:r w:rsidR="000F1CE9">
        <w:rPr>
          <w:rFonts w:ascii="Arial" w:hAnsi="Arial" w:cs="Arial"/>
        </w:rPr>
        <w:t xml:space="preserve"> and there is no need to pay for demand reduction beyond the avoided cost. </w:t>
      </w:r>
      <w:r w:rsidR="00007423" w:rsidRPr="00007423">
        <w:rPr>
          <w:rFonts w:ascii="Arial" w:hAnsi="Arial" w:cs="Arial"/>
        </w:rPr>
        <w:t xml:space="preserve">Paying for demand reductions </w:t>
      </w:r>
      <w:r w:rsidR="000613B2" w:rsidRPr="00BF7695">
        <w:rPr>
          <w:rFonts w:ascii="Arial" w:hAnsi="Arial" w:cs="Arial"/>
        </w:rPr>
        <w:t>separately and differently than energy production</w:t>
      </w:r>
      <w:r w:rsidR="000613B2">
        <w:rPr>
          <w:rFonts w:ascii="Arial" w:hAnsi="Arial" w:cs="Arial"/>
        </w:rPr>
        <w:t xml:space="preserve"> </w:t>
      </w:r>
      <w:r w:rsidR="00007423" w:rsidRPr="00007423">
        <w:rPr>
          <w:rFonts w:ascii="Arial" w:hAnsi="Arial" w:cs="Arial"/>
        </w:rPr>
        <w:t>is a fundamentally flawed premise</w:t>
      </w:r>
      <w:r w:rsidR="00BF7695">
        <w:rPr>
          <w:rFonts w:ascii="Arial" w:hAnsi="Arial" w:cs="Arial"/>
        </w:rPr>
        <w:t>.</w:t>
      </w:r>
      <w:r w:rsidR="005A00D0">
        <w:rPr>
          <w:rFonts w:ascii="Arial" w:hAnsi="Arial" w:cs="Arial"/>
        </w:rPr>
        <w:t xml:space="preserve"> </w:t>
      </w:r>
      <w:r w:rsidR="00007423" w:rsidRPr="00007423">
        <w:rPr>
          <w:rFonts w:ascii="Arial" w:hAnsi="Arial" w:cs="Arial"/>
        </w:rPr>
        <w:t>This approach mirrors problems seen in FERC-regulated load response programs, where payments for estimated reductions have led to overcompensation, inaccurate baselines, and distorted price signals.</w:t>
      </w:r>
      <w:r w:rsidR="007F25BB">
        <w:rPr>
          <w:rFonts w:ascii="Arial" w:hAnsi="Arial" w:cs="Arial"/>
        </w:rPr>
        <w:t xml:space="preserve"> Instead, a</w:t>
      </w:r>
      <w:r w:rsidR="00E6726F" w:rsidRPr="003349E8">
        <w:rPr>
          <w:rFonts w:ascii="Arial" w:hAnsi="Arial" w:cs="Arial"/>
        </w:rPr>
        <w:t xml:space="preserve"> well-designed wholesale market for electricity will incentivize Load Serving Entities and their consumers to reduce their demand to reduce their exposure to elevated energy costs</w:t>
      </w:r>
      <w:r w:rsidR="0064246A">
        <w:rPr>
          <w:rFonts w:ascii="Arial" w:hAnsi="Arial" w:cs="Arial"/>
        </w:rPr>
        <w:t xml:space="preserve"> </w:t>
      </w:r>
      <w:r w:rsidR="007228A8">
        <w:rPr>
          <w:rFonts w:ascii="Arial" w:hAnsi="Arial" w:cs="Arial"/>
        </w:rPr>
        <w:lastRenderedPageBreak/>
        <w:t>that result from</w:t>
      </w:r>
      <w:r w:rsidR="0064246A">
        <w:rPr>
          <w:rFonts w:ascii="Arial" w:hAnsi="Arial" w:cs="Arial"/>
        </w:rPr>
        <w:t xml:space="preserve"> higher prices in</w:t>
      </w:r>
      <w:r w:rsidR="007228A8">
        <w:rPr>
          <w:rFonts w:ascii="Arial" w:hAnsi="Arial" w:cs="Arial"/>
        </w:rPr>
        <w:t xml:space="preserve"> the energy market. </w:t>
      </w:r>
      <w:r w:rsidR="00E6726F" w:rsidRPr="003349E8">
        <w:rPr>
          <w:rFonts w:ascii="Arial" w:hAnsi="Arial" w:cs="Arial"/>
        </w:rPr>
        <w:t xml:space="preserve">ERCOT’s market is already </w:t>
      </w:r>
      <w:proofErr w:type="gramStart"/>
      <w:r w:rsidR="00E6726F" w:rsidRPr="003349E8">
        <w:rPr>
          <w:rFonts w:ascii="Arial" w:hAnsi="Arial" w:cs="Arial"/>
        </w:rPr>
        <w:t>well-suited</w:t>
      </w:r>
      <w:proofErr w:type="gramEnd"/>
      <w:r w:rsidR="00E6726F" w:rsidRPr="003349E8">
        <w:rPr>
          <w:rFonts w:ascii="Arial" w:hAnsi="Arial" w:cs="Arial"/>
        </w:rPr>
        <w:t xml:space="preserve"> to this kind of price response. </w:t>
      </w:r>
    </w:p>
    <w:p w14:paraId="4EA5F436" w14:textId="1668C5A5" w:rsidR="00E6726F" w:rsidRPr="003349E8" w:rsidRDefault="00E6726F" w:rsidP="003349E8">
      <w:pPr>
        <w:spacing w:after="160"/>
        <w:rPr>
          <w:rFonts w:ascii="Arial" w:hAnsi="Arial" w:cs="Arial"/>
        </w:rPr>
      </w:pPr>
      <w:r w:rsidRPr="003349E8">
        <w:rPr>
          <w:rFonts w:ascii="Arial" w:hAnsi="Arial" w:cs="Arial"/>
        </w:rPr>
        <w:t>Compensating consumers for demand reductions promotes two problematic outcomes. First, it incentivizes load reductions at a lower price level than</w:t>
      </w:r>
      <w:r w:rsidR="008B04F5">
        <w:rPr>
          <w:rFonts w:ascii="Arial" w:hAnsi="Arial" w:cs="Arial"/>
        </w:rPr>
        <w:t xml:space="preserve"> what</w:t>
      </w:r>
      <w:r w:rsidRPr="003349E8">
        <w:rPr>
          <w:rFonts w:ascii="Arial" w:hAnsi="Arial" w:cs="Arial"/>
        </w:rPr>
        <w:t xml:space="preserve"> would be strictly economical based on the customer’s VOLL. </w:t>
      </w:r>
      <w:r w:rsidR="00846EB6" w:rsidRPr="00846EB6">
        <w:rPr>
          <w:rFonts w:ascii="Arial" w:hAnsi="Arial" w:cs="Arial"/>
        </w:rPr>
        <w:t xml:space="preserve">Second, demand reductions are measured against a counterfactual baseline, which introduces significant uncertainty. It is difficult to know what a customer’s load would have been without the program, making the calculated reductions prone to error. This structure also invites </w:t>
      </w:r>
      <w:r w:rsidR="008D2916">
        <w:rPr>
          <w:rFonts w:ascii="Arial" w:hAnsi="Arial" w:cs="Arial"/>
        </w:rPr>
        <w:t>manipulation</w:t>
      </w:r>
      <w:r w:rsidR="00846EB6" w:rsidRPr="00846EB6">
        <w:rPr>
          <w:rFonts w:ascii="Arial" w:hAnsi="Arial" w:cs="Arial"/>
        </w:rPr>
        <w:t>, as participants can inflate their baselines to exaggerate the size of their demand response and increase compensation.</w:t>
      </w:r>
    </w:p>
    <w:p w14:paraId="51B37DDC" w14:textId="56D4601E" w:rsidR="00C400F7" w:rsidRPr="003349E8" w:rsidRDefault="00726A16" w:rsidP="003349E8">
      <w:pPr>
        <w:pStyle w:val="ListParagraph"/>
        <w:numPr>
          <w:ilvl w:val="0"/>
          <w:numId w:val="5"/>
        </w:numPr>
        <w:rPr>
          <w:rFonts w:ascii="Arial" w:hAnsi="Arial" w:cs="Arial"/>
          <w:b/>
          <w:bCs/>
        </w:rPr>
      </w:pPr>
      <w:r w:rsidRPr="003349E8">
        <w:rPr>
          <w:rFonts w:ascii="Arial" w:hAnsi="Arial" w:cs="Arial"/>
          <w:b/>
          <w:bCs/>
        </w:rPr>
        <w:t xml:space="preserve">The RDR program will </w:t>
      </w:r>
      <w:r w:rsidR="00507D4E" w:rsidRPr="003349E8">
        <w:rPr>
          <w:rFonts w:ascii="Arial" w:hAnsi="Arial" w:cs="Arial"/>
          <w:b/>
          <w:bCs/>
        </w:rPr>
        <w:t>out</w:t>
      </w:r>
      <w:r w:rsidRPr="003349E8">
        <w:rPr>
          <w:rFonts w:ascii="Arial" w:hAnsi="Arial" w:cs="Arial"/>
          <w:b/>
          <w:bCs/>
        </w:rPr>
        <w:t xml:space="preserve">compete the </w:t>
      </w:r>
      <w:r w:rsidR="00507D4E" w:rsidRPr="003349E8">
        <w:rPr>
          <w:rFonts w:ascii="Arial" w:hAnsi="Arial" w:cs="Arial"/>
          <w:b/>
          <w:bCs/>
        </w:rPr>
        <w:t>ADER Pilot Program</w:t>
      </w:r>
    </w:p>
    <w:p w14:paraId="4F968DAA" w14:textId="796D2597" w:rsidR="00E6726F" w:rsidRDefault="001D2F7D">
      <w:pPr>
        <w:rPr>
          <w:rFonts w:ascii="Arial" w:hAnsi="Arial" w:cs="Arial"/>
        </w:rPr>
      </w:pPr>
      <w:r w:rsidRPr="003349E8">
        <w:rPr>
          <w:rFonts w:ascii="Arial" w:hAnsi="Arial" w:cs="Arial"/>
        </w:rPr>
        <w:t xml:space="preserve">The ADER </w:t>
      </w:r>
      <w:r w:rsidR="00285B18">
        <w:rPr>
          <w:rFonts w:ascii="Arial" w:hAnsi="Arial" w:cs="Arial"/>
        </w:rPr>
        <w:t xml:space="preserve">pilot </w:t>
      </w:r>
      <w:r w:rsidRPr="003349E8">
        <w:rPr>
          <w:rFonts w:ascii="Arial" w:hAnsi="Arial" w:cs="Arial"/>
        </w:rPr>
        <w:t xml:space="preserve">program allows DERs to participate directly in the wholesale market </w:t>
      </w:r>
      <w:proofErr w:type="gramStart"/>
      <w:r w:rsidRPr="003349E8">
        <w:rPr>
          <w:rFonts w:ascii="Arial" w:hAnsi="Arial" w:cs="Arial"/>
        </w:rPr>
        <w:t>as</w:t>
      </w:r>
      <w:proofErr w:type="gramEnd"/>
      <w:r w:rsidRPr="003349E8">
        <w:rPr>
          <w:rFonts w:ascii="Arial" w:hAnsi="Arial" w:cs="Arial"/>
        </w:rPr>
        <w:t xml:space="preserve"> ALRs in SCED</w:t>
      </w:r>
      <w:r w:rsidR="00097D90">
        <w:rPr>
          <w:rFonts w:ascii="Arial" w:hAnsi="Arial" w:cs="Arial"/>
        </w:rPr>
        <w:t xml:space="preserve">, </w:t>
      </w:r>
      <w:r w:rsidR="00097D90" w:rsidRPr="00097D90">
        <w:rPr>
          <w:rFonts w:ascii="Arial" w:hAnsi="Arial" w:cs="Arial"/>
        </w:rPr>
        <w:t>making it a market-based mechanism that aligns participation and compensation with established market design principles.</w:t>
      </w:r>
      <w:r w:rsidR="00CE1651">
        <w:rPr>
          <w:rFonts w:ascii="Arial" w:hAnsi="Arial" w:cs="Arial"/>
        </w:rPr>
        <w:t xml:space="preserve"> Unfortunately, the</w:t>
      </w:r>
      <w:r w:rsidR="00097D90" w:rsidRPr="00C82AB2">
        <w:rPr>
          <w:rFonts w:ascii="Arial" w:hAnsi="Arial" w:cs="Arial"/>
        </w:rPr>
        <w:t xml:space="preserve"> proposed design of the RDR program offers an outsized revenue opportunity for current and potential participants of the ADER </w:t>
      </w:r>
      <w:r w:rsidR="00285B18">
        <w:rPr>
          <w:rFonts w:ascii="Arial" w:hAnsi="Arial" w:cs="Arial"/>
        </w:rPr>
        <w:t>p</w:t>
      </w:r>
      <w:r w:rsidR="00097D90" w:rsidRPr="00C82AB2">
        <w:rPr>
          <w:rFonts w:ascii="Arial" w:hAnsi="Arial" w:cs="Arial"/>
        </w:rPr>
        <w:t>rogram</w:t>
      </w:r>
      <w:r w:rsidR="00CE1651">
        <w:rPr>
          <w:rFonts w:ascii="Arial" w:hAnsi="Arial" w:cs="Arial"/>
        </w:rPr>
        <w:t xml:space="preserve">, which is going to </w:t>
      </w:r>
      <w:r w:rsidR="00E6726F" w:rsidRPr="003349E8">
        <w:rPr>
          <w:rFonts w:ascii="Arial" w:hAnsi="Arial" w:cs="Arial"/>
        </w:rPr>
        <w:t xml:space="preserve">discourage participation in ADER and </w:t>
      </w:r>
      <w:r w:rsidR="0049078B">
        <w:rPr>
          <w:rFonts w:ascii="Arial" w:hAnsi="Arial" w:cs="Arial"/>
        </w:rPr>
        <w:t xml:space="preserve">stall necessary </w:t>
      </w:r>
      <w:r w:rsidR="00E6726F" w:rsidRPr="003349E8">
        <w:rPr>
          <w:rFonts w:ascii="Arial" w:hAnsi="Arial" w:cs="Arial"/>
        </w:rPr>
        <w:t>investment</w:t>
      </w:r>
      <w:r w:rsidR="0049078B">
        <w:rPr>
          <w:rFonts w:ascii="Arial" w:hAnsi="Arial" w:cs="Arial"/>
        </w:rPr>
        <w:t>s</w:t>
      </w:r>
      <w:r w:rsidR="00E6726F" w:rsidRPr="003349E8">
        <w:rPr>
          <w:rFonts w:ascii="Arial" w:hAnsi="Arial" w:cs="Arial"/>
        </w:rPr>
        <w:t xml:space="preserve"> to expand the ADER program</w:t>
      </w:r>
      <w:r w:rsidR="00270798">
        <w:rPr>
          <w:rFonts w:ascii="Arial" w:hAnsi="Arial" w:cs="Arial"/>
        </w:rPr>
        <w:t>.</w:t>
      </w:r>
      <w:r w:rsidR="00E6726F" w:rsidRPr="003349E8">
        <w:rPr>
          <w:rFonts w:ascii="Arial" w:hAnsi="Arial" w:cs="Arial"/>
        </w:rPr>
        <w:t xml:space="preserve"> </w:t>
      </w:r>
    </w:p>
    <w:p w14:paraId="12E6E847" w14:textId="77777777" w:rsidR="008156BC" w:rsidRPr="003349E8" w:rsidRDefault="008156BC" w:rsidP="003349E8">
      <w:pPr>
        <w:rPr>
          <w:rFonts w:ascii="Arial" w:hAnsi="Arial" w:cs="Arial"/>
        </w:rPr>
      </w:pPr>
    </w:p>
    <w:p w14:paraId="4668AC40" w14:textId="45B8E8E8" w:rsidR="00457C86" w:rsidRPr="00457C86" w:rsidRDefault="00457C86" w:rsidP="00457C86">
      <w:r w:rsidRPr="00457C86">
        <w:rPr>
          <w:noProof/>
        </w:rPr>
        <w:drawing>
          <wp:inline distT="0" distB="0" distL="0" distR="0" wp14:anchorId="7EB37A53" wp14:editId="6DB87B86">
            <wp:extent cx="5943600" cy="3566160"/>
            <wp:effectExtent l="0" t="0" r="0" b="0"/>
            <wp:docPr id="2008934159" name="Picture 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34159" name="Picture 2" descr="A graph with a lin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0C8CA8D" w14:textId="38A4F4E2" w:rsidR="000C788C" w:rsidRDefault="000C788C" w:rsidP="003349E8"/>
    <w:p w14:paraId="5D4FF9CC" w14:textId="77777777" w:rsidR="00E6726F" w:rsidRPr="003349E8" w:rsidRDefault="00E6726F" w:rsidP="003349E8">
      <w:pPr>
        <w:spacing w:after="160"/>
        <w:rPr>
          <w:rFonts w:ascii="Arial" w:hAnsi="Arial" w:cs="Arial"/>
        </w:rPr>
      </w:pPr>
      <w:r w:rsidRPr="003349E8">
        <w:rPr>
          <w:rFonts w:ascii="Arial" w:hAnsi="Arial" w:cs="Arial"/>
        </w:rPr>
        <w:t>For the ADER program to continue to grow, several technical challenges will need to be addressed, including but not limited to:</w:t>
      </w:r>
    </w:p>
    <w:p w14:paraId="41FEEAC4" w14:textId="77777777" w:rsidR="008156BC" w:rsidRPr="00EC2E77" w:rsidRDefault="008156BC" w:rsidP="008156BC">
      <w:pPr>
        <w:pStyle w:val="ListParagraph"/>
        <w:numPr>
          <w:ilvl w:val="0"/>
          <w:numId w:val="6"/>
        </w:numPr>
        <w:rPr>
          <w:rFonts w:ascii="Arial" w:hAnsi="Arial" w:cs="Arial"/>
        </w:rPr>
      </w:pPr>
      <w:r w:rsidRPr="00EC2E77">
        <w:rPr>
          <w:rFonts w:ascii="Arial" w:hAnsi="Arial" w:cs="Arial"/>
        </w:rPr>
        <w:t>Dispatching and settling ALRs on a nodal rather than zonal basis to achieve efficient dispatch solutions and prices that accurately reflect congestion</w:t>
      </w:r>
      <w:r>
        <w:rPr>
          <w:rFonts w:ascii="Arial" w:hAnsi="Arial" w:cs="Arial"/>
        </w:rPr>
        <w:t>.</w:t>
      </w:r>
    </w:p>
    <w:p w14:paraId="602EE7D7" w14:textId="24D0D5A8" w:rsidR="00E6726F" w:rsidRPr="003349E8" w:rsidRDefault="00E6726F" w:rsidP="003349E8">
      <w:pPr>
        <w:pStyle w:val="ListParagraph"/>
        <w:numPr>
          <w:ilvl w:val="0"/>
          <w:numId w:val="6"/>
        </w:numPr>
        <w:rPr>
          <w:rFonts w:ascii="Arial" w:hAnsi="Arial" w:cs="Arial"/>
        </w:rPr>
      </w:pPr>
      <w:r w:rsidRPr="003349E8">
        <w:rPr>
          <w:rFonts w:ascii="Arial" w:hAnsi="Arial" w:cs="Arial"/>
        </w:rPr>
        <w:lastRenderedPageBreak/>
        <w:t>Modeling ALRs as ESRs so that they can be dispatched for net injections of energy in SCED</w:t>
      </w:r>
      <w:r w:rsidR="00270798">
        <w:rPr>
          <w:rFonts w:ascii="Arial" w:hAnsi="Arial" w:cs="Arial"/>
        </w:rPr>
        <w:t>.</w:t>
      </w:r>
    </w:p>
    <w:p w14:paraId="4F1320EE" w14:textId="666608EC" w:rsidR="00BD7258" w:rsidRPr="00036C4B" w:rsidRDefault="00E6726F" w:rsidP="00036C4B">
      <w:pPr>
        <w:spacing w:after="160"/>
        <w:rPr>
          <w:rFonts w:ascii="Arial" w:hAnsi="Arial" w:cs="Arial"/>
        </w:rPr>
      </w:pPr>
      <w:r w:rsidRPr="003349E8">
        <w:rPr>
          <w:rFonts w:ascii="Arial" w:hAnsi="Arial" w:cs="Arial"/>
        </w:rPr>
        <w:t xml:space="preserve">These changes would require significant effort and investment from ERCOT. Such investments only make sense if the ADER program is expected to grow substantially, and this residential DR program could severely limit participation in the ADER program. The tradeoff at hand is a more expensive, less effective, out of market demand response program versus a promising program for incorporating DERs directly into the wholesale market.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722896" w14:paraId="4502A37D" w14:textId="77777777" w:rsidTr="00B5080A">
        <w:trPr>
          <w:trHeight w:val="350"/>
        </w:trPr>
        <w:tc>
          <w:tcPr>
            <w:tcW w:w="10440" w:type="dxa"/>
            <w:tcBorders>
              <w:bottom w:val="single" w:sz="4" w:space="0" w:color="auto"/>
            </w:tcBorders>
            <w:shd w:val="clear" w:color="auto" w:fill="FFFFFF"/>
            <w:vAlign w:val="center"/>
          </w:tcPr>
          <w:p w14:paraId="2BE32B58" w14:textId="77777777" w:rsidR="00BD7258" w:rsidRPr="00722896" w:rsidRDefault="00BD7258" w:rsidP="00B5080A">
            <w:pPr>
              <w:pStyle w:val="Header"/>
              <w:jc w:val="center"/>
              <w:rPr>
                <w:rFonts w:cs="Arial"/>
              </w:rPr>
            </w:pPr>
            <w:r w:rsidRPr="00722896">
              <w:rPr>
                <w:rFonts w:cs="Arial"/>
              </w:rPr>
              <w:t>Revised Cover Page Language</w:t>
            </w:r>
          </w:p>
        </w:tc>
      </w:tr>
    </w:tbl>
    <w:p w14:paraId="6C1FB248" w14:textId="6C9CF51B" w:rsidR="00BD7258" w:rsidRPr="00722896" w:rsidRDefault="00036C4B" w:rsidP="00036C4B">
      <w:pPr>
        <w:pStyle w:val="NormalArial"/>
        <w:spacing w:before="120" w:after="120"/>
        <w:rPr>
          <w:rFonts w:cs="Arial"/>
        </w:rPr>
      </w:pPr>
      <w:r>
        <w:rPr>
          <w:rFonts w:cs="Arial"/>
          <w:bCs/>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722896" w14:paraId="1266F200" w14:textId="77777777">
        <w:trPr>
          <w:trHeight w:val="350"/>
        </w:trPr>
        <w:tc>
          <w:tcPr>
            <w:tcW w:w="10440" w:type="dxa"/>
            <w:tcBorders>
              <w:bottom w:val="single" w:sz="4" w:space="0" w:color="auto"/>
            </w:tcBorders>
            <w:shd w:val="clear" w:color="auto" w:fill="FFFFFF"/>
            <w:vAlign w:val="center"/>
          </w:tcPr>
          <w:p w14:paraId="1707697F" w14:textId="77777777" w:rsidR="00152993" w:rsidRPr="00722896" w:rsidRDefault="00152993">
            <w:pPr>
              <w:pStyle w:val="Header"/>
              <w:jc w:val="center"/>
              <w:rPr>
                <w:rFonts w:cs="Arial"/>
              </w:rPr>
            </w:pPr>
            <w:r w:rsidRPr="00722896">
              <w:rPr>
                <w:rFonts w:cs="Arial"/>
              </w:rPr>
              <w:t>Revised Proposed Protocol Language</w:t>
            </w:r>
          </w:p>
        </w:tc>
      </w:tr>
    </w:tbl>
    <w:p w14:paraId="5261C7C7" w14:textId="4788A2F9" w:rsidR="00152993" w:rsidRPr="00036C4B" w:rsidRDefault="00036C4B" w:rsidP="00036C4B">
      <w:pPr>
        <w:pStyle w:val="NormalArial"/>
        <w:spacing w:before="120" w:after="120"/>
        <w:rPr>
          <w:rFonts w:cs="Arial"/>
        </w:rPr>
      </w:pPr>
      <w:r>
        <w:rPr>
          <w:rFonts w:cs="Arial"/>
          <w:bCs/>
        </w:rPr>
        <w:t>None</w:t>
      </w:r>
    </w:p>
    <w:sectPr w:rsidR="00152993" w:rsidRPr="00036C4B"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03F7" w14:textId="77777777" w:rsidR="00764EF2" w:rsidRDefault="00764EF2">
      <w:r>
        <w:separator/>
      </w:r>
    </w:p>
  </w:endnote>
  <w:endnote w:type="continuationSeparator" w:id="0">
    <w:p w14:paraId="5D6BEAC5" w14:textId="77777777" w:rsidR="00764EF2" w:rsidRDefault="0076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FBB5" w14:textId="55A2E7F8"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036C4B">
      <w:rPr>
        <w:rFonts w:ascii="Arial" w:hAnsi="Arial"/>
        <w:noProof/>
        <w:sz w:val="18"/>
      </w:rPr>
      <w:t>1296NPRR-11 IMM Comments 110325</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2EFFBF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B2C6" w14:textId="77777777" w:rsidR="00764EF2" w:rsidRDefault="00764EF2">
      <w:r>
        <w:separator/>
      </w:r>
    </w:p>
  </w:footnote>
  <w:footnote w:type="continuationSeparator" w:id="0">
    <w:p w14:paraId="49CCF640" w14:textId="77777777" w:rsidR="00764EF2" w:rsidRDefault="00764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D706" w14:textId="77777777" w:rsidR="00EE6681" w:rsidRDefault="00EE6681">
    <w:pPr>
      <w:pStyle w:val="Header"/>
      <w:jc w:val="center"/>
      <w:rPr>
        <w:sz w:val="32"/>
      </w:rPr>
    </w:pPr>
    <w:r>
      <w:rPr>
        <w:sz w:val="32"/>
      </w:rPr>
      <w:t>NPRR Comments</w:t>
    </w:r>
  </w:p>
  <w:p w14:paraId="0DF7F313"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B562FD"/>
    <w:multiLevelType w:val="hybridMultilevel"/>
    <w:tmpl w:val="54A0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44DC0"/>
    <w:multiLevelType w:val="hybridMultilevel"/>
    <w:tmpl w:val="DF0693F2"/>
    <w:lvl w:ilvl="0" w:tplc="189C67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F4765D"/>
    <w:multiLevelType w:val="hybridMultilevel"/>
    <w:tmpl w:val="27CE70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80C53"/>
    <w:multiLevelType w:val="hybridMultilevel"/>
    <w:tmpl w:val="07FA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14441868">
    <w:abstractNumId w:val="0"/>
  </w:num>
  <w:num w:numId="2" w16cid:durableId="1781876689">
    <w:abstractNumId w:val="5"/>
  </w:num>
  <w:num w:numId="3" w16cid:durableId="1770157807">
    <w:abstractNumId w:val="4"/>
  </w:num>
  <w:num w:numId="4" w16cid:durableId="1839925256">
    <w:abstractNumId w:val="3"/>
  </w:num>
  <w:num w:numId="5" w16cid:durableId="113335532">
    <w:abstractNumId w:val="2"/>
  </w:num>
  <w:num w:numId="6" w16cid:durableId="10357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7423"/>
    <w:rsid w:val="000112E8"/>
    <w:rsid w:val="00012B96"/>
    <w:rsid w:val="0002097F"/>
    <w:rsid w:val="00026853"/>
    <w:rsid w:val="00030D3E"/>
    <w:rsid w:val="00034BCB"/>
    <w:rsid w:val="00036C4B"/>
    <w:rsid w:val="00037668"/>
    <w:rsid w:val="000613B2"/>
    <w:rsid w:val="00075A94"/>
    <w:rsid w:val="00080F33"/>
    <w:rsid w:val="00097D90"/>
    <w:rsid w:val="000B180F"/>
    <w:rsid w:val="000C48D5"/>
    <w:rsid w:val="000C788C"/>
    <w:rsid w:val="000D3E89"/>
    <w:rsid w:val="000F021D"/>
    <w:rsid w:val="000F1CE9"/>
    <w:rsid w:val="000F5CC9"/>
    <w:rsid w:val="00132855"/>
    <w:rsid w:val="00152993"/>
    <w:rsid w:val="00170297"/>
    <w:rsid w:val="00173815"/>
    <w:rsid w:val="00185DBF"/>
    <w:rsid w:val="001A227D"/>
    <w:rsid w:val="001B0D4E"/>
    <w:rsid w:val="001D2F7D"/>
    <w:rsid w:val="001D6E59"/>
    <w:rsid w:val="001E2032"/>
    <w:rsid w:val="001F7664"/>
    <w:rsid w:val="002334F0"/>
    <w:rsid w:val="002466E6"/>
    <w:rsid w:val="002600B2"/>
    <w:rsid w:val="00265E89"/>
    <w:rsid w:val="00270798"/>
    <w:rsid w:val="00285B18"/>
    <w:rsid w:val="002A4634"/>
    <w:rsid w:val="002B3068"/>
    <w:rsid w:val="002C76B2"/>
    <w:rsid w:val="002D4157"/>
    <w:rsid w:val="003010C0"/>
    <w:rsid w:val="0030137B"/>
    <w:rsid w:val="00332A97"/>
    <w:rsid w:val="003349E8"/>
    <w:rsid w:val="003400D6"/>
    <w:rsid w:val="00350C00"/>
    <w:rsid w:val="00366113"/>
    <w:rsid w:val="003830FF"/>
    <w:rsid w:val="00397446"/>
    <w:rsid w:val="003A639A"/>
    <w:rsid w:val="003B1793"/>
    <w:rsid w:val="003B2206"/>
    <w:rsid w:val="003B420B"/>
    <w:rsid w:val="003C270C"/>
    <w:rsid w:val="003C5D68"/>
    <w:rsid w:val="003D0994"/>
    <w:rsid w:val="003D2634"/>
    <w:rsid w:val="003E3F1C"/>
    <w:rsid w:val="003E788F"/>
    <w:rsid w:val="00423824"/>
    <w:rsid w:val="00430917"/>
    <w:rsid w:val="0043567D"/>
    <w:rsid w:val="00457C86"/>
    <w:rsid w:val="00465E7A"/>
    <w:rsid w:val="0047159A"/>
    <w:rsid w:val="0049078B"/>
    <w:rsid w:val="004A48DF"/>
    <w:rsid w:val="004B7B90"/>
    <w:rsid w:val="004E2C19"/>
    <w:rsid w:val="004E300C"/>
    <w:rsid w:val="00507D4E"/>
    <w:rsid w:val="005230D8"/>
    <w:rsid w:val="00524093"/>
    <w:rsid w:val="00545AFE"/>
    <w:rsid w:val="005A00D0"/>
    <w:rsid w:val="005D284C"/>
    <w:rsid w:val="006002D7"/>
    <w:rsid w:val="00604512"/>
    <w:rsid w:val="00625AFB"/>
    <w:rsid w:val="00633E23"/>
    <w:rsid w:val="0064246A"/>
    <w:rsid w:val="00673B94"/>
    <w:rsid w:val="00675E2B"/>
    <w:rsid w:val="00680AC6"/>
    <w:rsid w:val="006835D8"/>
    <w:rsid w:val="006850F7"/>
    <w:rsid w:val="00695AF8"/>
    <w:rsid w:val="006C316E"/>
    <w:rsid w:val="006D0F7C"/>
    <w:rsid w:val="006D37D0"/>
    <w:rsid w:val="006F233E"/>
    <w:rsid w:val="006F4D76"/>
    <w:rsid w:val="006F7C0C"/>
    <w:rsid w:val="00703B86"/>
    <w:rsid w:val="00722896"/>
    <w:rsid w:val="007228A8"/>
    <w:rsid w:val="007269C4"/>
    <w:rsid w:val="00726A16"/>
    <w:rsid w:val="0074209E"/>
    <w:rsid w:val="00764EF2"/>
    <w:rsid w:val="00793B4A"/>
    <w:rsid w:val="00797D04"/>
    <w:rsid w:val="007A1486"/>
    <w:rsid w:val="007A52EB"/>
    <w:rsid w:val="007A5F66"/>
    <w:rsid w:val="007C0C36"/>
    <w:rsid w:val="007F25BB"/>
    <w:rsid w:val="007F2CA8"/>
    <w:rsid w:val="007F427B"/>
    <w:rsid w:val="007F6A21"/>
    <w:rsid w:val="007F7161"/>
    <w:rsid w:val="008156BC"/>
    <w:rsid w:val="00822D22"/>
    <w:rsid w:val="00846EB6"/>
    <w:rsid w:val="00854EBA"/>
    <w:rsid w:val="0085559E"/>
    <w:rsid w:val="00896B1B"/>
    <w:rsid w:val="008B04F5"/>
    <w:rsid w:val="008D2916"/>
    <w:rsid w:val="008E559E"/>
    <w:rsid w:val="00907E3C"/>
    <w:rsid w:val="00916080"/>
    <w:rsid w:val="00921A68"/>
    <w:rsid w:val="00927A9A"/>
    <w:rsid w:val="00942FE1"/>
    <w:rsid w:val="009B0771"/>
    <w:rsid w:val="009B0996"/>
    <w:rsid w:val="009B3CE5"/>
    <w:rsid w:val="009F45E9"/>
    <w:rsid w:val="00A015C4"/>
    <w:rsid w:val="00A15172"/>
    <w:rsid w:val="00A24F79"/>
    <w:rsid w:val="00A47B92"/>
    <w:rsid w:val="00A50382"/>
    <w:rsid w:val="00A50C8B"/>
    <w:rsid w:val="00A55D47"/>
    <w:rsid w:val="00AC4C96"/>
    <w:rsid w:val="00AF3DBD"/>
    <w:rsid w:val="00AF43E9"/>
    <w:rsid w:val="00B33761"/>
    <w:rsid w:val="00B37921"/>
    <w:rsid w:val="00B4726D"/>
    <w:rsid w:val="00B5080A"/>
    <w:rsid w:val="00B51315"/>
    <w:rsid w:val="00B70853"/>
    <w:rsid w:val="00B86B7D"/>
    <w:rsid w:val="00B923D3"/>
    <w:rsid w:val="00B943AE"/>
    <w:rsid w:val="00B9696C"/>
    <w:rsid w:val="00BA0FC4"/>
    <w:rsid w:val="00BD0CAC"/>
    <w:rsid w:val="00BD7258"/>
    <w:rsid w:val="00BE59F8"/>
    <w:rsid w:val="00BF3EA8"/>
    <w:rsid w:val="00BF7695"/>
    <w:rsid w:val="00C0598D"/>
    <w:rsid w:val="00C05C75"/>
    <w:rsid w:val="00C11956"/>
    <w:rsid w:val="00C400F7"/>
    <w:rsid w:val="00C51947"/>
    <w:rsid w:val="00C602E5"/>
    <w:rsid w:val="00C748FD"/>
    <w:rsid w:val="00C923B8"/>
    <w:rsid w:val="00CC31E6"/>
    <w:rsid w:val="00CE1651"/>
    <w:rsid w:val="00CE4E67"/>
    <w:rsid w:val="00CF4AB4"/>
    <w:rsid w:val="00D4046E"/>
    <w:rsid w:val="00D4362F"/>
    <w:rsid w:val="00D7044F"/>
    <w:rsid w:val="00D72815"/>
    <w:rsid w:val="00D74DEE"/>
    <w:rsid w:val="00DA1898"/>
    <w:rsid w:val="00DC06D9"/>
    <w:rsid w:val="00DD4739"/>
    <w:rsid w:val="00DD74D5"/>
    <w:rsid w:val="00DE5F33"/>
    <w:rsid w:val="00E07B54"/>
    <w:rsid w:val="00E11F78"/>
    <w:rsid w:val="00E423B0"/>
    <w:rsid w:val="00E45CF4"/>
    <w:rsid w:val="00E54747"/>
    <w:rsid w:val="00E551C0"/>
    <w:rsid w:val="00E621E1"/>
    <w:rsid w:val="00E67245"/>
    <w:rsid w:val="00E6726F"/>
    <w:rsid w:val="00E76962"/>
    <w:rsid w:val="00E845D0"/>
    <w:rsid w:val="00E96DBA"/>
    <w:rsid w:val="00EA152E"/>
    <w:rsid w:val="00EC55B3"/>
    <w:rsid w:val="00EC6E3A"/>
    <w:rsid w:val="00ED3E98"/>
    <w:rsid w:val="00EE2CDE"/>
    <w:rsid w:val="00EE6681"/>
    <w:rsid w:val="00F14899"/>
    <w:rsid w:val="00F30073"/>
    <w:rsid w:val="00F70909"/>
    <w:rsid w:val="00F845AF"/>
    <w:rsid w:val="00F8545E"/>
    <w:rsid w:val="00F938A8"/>
    <w:rsid w:val="00F94924"/>
    <w:rsid w:val="00F96FB2"/>
    <w:rsid w:val="00FB3C95"/>
    <w:rsid w:val="00FB51D8"/>
    <w:rsid w:val="00FB6D2D"/>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812BD"/>
  <w15:chartTrackingRefBased/>
  <w15:docId w15:val="{F4F36489-F7A3-4E9F-8966-3D744A22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ListParagraph">
    <w:name w:val="List Paragraph"/>
    <w:basedOn w:val="Normal"/>
    <w:uiPriority w:val="34"/>
    <w:qFormat/>
    <w:rsid w:val="00E6726F"/>
    <w:pPr>
      <w:spacing w:after="160" w:line="278" w:lineRule="auto"/>
      <w:ind w:left="720"/>
      <w:contextualSpacing/>
    </w:pPr>
    <w:rPr>
      <w:rFonts w:ascii="Aptos" w:eastAsia="Aptos" w:hAnsi="Aptos"/>
      <w:kern w:val="2"/>
    </w:rPr>
  </w:style>
  <w:style w:type="paragraph" w:styleId="Revision">
    <w:name w:val="Revision"/>
    <w:hidden/>
    <w:uiPriority w:val="99"/>
    <w:semiHidden/>
    <w:rsid w:val="00D7044F"/>
    <w:rPr>
      <w:sz w:val="24"/>
      <w:szCs w:val="24"/>
    </w:rPr>
  </w:style>
  <w:style w:type="paragraph" w:styleId="FootnoteText">
    <w:name w:val="footnote text"/>
    <w:basedOn w:val="Normal"/>
    <w:link w:val="FootnoteTextChar"/>
    <w:rsid w:val="006F4D76"/>
    <w:rPr>
      <w:sz w:val="20"/>
      <w:szCs w:val="20"/>
    </w:rPr>
  </w:style>
  <w:style w:type="character" w:customStyle="1" w:styleId="FootnoteTextChar">
    <w:name w:val="Footnote Text Char"/>
    <w:basedOn w:val="DefaultParagraphFont"/>
    <w:link w:val="FootnoteText"/>
    <w:rsid w:val="006F4D76"/>
  </w:style>
  <w:style w:type="character" w:styleId="FootnoteReference">
    <w:name w:val="footnote reference"/>
    <w:basedOn w:val="DefaultParagraphFont"/>
    <w:rsid w:val="006F4D76"/>
    <w:rPr>
      <w:vertAlign w:val="superscript"/>
    </w:rPr>
  </w:style>
  <w:style w:type="character" w:styleId="Mention">
    <w:name w:val="Mention"/>
    <w:basedOn w:val="DefaultParagraphFont"/>
    <w:uiPriority w:val="99"/>
    <w:unhideWhenUsed/>
    <w:rsid w:val="00CC31E6"/>
    <w:rPr>
      <w:color w:val="2B579A"/>
      <w:shd w:val="clear" w:color="auto" w:fill="E1DFDD"/>
    </w:rPr>
  </w:style>
  <w:style w:type="character" w:styleId="UnresolvedMention">
    <w:name w:val="Unresolved Mention"/>
    <w:basedOn w:val="DefaultParagraphFont"/>
    <w:uiPriority w:val="99"/>
    <w:semiHidden/>
    <w:unhideWhenUsed/>
    <w:rsid w:val="00036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487">
      <w:bodyDiv w:val="1"/>
      <w:marLeft w:val="0"/>
      <w:marRight w:val="0"/>
      <w:marTop w:val="0"/>
      <w:marBottom w:val="0"/>
      <w:divBdr>
        <w:top w:val="none" w:sz="0" w:space="0" w:color="auto"/>
        <w:left w:val="none" w:sz="0" w:space="0" w:color="auto"/>
        <w:bottom w:val="none" w:sz="0" w:space="0" w:color="auto"/>
        <w:right w:val="none" w:sz="0" w:space="0" w:color="auto"/>
      </w:divBdr>
    </w:div>
    <w:div w:id="232282243">
      <w:bodyDiv w:val="1"/>
      <w:marLeft w:val="0"/>
      <w:marRight w:val="0"/>
      <w:marTop w:val="0"/>
      <w:marBottom w:val="0"/>
      <w:divBdr>
        <w:top w:val="none" w:sz="0" w:space="0" w:color="auto"/>
        <w:left w:val="none" w:sz="0" w:space="0" w:color="auto"/>
        <w:bottom w:val="none" w:sz="0" w:space="0" w:color="auto"/>
        <w:right w:val="none" w:sz="0" w:space="0" w:color="auto"/>
      </w:divBdr>
    </w:div>
    <w:div w:id="570891742">
      <w:bodyDiv w:val="1"/>
      <w:marLeft w:val="0"/>
      <w:marRight w:val="0"/>
      <w:marTop w:val="0"/>
      <w:marBottom w:val="0"/>
      <w:divBdr>
        <w:top w:val="none" w:sz="0" w:space="0" w:color="auto"/>
        <w:left w:val="none" w:sz="0" w:space="0" w:color="auto"/>
        <w:bottom w:val="none" w:sz="0" w:space="0" w:color="auto"/>
        <w:right w:val="none" w:sz="0" w:space="0" w:color="auto"/>
      </w:divBdr>
      <w:divsChild>
        <w:div w:id="136802086">
          <w:marLeft w:val="0"/>
          <w:marRight w:val="0"/>
          <w:marTop w:val="0"/>
          <w:marBottom w:val="0"/>
          <w:divBdr>
            <w:top w:val="none" w:sz="0" w:space="0" w:color="auto"/>
            <w:left w:val="none" w:sz="0" w:space="0" w:color="auto"/>
            <w:bottom w:val="none" w:sz="0" w:space="0" w:color="auto"/>
            <w:right w:val="none" w:sz="0" w:space="0" w:color="auto"/>
          </w:divBdr>
          <w:divsChild>
            <w:div w:id="444348223">
              <w:marLeft w:val="0"/>
              <w:marRight w:val="0"/>
              <w:marTop w:val="0"/>
              <w:marBottom w:val="0"/>
              <w:divBdr>
                <w:top w:val="none" w:sz="0" w:space="0" w:color="auto"/>
                <w:left w:val="none" w:sz="0" w:space="0" w:color="auto"/>
                <w:bottom w:val="none" w:sz="0" w:space="0" w:color="auto"/>
                <w:right w:val="none" w:sz="0" w:space="0" w:color="auto"/>
              </w:divBdr>
              <w:divsChild>
                <w:div w:id="1453357512">
                  <w:marLeft w:val="0"/>
                  <w:marRight w:val="0"/>
                  <w:marTop w:val="0"/>
                  <w:marBottom w:val="0"/>
                  <w:divBdr>
                    <w:top w:val="none" w:sz="0" w:space="0" w:color="auto"/>
                    <w:left w:val="none" w:sz="0" w:space="0" w:color="auto"/>
                    <w:bottom w:val="none" w:sz="0" w:space="0" w:color="auto"/>
                    <w:right w:val="none" w:sz="0" w:space="0" w:color="auto"/>
                  </w:divBdr>
                  <w:divsChild>
                    <w:div w:id="1437746436">
                      <w:marLeft w:val="0"/>
                      <w:marRight w:val="0"/>
                      <w:marTop w:val="0"/>
                      <w:marBottom w:val="0"/>
                      <w:divBdr>
                        <w:top w:val="none" w:sz="0" w:space="0" w:color="auto"/>
                        <w:left w:val="none" w:sz="0" w:space="0" w:color="auto"/>
                        <w:bottom w:val="none" w:sz="0" w:space="0" w:color="auto"/>
                        <w:right w:val="none" w:sz="0" w:space="0" w:color="auto"/>
                      </w:divBdr>
                      <w:divsChild>
                        <w:div w:id="1120298443">
                          <w:marLeft w:val="0"/>
                          <w:marRight w:val="0"/>
                          <w:marTop w:val="0"/>
                          <w:marBottom w:val="0"/>
                          <w:divBdr>
                            <w:top w:val="none" w:sz="0" w:space="0" w:color="auto"/>
                            <w:left w:val="none" w:sz="0" w:space="0" w:color="auto"/>
                            <w:bottom w:val="none" w:sz="0" w:space="0" w:color="auto"/>
                            <w:right w:val="none" w:sz="0" w:space="0" w:color="auto"/>
                          </w:divBdr>
                          <w:divsChild>
                            <w:div w:id="1762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01150009">
      <w:bodyDiv w:val="1"/>
      <w:marLeft w:val="0"/>
      <w:marRight w:val="0"/>
      <w:marTop w:val="0"/>
      <w:marBottom w:val="0"/>
      <w:divBdr>
        <w:top w:val="none" w:sz="0" w:space="0" w:color="auto"/>
        <w:left w:val="none" w:sz="0" w:space="0" w:color="auto"/>
        <w:bottom w:val="none" w:sz="0" w:space="0" w:color="auto"/>
        <w:right w:val="none" w:sz="0" w:space="0" w:color="auto"/>
      </w:divBdr>
    </w:div>
    <w:div w:id="1817338762">
      <w:bodyDiv w:val="1"/>
      <w:marLeft w:val="0"/>
      <w:marRight w:val="0"/>
      <w:marTop w:val="0"/>
      <w:marBottom w:val="0"/>
      <w:divBdr>
        <w:top w:val="none" w:sz="0" w:space="0" w:color="auto"/>
        <w:left w:val="none" w:sz="0" w:space="0" w:color="auto"/>
        <w:bottom w:val="none" w:sz="0" w:space="0" w:color="auto"/>
        <w:right w:val="none" w:sz="0" w:space="0" w:color="auto"/>
      </w:divBdr>
      <w:divsChild>
        <w:div w:id="1655063533">
          <w:marLeft w:val="0"/>
          <w:marRight w:val="0"/>
          <w:marTop w:val="0"/>
          <w:marBottom w:val="0"/>
          <w:divBdr>
            <w:top w:val="none" w:sz="0" w:space="0" w:color="auto"/>
            <w:left w:val="none" w:sz="0" w:space="0" w:color="auto"/>
            <w:bottom w:val="none" w:sz="0" w:space="0" w:color="auto"/>
            <w:right w:val="none" w:sz="0" w:space="0" w:color="auto"/>
          </w:divBdr>
          <w:divsChild>
            <w:div w:id="357200139">
              <w:marLeft w:val="0"/>
              <w:marRight w:val="0"/>
              <w:marTop w:val="0"/>
              <w:marBottom w:val="0"/>
              <w:divBdr>
                <w:top w:val="none" w:sz="0" w:space="0" w:color="auto"/>
                <w:left w:val="none" w:sz="0" w:space="0" w:color="auto"/>
                <w:bottom w:val="none" w:sz="0" w:space="0" w:color="auto"/>
                <w:right w:val="none" w:sz="0" w:space="0" w:color="auto"/>
              </w:divBdr>
              <w:divsChild>
                <w:div w:id="1102341518">
                  <w:marLeft w:val="0"/>
                  <w:marRight w:val="0"/>
                  <w:marTop w:val="0"/>
                  <w:marBottom w:val="0"/>
                  <w:divBdr>
                    <w:top w:val="none" w:sz="0" w:space="0" w:color="auto"/>
                    <w:left w:val="none" w:sz="0" w:space="0" w:color="auto"/>
                    <w:bottom w:val="none" w:sz="0" w:space="0" w:color="auto"/>
                    <w:right w:val="none" w:sz="0" w:space="0" w:color="auto"/>
                  </w:divBdr>
                  <w:divsChild>
                    <w:div w:id="853420347">
                      <w:marLeft w:val="0"/>
                      <w:marRight w:val="0"/>
                      <w:marTop w:val="0"/>
                      <w:marBottom w:val="0"/>
                      <w:divBdr>
                        <w:top w:val="none" w:sz="0" w:space="0" w:color="auto"/>
                        <w:left w:val="none" w:sz="0" w:space="0" w:color="auto"/>
                        <w:bottom w:val="none" w:sz="0" w:space="0" w:color="auto"/>
                        <w:right w:val="none" w:sz="0" w:space="0" w:color="auto"/>
                      </w:divBdr>
                      <w:divsChild>
                        <w:div w:id="958998272">
                          <w:marLeft w:val="0"/>
                          <w:marRight w:val="0"/>
                          <w:marTop w:val="0"/>
                          <w:marBottom w:val="0"/>
                          <w:divBdr>
                            <w:top w:val="none" w:sz="0" w:space="0" w:color="auto"/>
                            <w:left w:val="none" w:sz="0" w:space="0" w:color="auto"/>
                            <w:bottom w:val="none" w:sz="0" w:space="0" w:color="auto"/>
                            <w:right w:val="none" w:sz="0" w:space="0" w:color="auto"/>
                          </w:divBdr>
                          <w:divsChild>
                            <w:div w:id="20072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1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eimers@potomaceconomic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4bb770-530c-43db-868c-470100b04b21">
      <Terms xmlns="http://schemas.microsoft.com/office/infopath/2007/PartnerControls"/>
    </lcf76f155ced4ddcb4097134ff3c332f>
    <TaxCatchAll xmlns="937cce53-552a-4e6c-8bb2-bd9caca87b1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C4A72CAB0D64D9F7E9682FD2192C4" ma:contentTypeVersion="15" ma:contentTypeDescription="Create a new document." ma:contentTypeScope="" ma:versionID="dba3b4d552f7f6706239e3aced1eafcb">
  <xsd:schema xmlns:xsd="http://www.w3.org/2001/XMLSchema" xmlns:xs="http://www.w3.org/2001/XMLSchema" xmlns:p="http://schemas.microsoft.com/office/2006/metadata/properties" xmlns:ns2="b74bb770-530c-43db-868c-470100b04b21" xmlns:ns3="937cce53-552a-4e6c-8bb2-bd9caca87b17" targetNamespace="http://schemas.microsoft.com/office/2006/metadata/properties" ma:root="true" ma:fieldsID="70dd584551762ee4bbc50653090bb806" ns2:_="" ns3:_="">
    <xsd:import namespace="b74bb770-530c-43db-868c-470100b04b21"/>
    <xsd:import namespace="937cce53-552a-4e6c-8bb2-bd9caca87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b770-530c-43db-868c-470100b04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2c33fb-773d-4c7f-af06-7655ec8c41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cce53-552a-4e6c-8bb2-bd9caca87b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2b1ae2-937c-401e-b607-a9cafcc47ee4}" ma:internalName="TaxCatchAll" ma:showField="CatchAllData" ma:web="937cce53-552a-4e6c-8bb2-bd9caca8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18FA-82B4-4DC6-BEDC-E8A9DD4856FF}">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937cce53-552a-4e6c-8bb2-bd9caca87b17"/>
    <ds:schemaRef ds:uri="b74bb770-530c-43db-868c-470100b04b2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638D489-ED90-4BE0-A25E-02477EED2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b770-530c-43db-868c-470100b04b21"/>
    <ds:schemaRef ds:uri="937cce53-552a-4e6c-8bb2-bd9caca8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3ED5D-5BCB-4B78-8B6A-958F11D16770}">
  <ds:schemaRefs>
    <ds:schemaRef ds:uri="http://schemas.microsoft.com/sharepoint/v3/contenttype/forms"/>
  </ds:schemaRefs>
</ds:datastoreItem>
</file>

<file path=customXml/itemProps4.xml><?xml version="1.0" encoding="utf-8"?>
<ds:datastoreItem xmlns:ds="http://schemas.openxmlformats.org/officeDocument/2006/customXml" ds:itemID="{3D27DC10-14AD-4EFB-92B4-A7926BF0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1051</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3</cp:revision>
  <cp:lastPrinted>2001-06-20T16:28:00Z</cp:lastPrinted>
  <dcterms:created xsi:type="dcterms:W3CDTF">2025-11-03T16:15:00Z</dcterms:created>
  <dcterms:modified xsi:type="dcterms:W3CDTF">2025-11-03T16:19:00Z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7084cbda-52b8-46fb-a7b7-cb5bd465ed85_Enabled">
    <vt:lpwstr>true</vt:lpwstr>
  </property>
  <property fmtid="{D5CDD505-2E9C-101B-9397-08002B2CF9AE}" pid="4" name="MSIP_Label_7084cbda-52b8-46fb-a7b7-cb5bd465ed85_SetDate">
    <vt:lpwstr>2025-11-03T16:15:09Z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091e3f8f-e51c-46b7-a346-387af6c434dc</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