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8528" w14:textId="09DCAE8B" w:rsidR="000D2AA6" w:rsidRDefault="00287C66" w:rsidP="00287C66">
      <w:pPr>
        <w:jc w:val="center"/>
        <w:rPr>
          <w:b/>
          <w:bCs/>
          <w:sz w:val="28"/>
          <w:szCs w:val="28"/>
        </w:rPr>
      </w:pPr>
      <w:r w:rsidRPr="00287C66">
        <w:rPr>
          <w:b/>
          <w:bCs/>
          <w:sz w:val="28"/>
          <w:szCs w:val="28"/>
        </w:rPr>
        <w:t>Planning Working Group (PLWG) Meeting Minutes</w:t>
      </w:r>
    </w:p>
    <w:p w14:paraId="1EE0C269" w14:textId="6F5F63BA" w:rsidR="00A765CC" w:rsidRPr="00A765CC" w:rsidRDefault="00B3038E" w:rsidP="00287C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25</w:t>
      </w:r>
      <w:r w:rsidR="00287C66" w:rsidRPr="00287C66">
        <w:rPr>
          <w:b/>
          <w:bCs/>
          <w:sz w:val="28"/>
          <w:szCs w:val="28"/>
        </w:rPr>
        <w:t>, 2025 (</w:t>
      </w:r>
      <w:r w:rsidR="00B24967">
        <w:rPr>
          <w:b/>
          <w:bCs/>
          <w:sz w:val="28"/>
          <w:szCs w:val="28"/>
        </w:rPr>
        <w:t xml:space="preserve">In Person + </w:t>
      </w:r>
      <w:proofErr w:type="spellStart"/>
      <w:r w:rsidR="00287C66" w:rsidRPr="00287C66">
        <w:rPr>
          <w:b/>
          <w:bCs/>
          <w:sz w:val="28"/>
          <w:szCs w:val="28"/>
        </w:rPr>
        <w:t>WebEx</w:t>
      </w:r>
      <w:proofErr w:type="spellEnd"/>
      <w:r w:rsidR="00287C66" w:rsidRPr="00287C66">
        <w:rPr>
          <w:b/>
          <w:bCs/>
          <w:sz w:val="28"/>
          <w:szCs w:val="28"/>
        </w:rPr>
        <w:t>)</w:t>
      </w:r>
    </w:p>
    <w:tbl>
      <w:tblPr>
        <w:tblW w:w="49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7110"/>
        <w:gridCol w:w="1620"/>
      </w:tblGrid>
      <w:tr w:rsidR="0056135A" w:rsidRPr="00A765CC" w14:paraId="2C1C752A" w14:textId="77777777" w:rsidTr="0056135A">
        <w:trPr>
          <w:trHeight w:val="630"/>
        </w:trPr>
        <w:tc>
          <w:tcPr>
            <w:tcW w:w="291" w:type="pct"/>
            <w:hideMark/>
          </w:tcPr>
          <w:p w14:paraId="2F8EFA68" w14:textId="77777777" w:rsidR="0056135A" w:rsidRPr="00A765CC" w:rsidRDefault="0056135A" w:rsidP="00A765CC">
            <w:r w:rsidRPr="00A765CC">
              <w:rPr>
                <w:b/>
                <w:bCs/>
              </w:rPr>
              <w:t>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23D7672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Antitrust Admonition</w:t>
            </w:r>
          </w:p>
          <w:p w14:paraId="1B292D78" w14:textId="3D6E7901" w:rsidR="0056135A" w:rsidRPr="00A765CC" w:rsidRDefault="00DC7FCA" w:rsidP="00A765CC">
            <w:r>
              <w:t xml:space="preserve">Meeting </w:t>
            </w:r>
            <w:r w:rsidR="007B7E9D">
              <w:t xml:space="preserve">started </w:t>
            </w:r>
            <w:r>
              <w:t xml:space="preserve">at </w:t>
            </w:r>
            <w:r w:rsidR="00B3038E">
              <w:t>1:00 pm</w:t>
            </w:r>
            <w:r>
              <w:t xml:space="preserve">. </w:t>
            </w:r>
            <w:r w:rsidR="0056135A">
              <w:t>Antitrust admonition was given.</w:t>
            </w:r>
          </w:p>
        </w:tc>
        <w:tc>
          <w:tcPr>
            <w:tcW w:w="874" w:type="pct"/>
            <w:hideMark/>
          </w:tcPr>
          <w:p w14:paraId="15C2053A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4A04B9CE" w14:textId="77777777" w:rsidTr="0056135A">
        <w:trPr>
          <w:trHeight w:val="630"/>
        </w:trPr>
        <w:tc>
          <w:tcPr>
            <w:tcW w:w="291" w:type="pct"/>
            <w:hideMark/>
          </w:tcPr>
          <w:p w14:paraId="5AC78C3F" w14:textId="77777777" w:rsidR="0056135A" w:rsidRPr="00A765CC" w:rsidRDefault="0056135A" w:rsidP="00A765CC">
            <w:r w:rsidRPr="00A765CC">
              <w:rPr>
                <w:b/>
                <w:bCs/>
              </w:rPr>
              <w:t>2.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D6A44C6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Agenda Review</w:t>
            </w:r>
          </w:p>
          <w:p w14:paraId="345C2B5F" w14:textId="03AFE6BC" w:rsidR="0056135A" w:rsidRPr="00A765CC" w:rsidRDefault="0056135A" w:rsidP="00A765CC">
            <w:r>
              <w:t>Agenda was reviewed.</w:t>
            </w:r>
          </w:p>
        </w:tc>
        <w:tc>
          <w:tcPr>
            <w:tcW w:w="874" w:type="pct"/>
            <w:hideMark/>
          </w:tcPr>
          <w:p w14:paraId="4EF8B739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56135A" w:rsidRPr="00A765CC" w14:paraId="7FD5B6DD" w14:textId="77777777" w:rsidTr="0056135A">
        <w:trPr>
          <w:trHeight w:val="630"/>
        </w:trPr>
        <w:tc>
          <w:tcPr>
            <w:tcW w:w="291" w:type="pct"/>
            <w:hideMark/>
          </w:tcPr>
          <w:p w14:paraId="3258EB6E" w14:textId="77777777" w:rsidR="0056135A" w:rsidRPr="00A765CC" w:rsidRDefault="0056135A" w:rsidP="00A765CC">
            <w:r w:rsidRPr="00A765CC">
              <w:rPr>
                <w:b/>
                <w:bCs/>
              </w:rPr>
              <w:t>3.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18ACD8" w14:textId="6F43AB95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Review of PLWG Meeting Minutes (</w:t>
            </w:r>
            <w:r w:rsidR="00AE32CD">
              <w:rPr>
                <w:b/>
                <w:bCs/>
              </w:rPr>
              <w:t>August 26th</w:t>
            </w:r>
            <w:r w:rsidRPr="00A765CC">
              <w:rPr>
                <w:b/>
                <w:bCs/>
              </w:rPr>
              <w:t>)</w:t>
            </w:r>
          </w:p>
          <w:p w14:paraId="184C9B67" w14:textId="66E993B2" w:rsidR="0056135A" w:rsidRPr="00A765CC" w:rsidRDefault="0056135A" w:rsidP="00A765CC">
            <w:r>
              <w:t>Meeting minutes reviewed. No feedback received.</w:t>
            </w:r>
          </w:p>
        </w:tc>
        <w:tc>
          <w:tcPr>
            <w:tcW w:w="874" w:type="pct"/>
            <w:hideMark/>
          </w:tcPr>
          <w:p w14:paraId="4DF279FC" w14:textId="77777777" w:rsidR="0056135A" w:rsidRPr="00A765CC" w:rsidRDefault="0056135A" w:rsidP="00A765CC">
            <w:r w:rsidRPr="00A765CC">
              <w:rPr>
                <w:b/>
                <w:bCs/>
              </w:rPr>
              <w:t>Chair</w:t>
            </w:r>
          </w:p>
        </w:tc>
      </w:tr>
      <w:tr w:rsidR="00800FEF" w:rsidRPr="00A765CC" w14:paraId="7EA0D1F4" w14:textId="77777777" w:rsidTr="0056135A">
        <w:trPr>
          <w:trHeight w:val="630"/>
        </w:trPr>
        <w:tc>
          <w:tcPr>
            <w:tcW w:w="291" w:type="pct"/>
          </w:tcPr>
          <w:p w14:paraId="1BCBC0EA" w14:textId="5AA4EF86" w:rsidR="00800FEF" w:rsidRDefault="00AE32CD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00FEF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2FFE89B" w14:textId="77777777" w:rsidR="00800FEF" w:rsidRDefault="00800FEF" w:rsidP="00A765CC">
            <w:pPr>
              <w:rPr>
                <w:b/>
                <w:bCs/>
              </w:rPr>
            </w:pPr>
            <w:r w:rsidRPr="00CD6C60">
              <w:rPr>
                <w:b/>
                <w:bCs/>
              </w:rPr>
              <w:t>NPRR 1274</w:t>
            </w:r>
            <w:r>
              <w:rPr>
                <w:b/>
                <w:bCs/>
              </w:rPr>
              <w:t xml:space="preserve"> –</w:t>
            </w:r>
            <w:r w:rsidRPr="00CD6C60">
              <w:rPr>
                <w:b/>
                <w:bCs/>
              </w:rPr>
              <w:t xml:space="preserve"> RPG</w:t>
            </w:r>
            <w:r>
              <w:rPr>
                <w:b/>
                <w:bCs/>
              </w:rPr>
              <w:t xml:space="preserve"> </w:t>
            </w:r>
            <w:r w:rsidRPr="00CD6C60">
              <w:rPr>
                <w:b/>
                <w:bCs/>
              </w:rPr>
              <w:t>Estimated Capital Cost Thresholds of Proposed Transmission Projects</w:t>
            </w:r>
          </w:p>
          <w:p w14:paraId="0A32D538" w14:textId="132CA87E" w:rsidR="003B66B9" w:rsidRDefault="00C16B9F" w:rsidP="00A765CC">
            <w:r>
              <w:t>Robert</w:t>
            </w:r>
            <w:r w:rsidR="00301D43">
              <w:t xml:space="preserve"> Golen</w:t>
            </w:r>
            <w:r>
              <w:t xml:space="preserve"> (ERCOT)</w:t>
            </w:r>
            <w:r w:rsidR="00301D43">
              <w:t xml:space="preserve"> presented</w:t>
            </w:r>
            <w:r w:rsidR="001E6EB0">
              <w:t xml:space="preserve"> the</w:t>
            </w:r>
            <w:r w:rsidR="00301D43">
              <w:t xml:space="preserve"> </w:t>
            </w:r>
            <w:r w:rsidR="00B925F6">
              <w:t xml:space="preserve">ERCOT </w:t>
            </w:r>
            <w:r w:rsidR="00301D43">
              <w:t xml:space="preserve">comments posted </w:t>
            </w:r>
            <w:r w:rsidR="001E6EB0">
              <w:t>on 9/23</w:t>
            </w:r>
            <w:r w:rsidR="00ED5BCA">
              <w:t xml:space="preserve">. ERCOT agrees with </w:t>
            </w:r>
            <w:r w:rsidR="004B5320">
              <w:t xml:space="preserve">the </w:t>
            </w:r>
            <w:r w:rsidR="00ED5BCA">
              <w:t xml:space="preserve">proposal from </w:t>
            </w:r>
            <w:r w:rsidR="004B3626">
              <w:t xml:space="preserve">Oncor and Joint </w:t>
            </w:r>
            <w:r w:rsidR="00ED5BCA">
              <w:t xml:space="preserve">TSP commenters to double the cost thresholds for all Tier 1, 2, and 3 projects. </w:t>
            </w:r>
            <w:r w:rsidR="004B5320">
              <w:t>Based on</w:t>
            </w:r>
            <w:r w:rsidR="004B3626">
              <w:t xml:space="preserve"> </w:t>
            </w:r>
            <w:r w:rsidR="00B925F6">
              <w:t>the cost</w:t>
            </w:r>
            <w:r w:rsidR="004B5320">
              <w:t xml:space="preserve"> information provided in</w:t>
            </w:r>
            <w:r w:rsidR="00B925F6">
              <w:t xml:space="preserve"> response to</w:t>
            </w:r>
            <w:r w:rsidR="004B5320">
              <w:t xml:space="preserve"> ERCOT’s RFI, </w:t>
            </w:r>
            <w:r w:rsidR="004B3626">
              <w:t xml:space="preserve">ERCOT believes this would be a more appropriate change than the original </w:t>
            </w:r>
            <w:r w:rsidR="003B66B9">
              <w:t>Consumer Price Index i</w:t>
            </w:r>
            <w:r w:rsidR="004B3626">
              <w:t xml:space="preserve">ncrease first suggested. </w:t>
            </w:r>
            <w:r w:rsidR="003B66B9">
              <w:t>ERCOT</w:t>
            </w:r>
            <w:r w:rsidR="00ED3D5D">
              <w:t xml:space="preserve"> also responds</w:t>
            </w:r>
            <w:r w:rsidR="003B66B9">
              <w:t xml:space="preserve"> to </w:t>
            </w:r>
            <w:r w:rsidR="00997E80">
              <w:t xml:space="preserve">language suggested by </w:t>
            </w:r>
            <w:r w:rsidR="003B66B9">
              <w:t>TEBA</w:t>
            </w:r>
            <w:r w:rsidR="00997E80">
              <w:t xml:space="preserve"> </w:t>
            </w:r>
            <w:r w:rsidR="00B925F6">
              <w:t>but</w:t>
            </w:r>
            <w:r w:rsidR="003B66B9">
              <w:t xml:space="preserve"> does not believe it is appropriate to include in this revision request.</w:t>
            </w:r>
          </w:p>
          <w:p w14:paraId="21A45478" w14:textId="38F9D50F" w:rsidR="0032192A" w:rsidRPr="00FA5326" w:rsidRDefault="003B66B9" w:rsidP="00A765CC">
            <w:r>
              <w:t xml:space="preserve">Martha Henson (Oncor) – </w:t>
            </w:r>
            <w:r w:rsidR="00B925F6">
              <w:t xml:space="preserve">Oncor </w:t>
            </w:r>
            <w:r>
              <w:t xml:space="preserve">appreciates </w:t>
            </w:r>
            <w:r w:rsidR="00B925F6">
              <w:t xml:space="preserve">ERCOT </w:t>
            </w:r>
            <w:r>
              <w:t>taking time to gather data that validated the trends that the TSPs were observing.</w:t>
            </w:r>
          </w:p>
          <w:p w14:paraId="72B4998A" w14:textId="7740B8D3" w:rsidR="006F1F5D" w:rsidRPr="006F1F5D" w:rsidRDefault="006F1F5D" w:rsidP="00A765CC">
            <w:pPr>
              <w:rPr>
                <w:b/>
                <w:bCs/>
                <w:i/>
                <w:iCs/>
              </w:rPr>
            </w:pPr>
            <w:r w:rsidRPr="006F1F5D">
              <w:rPr>
                <w:b/>
                <w:bCs/>
                <w:i/>
                <w:iCs/>
              </w:rPr>
              <w:t xml:space="preserve">Action Taken: </w:t>
            </w:r>
            <w:r w:rsidR="001F55DD">
              <w:rPr>
                <w:b/>
                <w:bCs/>
                <w:i/>
                <w:iCs/>
              </w:rPr>
              <w:t>Will report to ROS that PLWG reached consensus on NPRR 1274</w:t>
            </w:r>
            <w:r w:rsidR="00833B37">
              <w:rPr>
                <w:b/>
                <w:bCs/>
                <w:i/>
                <w:iCs/>
              </w:rPr>
              <w:t xml:space="preserve"> language</w:t>
            </w:r>
            <w:r w:rsidR="007C7776">
              <w:rPr>
                <w:b/>
                <w:bCs/>
                <w:i/>
                <w:iCs/>
              </w:rPr>
              <w:t xml:space="preserve"> as reflected in Oncor’s comments. </w:t>
            </w:r>
          </w:p>
        </w:tc>
        <w:tc>
          <w:tcPr>
            <w:tcW w:w="874" w:type="pct"/>
          </w:tcPr>
          <w:p w14:paraId="15732D62" w14:textId="04B02A8F" w:rsidR="00800FEF" w:rsidRDefault="00800FEF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634629" w:rsidRPr="00A765CC" w14:paraId="0EA88CFA" w14:textId="77777777" w:rsidTr="00F706CF">
        <w:trPr>
          <w:trHeight w:val="630"/>
        </w:trPr>
        <w:tc>
          <w:tcPr>
            <w:tcW w:w="291" w:type="pct"/>
            <w:hideMark/>
          </w:tcPr>
          <w:p w14:paraId="1D9F2B57" w14:textId="32F990C6" w:rsidR="00634629" w:rsidRPr="00634629" w:rsidRDefault="00634629" w:rsidP="00F706CF">
            <w:pPr>
              <w:rPr>
                <w:b/>
                <w:bCs/>
              </w:rPr>
            </w:pPr>
            <w:r w:rsidRPr="00634629">
              <w:rPr>
                <w:b/>
                <w:bCs/>
              </w:rPr>
              <w:t>5.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E4E6FA2" w14:textId="16271D8A" w:rsidR="00634629" w:rsidRDefault="00634629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t>PGRR 126 – Related to NPRR1284, Guaranteed Reliability Load Process &amp; NPRR 1284 – Guaranteed Reliability Load Process</w:t>
            </w:r>
          </w:p>
          <w:p w14:paraId="19CDAD7F" w14:textId="19835DA1" w:rsidR="00491AEA" w:rsidRDefault="00491AEA" w:rsidP="00F706CF">
            <w:r>
              <w:t>Clayton Greer</w:t>
            </w:r>
            <w:r w:rsidR="00833B37">
              <w:t xml:space="preserve"> (Cholla)</w:t>
            </w:r>
            <w:r>
              <w:t xml:space="preserve"> relayed that</w:t>
            </w:r>
            <w:r w:rsidR="00370753">
              <w:t xml:space="preserve"> discussions with</w:t>
            </w:r>
            <w:r w:rsidR="00B925F6">
              <w:t xml:space="preserve"> ERCOT </w:t>
            </w:r>
            <w:r w:rsidR="00D85676">
              <w:t xml:space="preserve">indicate that </w:t>
            </w:r>
            <w:r>
              <w:t>the SCED approach should work</w:t>
            </w:r>
            <w:r w:rsidR="00AE4E16">
              <w:t>.</w:t>
            </w:r>
            <w:r w:rsidR="00D85676">
              <w:t xml:space="preserve"> While ERCOT personnel were not available to discuss during the meeting, Clayton also s</w:t>
            </w:r>
            <w:r w:rsidR="00152146">
              <w:t xml:space="preserve">hared that ERCOT </w:t>
            </w:r>
            <w:r w:rsidR="00B925F6">
              <w:t xml:space="preserve">is </w:t>
            </w:r>
            <w:r w:rsidR="00152146">
              <w:t xml:space="preserve">not supportive of </w:t>
            </w:r>
            <w:r w:rsidR="00B925F6">
              <w:t>Google’s proposal to create</w:t>
            </w:r>
            <w:r w:rsidR="00152146">
              <w:t xml:space="preserve"> a 100-hour limit.</w:t>
            </w:r>
          </w:p>
          <w:p w14:paraId="69AE2C84" w14:textId="1636C94C" w:rsidR="00465649" w:rsidRDefault="00465649" w:rsidP="00F706CF">
            <w:r>
              <w:t xml:space="preserve">Clayton plans to provide a presentation </w:t>
            </w:r>
            <w:r w:rsidR="00B925F6">
              <w:t xml:space="preserve">when appropriate </w:t>
            </w:r>
            <w:r>
              <w:t>at PLWG, LLWG, and OWG.</w:t>
            </w:r>
          </w:p>
          <w:p w14:paraId="1290AE64" w14:textId="52821D7B" w:rsidR="00481F56" w:rsidRPr="00B925F6" w:rsidRDefault="00481F56" w:rsidP="00F706CF">
            <w:pPr>
              <w:rPr>
                <w:b/>
                <w:bCs/>
                <w:i/>
                <w:iCs/>
              </w:rPr>
            </w:pPr>
            <w:r w:rsidRPr="00B925F6">
              <w:rPr>
                <w:b/>
                <w:bCs/>
                <w:i/>
                <w:iCs/>
              </w:rPr>
              <w:t xml:space="preserve">Action: Tabled to allow appropriate ERCOT personnel to be present to </w:t>
            </w:r>
            <w:r w:rsidR="00B925F6">
              <w:rPr>
                <w:b/>
                <w:bCs/>
                <w:i/>
                <w:iCs/>
              </w:rPr>
              <w:t>discuss</w:t>
            </w:r>
            <w:r w:rsidR="00D85676">
              <w:rPr>
                <w:b/>
                <w:bCs/>
                <w:i/>
                <w:iCs/>
              </w:rPr>
              <w:t xml:space="preserve"> and respond</w:t>
            </w:r>
            <w:r w:rsidRPr="00B925F6">
              <w:rPr>
                <w:b/>
                <w:bCs/>
                <w:i/>
                <w:iCs/>
              </w:rPr>
              <w:t>.</w:t>
            </w:r>
          </w:p>
          <w:p w14:paraId="0D63324B" w14:textId="77777777" w:rsidR="00634629" w:rsidRPr="00481527" w:rsidRDefault="00634629" w:rsidP="00634629"/>
        </w:tc>
        <w:tc>
          <w:tcPr>
            <w:tcW w:w="874" w:type="pct"/>
            <w:hideMark/>
          </w:tcPr>
          <w:p w14:paraId="318D23F0" w14:textId="77777777" w:rsidR="00634629" w:rsidRPr="002D22AD" w:rsidRDefault="00634629" w:rsidP="00F706CF">
            <w:pPr>
              <w:rPr>
                <w:b/>
                <w:bCs/>
              </w:rPr>
            </w:pPr>
            <w:r w:rsidRPr="002D22AD">
              <w:rPr>
                <w:b/>
                <w:bCs/>
              </w:rPr>
              <w:t>Clayton Greer</w:t>
            </w:r>
          </w:p>
        </w:tc>
      </w:tr>
      <w:tr w:rsidR="00634629" w:rsidRPr="00A765CC" w14:paraId="0E1BFD55" w14:textId="77777777" w:rsidTr="00F706CF">
        <w:trPr>
          <w:trHeight w:val="630"/>
        </w:trPr>
        <w:tc>
          <w:tcPr>
            <w:tcW w:w="291" w:type="pct"/>
          </w:tcPr>
          <w:p w14:paraId="19A9F94E" w14:textId="1184BDF6" w:rsidR="00634629" w:rsidRDefault="00634629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8CDF270" w14:textId="498A957D" w:rsidR="00634629" w:rsidRDefault="00634629" w:rsidP="00F706CF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127</w:t>
            </w:r>
            <w:r w:rsidR="001E6EB0">
              <w:rPr>
                <w:b/>
                <w:bCs/>
              </w:rPr>
              <w:t xml:space="preserve"> – </w:t>
            </w:r>
            <w:r w:rsidRPr="008269AF">
              <w:rPr>
                <w:b/>
                <w:bCs/>
              </w:rPr>
              <w:t>Addition</w:t>
            </w:r>
            <w:r w:rsidR="001E6EB0">
              <w:rPr>
                <w:b/>
                <w:bCs/>
              </w:rPr>
              <w:t xml:space="preserve"> </w:t>
            </w:r>
            <w:r w:rsidRPr="008269AF">
              <w:rPr>
                <w:b/>
                <w:bCs/>
              </w:rPr>
              <w:t>of Proposed Generation to the Planning Models</w:t>
            </w:r>
          </w:p>
          <w:p w14:paraId="65C04615" w14:textId="5B71FC5A" w:rsidR="00B925F6" w:rsidRPr="00B925F6" w:rsidRDefault="00D85676" w:rsidP="00F706CF">
            <w:r>
              <w:lastRenderedPageBreak/>
              <w:t>Agenda item n</w:t>
            </w:r>
            <w:r w:rsidR="00B925F6">
              <w:t>ot discussed.</w:t>
            </w:r>
          </w:p>
          <w:p w14:paraId="31E1B85F" w14:textId="53CC7563" w:rsidR="00634629" w:rsidRPr="00156453" w:rsidRDefault="00634629" w:rsidP="00F706CF">
            <w:pPr>
              <w:rPr>
                <w:b/>
                <w:bCs/>
                <w:i/>
                <w:iCs/>
              </w:rPr>
            </w:pPr>
            <w:r w:rsidRPr="00156453">
              <w:rPr>
                <w:b/>
                <w:bCs/>
                <w:i/>
                <w:iCs/>
              </w:rPr>
              <w:t>Action Taken: Tabled</w:t>
            </w:r>
            <w:r>
              <w:rPr>
                <w:b/>
                <w:bCs/>
                <w:i/>
                <w:iCs/>
              </w:rPr>
              <w:t xml:space="preserve"> to the next PLWG meeting.</w:t>
            </w:r>
          </w:p>
        </w:tc>
        <w:tc>
          <w:tcPr>
            <w:tcW w:w="874" w:type="pct"/>
          </w:tcPr>
          <w:p w14:paraId="3B6ADFE4" w14:textId="77777777" w:rsidR="00634629" w:rsidRDefault="00634629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ERCOT</w:t>
            </w:r>
          </w:p>
        </w:tc>
      </w:tr>
      <w:tr w:rsidR="003B50BF" w:rsidRPr="00A765CC" w14:paraId="041668B4" w14:textId="77777777" w:rsidTr="00F706CF">
        <w:trPr>
          <w:trHeight w:val="630"/>
        </w:trPr>
        <w:tc>
          <w:tcPr>
            <w:tcW w:w="291" w:type="pct"/>
          </w:tcPr>
          <w:p w14:paraId="58DBE6CC" w14:textId="1BD301FE" w:rsidR="003B50BF" w:rsidRDefault="003B50BF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731FDB3" w14:textId="77777777" w:rsidR="003B50BF" w:rsidRDefault="003B50BF" w:rsidP="00F706CF">
            <w:pPr>
              <w:rPr>
                <w:b/>
                <w:bCs/>
              </w:rPr>
            </w:pPr>
            <w:r w:rsidRPr="00134CED">
              <w:rPr>
                <w:b/>
                <w:bCs/>
              </w:rPr>
              <w:t>PGRR 128</w:t>
            </w:r>
            <w:r>
              <w:rPr>
                <w:b/>
                <w:bCs/>
              </w:rPr>
              <w:t xml:space="preserve"> - </w:t>
            </w:r>
            <w:r w:rsidRPr="00D724A0">
              <w:rPr>
                <w:b/>
                <w:bCs/>
              </w:rPr>
              <w:t>Regional Transmission Plan Review of Grid Enhancing Technologies</w:t>
            </w:r>
          </w:p>
          <w:p w14:paraId="33DEB4ED" w14:textId="5DA687CB" w:rsidR="003B50BF" w:rsidRDefault="006C33D7" w:rsidP="00F706CF">
            <w:r>
              <w:t xml:space="preserve">Julia Selker (WATT Coalition) spoke to joint comments posted by </w:t>
            </w:r>
            <w:r w:rsidR="003B50BF">
              <w:t>WATT</w:t>
            </w:r>
            <w:r>
              <w:t>,</w:t>
            </w:r>
            <w:r w:rsidR="003B50BF">
              <w:t xml:space="preserve"> AMP</w:t>
            </w:r>
            <w:r>
              <w:t>,</w:t>
            </w:r>
            <w:r w:rsidR="003B50BF">
              <w:t xml:space="preserve"> TTP</w:t>
            </w:r>
            <w:r>
              <w:t xml:space="preserve"> on 9/15</w:t>
            </w:r>
            <w:r w:rsidR="00070686">
              <w:t xml:space="preserve"> supporting </w:t>
            </w:r>
            <w:r w:rsidR="00F41387">
              <w:t>addition of</w:t>
            </w:r>
            <w:r w:rsidR="0027507E">
              <w:t xml:space="preserve"> requirement to evaluat</w:t>
            </w:r>
            <w:r w:rsidR="001E0620">
              <w:t>e advanced transmission technologies</w:t>
            </w:r>
            <w:r w:rsidR="006B15DB">
              <w:t>.</w:t>
            </w:r>
          </w:p>
          <w:p w14:paraId="5D55F2E1" w14:textId="64E96FC8" w:rsidR="003B50BF" w:rsidRDefault="006B15DB" w:rsidP="00F706CF">
            <w:r>
              <w:t>Ted Block-Rubin (</w:t>
            </w:r>
            <w:r w:rsidR="003B50BF">
              <w:t>Smart Wires</w:t>
            </w:r>
            <w:r>
              <w:t>) spoke to</w:t>
            </w:r>
            <w:r w:rsidR="003B50BF">
              <w:t xml:space="preserve"> </w:t>
            </w:r>
            <w:r w:rsidR="00D82DD9">
              <w:t>c</w:t>
            </w:r>
            <w:r w:rsidR="003B50BF">
              <w:t xml:space="preserve">omments </w:t>
            </w:r>
            <w:r w:rsidR="00666146">
              <w:t>posted on 9/15.</w:t>
            </w:r>
            <w:r w:rsidR="003B50BF">
              <w:t xml:space="preserve"> </w:t>
            </w:r>
            <w:r w:rsidR="00D82DD9">
              <w:t>Alex Al-Homsi</w:t>
            </w:r>
            <w:r w:rsidR="00666146">
              <w:t xml:space="preserve"> (Smart Wires) presented internal analysis</w:t>
            </w:r>
            <w:r w:rsidR="00B92A47">
              <w:t xml:space="preserve"> </w:t>
            </w:r>
            <w:r w:rsidR="00C47EDF">
              <w:t xml:space="preserve">from 2022 </w:t>
            </w:r>
            <w:r w:rsidR="00B92A47">
              <w:t xml:space="preserve">of </w:t>
            </w:r>
            <w:r w:rsidR="00C47EDF">
              <w:t>several of ERCOT’s top twenty constrained circuits, concluding that</w:t>
            </w:r>
            <w:r w:rsidR="007568E8">
              <w:t xml:space="preserve"> the installation of GETS technology would have significantly reduced congestion costs.</w:t>
            </w:r>
          </w:p>
          <w:p w14:paraId="119D9F7D" w14:textId="7F3BDDFF" w:rsidR="003B50BF" w:rsidRDefault="00F41387" w:rsidP="00F706CF">
            <w:r>
              <w:t>Prabhu G</w:t>
            </w:r>
            <w:r w:rsidR="005E5A04">
              <w:t>nanam</w:t>
            </w:r>
            <w:r>
              <w:t xml:space="preserve"> (ERCOT) </w:t>
            </w:r>
            <w:r w:rsidR="007A47F9">
              <w:t>shared that</w:t>
            </w:r>
            <w:r>
              <w:t xml:space="preserve"> ERC</w:t>
            </w:r>
            <w:r w:rsidR="0027507E">
              <w:t>O</w:t>
            </w:r>
            <w:r>
              <w:t>T plans to file comments.</w:t>
            </w:r>
            <w:r w:rsidR="0027507E">
              <w:t xml:space="preserve"> Strongly opposed to add</w:t>
            </w:r>
            <w:r w:rsidR="005E5A04">
              <w:t>ing</w:t>
            </w:r>
            <w:r w:rsidR="0027507E">
              <w:t xml:space="preserve"> this requirement to RTP.</w:t>
            </w:r>
          </w:p>
          <w:p w14:paraId="18B25A19" w14:textId="29FB7DDF" w:rsidR="001E0620" w:rsidRDefault="001E0620" w:rsidP="00F706CF">
            <w:r>
              <w:t xml:space="preserve">Chris Matos (Goggle) – </w:t>
            </w:r>
            <w:r w:rsidR="004A57BD">
              <w:t>Google plans</w:t>
            </w:r>
            <w:r>
              <w:t xml:space="preserve"> to file comments in support of PGRR128.</w:t>
            </w:r>
            <w:r w:rsidR="009C2E8F">
              <w:t xml:space="preserve"> Believe</w:t>
            </w:r>
            <w:r w:rsidR="004A57BD">
              <w:t xml:space="preserve">s </w:t>
            </w:r>
            <w:r w:rsidR="005E5A04">
              <w:t xml:space="preserve">that </w:t>
            </w:r>
            <w:r w:rsidR="004A57BD">
              <w:t>ERCOT</w:t>
            </w:r>
            <w:r w:rsidR="009C2E8F">
              <w:t xml:space="preserve"> should incorporate this evaluation in earlier stage</w:t>
            </w:r>
            <w:r w:rsidR="005E5A04">
              <w:t>s of</w:t>
            </w:r>
            <w:r w:rsidR="009C2E8F">
              <w:t xml:space="preserve"> the analysis and does not believe it’s an overly burdensome ask.</w:t>
            </w:r>
          </w:p>
          <w:p w14:paraId="7492E2DD" w14:textId="30053DF7" w:rsidR="009C2E8F" w:rsidRDefault="009C2E8F" w:rsidP="00F706CF">
            <w:r>
              <w:t xml:space="preserve">Martha Henson (Oncor) – </w:t>
            </w:r>
            <w:r w:rsidR="00DC207C">
              <w:t>Oncor h</w:t>
            </w:r>
            <w:r>
              <w:t xml:space="preserve">as not changed </w:t>
            </w:r>
            <w:r w:rsidR="00DC207C">
              <w:t xml:space="preserve">its </w:t>
            </w:r>
            <w:r w:rsidR="00292B1D">
              <w:t>position</w:t>
            </w:r>
            <w:r>
              <w:t xml:space="preserve"> from earlier comments. Oncor</w:t>
            </w:r>
            <w:r w:rsidR="00292B1D">
              <w:t>’s opinion is that any commenter can propose that such a technology be evaluated in existing processes and does not believe it should be standardized either through NPRR1274 or applied to the RTP as proposed in PGRR128.</w:t>
            </w:r>
          </w:p>
          <w:p w14:paraId="29A49B45" w14:textId="3DB2B74A" w:rsidR="004A57BD" w:rsidRDefault="004A57BD" w:rsidP="00F706CF">
            <w:r>
              <w:t xml:space="preserve">Julia Selker (WATT) - Can ERCOT propose an alternative venue to </w:t>
            </w:r>
            <w:r w:rsidR="005E5A04">
              <w:t>introduce</w:t>
            </w:r>
            <w:r>
              <w:t xml:space="preserve"> this requirement?</w:t>
            </w:r>
          </w:p>
          <w:p w14:paraId="598C77DB" w14:textId="2CC58607" w:rsidR="00426298" w:rsidRDefault="001F628E" w:rsidP="00F706CF">
            <w:r>
              <w:t xml:space="preserve">Prabhu – RPG </w:t>
            </w:r>
            <w:r w:rsidR="00705DDB">
              <w:t>is the existing</w:t>
            </w:r>
            <w:r>
              <w:t xml:space="preserve"> venue where you can propose and discuss alternatives. ERCOT has an obligation to study this when proposed. Oppose</w:t>
            </w:r>
            <w:r w:rsidR="005E5A04">
              <w:t>s the concept</w:t>
            </w:r>
            <w:r>
              <w:t xml:space="preserve"> that every project in RTP</w:t>
            </w:r>
            <w:r w:rsidR="00705DDB">
              <w:t xml:space="preserve"> should receive an exhaustive analysis of all alternatives.</w:t>
            </w:r>
          </w:p>
          <w:p w14:paraId="4037B153" w14:textId="469D84ED" w:rsidR="009B0996" w:rsidRDefault="00426298" w:rsidP="00F706CF">
            <w:r>
              <w:t xml:space="preserve">Ted – How is the list of alternative technologies managed to ensure that it’s exhaustive and </w:t>
            </w:r>
            <w:r w:rsidR="005E5A04">
              <w:t>up to date</w:t>
            </w:r>
            <w:r w:rsidR="009B0996">
              <w:t>?</w:t>
            </w:r>
          </w:p>
          <w:p w14:paraId="484CFD7D" w14:textId="13041E43" w:rsidR="000E62CA" w:rsidRDefault="009B0996" w:rsidP="00F706CF">
            <w:r>
              <w:t xml:space="preserve">Prabhu – </w:t>
            </w:r>
            <w:r w:rsidR="00DC207C">
              <w:t>ERCOT doesn’t</w:t>
            </w:r>
            <w:r>
              <w:t xml:space="preserve"> necessarily</w:t>
            </w:r>
            <w:r w:rsidR="00456245">
              <w:t xml:space="preserve"> maintain a database of all technologies available. In a particular project, </w:t>
            </w:r>
            <w:r w:rsidR="00522B5D">
              <w:t>ERCOT works</w:t>
            </w:r>
            <w:r w:rsidR="00456245">
              <w:t xml:space="preserve"> with the TSP to identify alternatives to determine a cost-effective solution.</w:t>
            </w:r>
          </w:p>
          <w:p w14:paraId="5758AD32" w14:textId="76AA04AA" w:rsidR="004A57BD" w:rsidRDefault="000E62CA" w:rsidP="00F706CF">
            <w:r>
              <w:t>Erin Rasmussen (AEP) – Working to file comments for this PGRR and would favor tabling.</w:t>
            </w:r>
            <w:r w:rsidR="001F628E">
              <w:t xml:space="preserve"> </w:t>
            </w:r>
          </w:p>
          <w:p w14:paraId="1F9B22EE" w14:textId="6FFE0662" w:rsidR="00FF4763" w:rsidRDefault="00A36EB7" w:rsidP="00FF4763">
            <w:r>
              <w:t xml:space="preserve">Julia – </w:t>
            </w:r>
            <w:r w:rsidR="00FF4763" w:rsidRPr="00FF4763">
              <w:t>The WATT comments include examples of when ERCOT analysis seems to consider specific technologies in their evaluations</w:t>
            </w:r>
            <w:r w:rsidR="00522B5D">
              <w:t>.</w:t>
            </w:r>
            <w:r w:rsidR="00FF4763" w:rsidRPr="00FF4763">
              <w:t xml:space="preserve"> </w:t>
            </w:r>
            <w:r w:rsidR="00522B5D">
              <w:t>WATT would</w:t>
            </w:r>
            <w:r w:rsidR="00FF4763" w:rsidRPr="00FF4763">
              <w:t xml:space="preserve"> </w:t>
            </w:r>
            <w:r w:rsidR="00FF4763" w:rsidRPr="00FF4763">
              <w:lastRenderedPageBreak/>
              <w:t>be interested in understanding why it would not be appropriate to consider GETs there</w:t>
            </w:r>
            <w:r w:rsidR="00FF4763">
              <w:t>.</w:t>
            </w:r>
          </w:p>
          <w:p w14:paraId="1400D954" w14:textId="58A96D32" w:rsidR="009F2324" w:rsidRDefault="009F2324" w:rsidP="00FF4763">
            <w:r>
              <w:t xml:space="preserve">Ping Yan (ERCOT) </w:t>
            </w:r>
            <w:r w:rsidR="005E5A04">
              <w:t>p</w:t>
            </w:r>
            <w:r>
              <w:t>rovided further details and explanation of the ERCOT economic test study process.</w:t>
            </w:r>
            <w:r w:rsidR="006737F7">
              <w:t xml:space="preserve"> ERCOT plan</w:t>
            </w:r>
            <w:r w:rsidR="00685443">
              <w:t>s</w:t>
            </w:r>
            <w:r w:rsidR="006737F7">
              <w:t xml:space="preserve"> to file formal comments and will continue the discussion after that time.</w:t>
            </w:r>
          </w:p>
          <w:p w14:paraId="7ACAFC25" w14:textId="4DAB5D44" w:rsidR="00FF4763" w:rsidRPr="00FF4763" w:rsidRDefault="00FF4763" w:rsidP="00FF4763">
            <w:r>
              <w:t xml:space="preserve">Bryn Baker </w:t>
            </w:r>
            <w:r w:rsidR="00685443">
              <w:t>(TEBA) – Supports tabling to allow time to revise the PGRR language in advance of the next meeting.</w:t>
            </w:r>
          </w:p>
          <w:p w14:paraId="66FC3388" w14:textId="1D97C880" w:rsidR="003B50BF" w:rsidRPr="00481527" w:rsidRDefault="003B50BF" w:rsidP="00F706CF">
            <w:pPr>
              <w:rPr>
                <w:b/>
                <w:bCs/>
                <w:i/>
                <w:iCs/>
              </w:rPr>
            </w:pPr>
            <w:r w:rsidRPr="00481527">
              <w:rPr>
                <w:b/>
                <w:bCs/>
                <w:i/>
                <w:iCs/>
              </w:rPr>
              <w:t>Action: Table</w:t>
            </w:r>
            <w:r>
              <w:rPr>
                <w:b/>
                <w:bCs/>
                <w:i/>
                <w:iCs/>
              </w:rPr>
              <w:t>d</w:t>
            </w:r>
            <w:r w:rsidRPr="00481527">
              <w:rPr>
                <w:b/>
                <w:bCs/>
                <w:i/>
                <w:iCs/>
              </w:rPr>
              <w:t xml:space="preserve"> PGRR128</w:t>
            </w:r>
            <w:r>
              <w:rPr>
                <w:b/>
                <w:bCs/>
                <w:i/>
                <w:iCs/>
              </w:rPr>
              <w:t xml:space="preserve"> to next PLWG meeting</w:t>
            </w:r>
            <w:r w:rsidRPr="00481527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874" w:type="pct"/>
          </w:tcPr>
          <w:p w14:paraId="7451E04A" w14:textId="26D94697" w:rsidR="003B50BF" w:rsidRDefault="003B50BF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ERCOT</w:t>
            </w:r>
          </w:p>
        </w:tc>
      </w:tr>
      <w:tr w:rsidR="00D82DD9" w:rsidRPr="00A765CC" w14:paraId="60A60F12" w14:textId="77777777" w:rsidTr="00F706CF">
        <w:trPr>
          <w:trHeight w:val="630"/>
        </w:trPr>
        <w:tc>
          <w:tcPr>
            <w:tcW w:w="291" w:type="pct"/>
          </w:tcPr>
          <w:p w14:paraId="201E5B44" w14:textId="426A5326" w:rsidR="00D82DD9" w:rsidRDefault="00D82DD9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006A3A9E" w14:textId="77777777" w:rsidR="00D82DD9" w:rsidRDefault="00D82DD9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t>PGRR 130 – Related to NPRR1295, GTC Exit Solutions</w:t>
            </w:r>
          </w:p>
          <w:p w14:paraId="479FF68D" w14:textId="29E63A23" w:rsidR="00685443" w:rsidRPr="00685443" w:rsidRDefault="00522B5D" w:rsidP="00F706CF">
            <w:r>
              <w:t>Agenda item was not discussed</w:t>
            </w:r>
            <w:r w:rsidR="00B61C5D">
              <w:t>.</w:t>
            </w:r>
          </w:p>
        </w:tc>
        <w:tc>
          <w:tcPr>
            <w:tcW w:w="874" w:type="pct"/>
          </w:tcPr>
          <w:p w14:paraId="5EC25790" w14:textId="684CDC35" w:rsidR="00D82DD9" w:rsidRDefault="00D82DD9" w:rsidP="00F706CF">
            <w:pPr>
              <w:rPr>
                <w:b/>
                <w:bCs/>
              </w:rPr>
            </w:pPr>
            <w:r>
              <w:rPr>
                <w:b/>
                <w:bCs/>
              </w:rPr>
              <w:t>Alex Miller, Kevin Hanson, Kat Patrick</w:t>
            </w:r>
          </w:p>
        </w:tc>
      </w:tr>
      <w:tr w:rsidR="00634629" w:rsidRPr="00A765CC" w14:paraId="669FDAF1" w14:textId="77777777" w:rsidTr="0056135A">
        <w:trPr>
          <w:trHeight w:val="630"/>
        </w:trPr>
        <w:tc>
          <w:tcPr>
            <w:tcW w:w="291" w:type="pct"/>
          </w:tcPr>
          <w:p w14:paraId="6BEEB1EC" w14:textId="77777777" w:rsidR="00634629" w:rsidRPr="00B61C5D" w:rsidRDefault="00634629" w:rsidP="00A765CC">
            <w:pPr>
              <w:rPr>
                <w:b/>
                <w:bCs/>
                <w:i/>
                <w:i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F2C96A2" w14:textId="2D988937" w:rsidR="00634629" w:rsidRPr="00B61C5D" w:rsidRDefault="00685443" w:rsidP="00A765CC">
            <w:pPr>
              <w:rPr>
                <w:b/>
                <w:bCs/>
                <w:i/>
                <w:iCs/>
              </w:rPr>
            </w:pPr>
            <w:r w:rsidRPr="00B61C5D">
              <w:rPr>
                <w:b/>
                <w:bCs/>
                <w:i/>
                <w:iCs/>
              </w:rPr>
              <w:t>Action:</w:t>
            </w:r>
            <w:r w:rsidR="00B61C5D" w:rsidRPr="00B61C5D">
              <w:rPr>
                <w:b/>
                <w:bCs/>
                <w:i/>
                <w:iCs/>
              </w:rPr>
              <w:t xml:space="preserve"> Tabled PGRR130 </w:t>
            </w:r>
            <w:proofErr w:type="gramStart"/>
            <w:r w:rsidR="00B61C5D" w:rsidRPr="00B61C5D">
              <w:rPr>
                <w:b/>
                <w:bCs/>
                <w:i/>
                <w:iCs/>
              </w:rPr>
              <w:t>to next</w:t>
            </w:r>
            <w:proofErr w:type="gramEnd"/>
            <w:r w:rsidR="00B61C5D" w:rsidRPr="00B61C5D">
              <w:rPr>
                <w:b/>
                <w:bCs/>
                <w:i/>
                <w:iCs/>
              </w:rPr>
              <w:t xml:space="preserve"> PLWG meeting.</w:t>
            </w:r>
          </w:p>
        </w:tc>
        <w:tc>
          <w:tcPr>
            <w:tcW w:w="874" w:type="pct"/>
          </w:tcPr>
          <w:p w14:paraId="2C9B8DE8" w14:textId="77777777" w:rsidR="00634629" w:rsidRDefault="00634629" w:rsidP="00A765CC">
            <w:pPr>
              <w:rPr>
                <w:b/>
                <w:bCs/>
              </w:rPr>
            </w:pPr>
          </w:p>
        </w:tc>
      </w:tr>
      <w:tr w:rsidR="00D82DD9" w:rsidRPr="00A765CC" w14:paraId="0701AD45" w14:textId="77777777" w:rsidTr="0056135A">
        <w:trPr>
          <w:trHeight w:val="630"/>
        </w:trPr>
        <w:tc>
          <w:tcPr>
            <w:tcW w:w="291" w:type="pct"/>
          </w:tcPr>
          <w:p w14:paraId="5CBC646E" w14:textId="2FDD87F6" w:rsidR="00D82DD9" w:rsidRDefault="00D82DD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4399718" w14:textId="77777777" w:rsidR="00D82DD9" w:rsidRPr="00D82DD9" w:rsidRDefault="00D82DD9" w:rsidP="00A765CC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PGRR 131 – Requirements for Interconnection Cost Reporting for Transmission-Connected Generators</w:t>
            </w:r>
          </w:p>
          <w:p w14:paraId="5CA7DBFC" w14:textId="362451E1" w:rsidR="00D82DD9" w:rsidRDefault="00D82DD9" w:rsidP="00A765CC">
            <w:r>
              <w:t>D</w:t>
            </w:r>
            <w:r w:rsidR="00110771">
              <w:t>oug Fohn (ERCOT) laid out the</w:t>
            </w:r>
            <w:r w:rsidR="00A30276">
              <w:t xml:space="preserve"> revision request. PUC Substantive</w:t>
            </w:r>
            <w:r w:rsidR="00110771">
              <w:t xml:space="preserve"> </w:t>
            </w:r>
            <w:r w:rsidR="00025B03">
              <w:t xml:space="preserve">Rule 25.195(i) requires ERCOT to collect </w:t>
            </w:r>
            <w:proofErr w:type="gramStart"/>
            <w:r w:rsidR="00025B03">
              <w:t>this information</w:t>
            </w:r>
            <w:proofErr w:type="gramEnd"/>
            <w:r w:rsidR="00025B03">
              <w:t xml:space="preserve"> monthly and in an annual report. The PGRR uses same language as in the rule.</w:t>
            </w:r>
          </w:p>
          <w:p w14:paraId="324A56CF" w14:textId="4F11824F" w:rsidR="00C713AA" w:rsidRDefault="00A30276" w:rsidP="00A765CC">
            <w:r>
              <w:t xml:space="preserve">Martha Henson (Oncor) – </w:t>
            </w:r>
            <w:r w:rsidR="00B53E60">
              <w:t xml:space="preserve">No major concerns and support the overall direction of ERCOT’s language. </w:t>
            </w:r>
            <w:r>
              <w:t>Oncor</w:t>
            </w:r>
            <w:r w:rsidR="00B53E60">
              <w:t xml:space="preserve"> does have</w:t>
            </w:r>
            <w:r>
              <w:t xml:space="preserve"> some questions on parts of the language to get clarity</w:t>
            </w:r>
            <w:r w:rsidR="00C713AA">
              <w:t>:</w:t>
            </w:r>
          </w:p>
          <w:p w14:paraId="47B95209" w14:textId="77777777" w:rsidR="00C713AA" w:rsidRDefault="00731A72" w:rsidP="00C713AA">
            <w:pPr>
              <w:ind w:left="345"/>
            </w:pPr>
            <w:r>
              <w:t>(1) Trigger date in P</w:t>
            </w:r>
            <w:r w:rsidR="00A30276">
              <w:t xml:space="preserve">aragraph 1 </w:t>
            </w:r>
            <w:r>
              <w:t xml:space="preserve">is based on energization of the interconnecting entity. Oncor </w:t>
            </w:r>
            <w:r w:rsidR="0032256B">
              <w:t>hopes to use a</w:t>
            </w:r>
            <w:r>
              <w:t xml:space="preserve">n existing </w:t>
            </w:r>
            <w:r w:rsidR="0032256B">
              <w:t xml:space="preserve">defined term </w:t>
            </w:r>
            <w:r>
              <w:t>from</w:t>
            </w:r>
            <w:r w:rsidR="0032256B">
              <w:t xml:space="preserve"> the </w:t>
            </w:r>
            <w:r>
              <w:t>P</w:t>
            </w:r>
            <w:r w:rsidR="0032256B">
              <w:t>rotocols.</w:t>
            </w:r>
            <w:r w:rsidR="004476A8">
              <w:t xml:space="preserve"> </w:t>
            </w:r>
          </w:p>
          <w:p w14:paraId="5CF91445" w14:textId="770D5FF3" w:rsidR="00C713AA" w:rsidRDefault="004476A8" w:rsidP="00C713AA">
            <w:pPr>
              <w:ind w:left="345"/>
            </w:pPr>
            <w:r>
              <w:t xml:space="preserve">(2)  Most costs will have been incurred by the reporting date, but there could be trailing costs after that reporting date – don’t want it to be like the monthly construction cost reporting where you </w:t>
            </w:r>
            <w:proofErr w:type="gramStart"/>
            <w:r>
              <w:t>have to</w:t>
            </w:r>
            <w:proofErr w:type="gramEnd"/>
            <w:r>
              <w:t xml:space="preserve"> continue reporting potentially for years.</w:t>
            </w:r>
            <w:r w:rsidR="00150214">
              <w:t xml:space="preserve"> Would appreciate clarifying language that it’s “booked costs” incurred by the TSP to avoid need to chase any lagging costs potentially for years to come. </w:t>
            </w:r>
          </w:p>
          <w:p w14:paraId="3D58B0A8" w14:textId="2B8D0B59" w:rsidR="00A30276" w:rsidRDefault="00731A72" w:rsidP="00C713AA">
            <w:pPr>
              <w:ind w:left="345"/>
            </w:pPr>
            <w:r>
              <w:t xml:space="preserve">(3) </w:t>
            </w:r>
            <w:r w:rsidR="00150214">
              <w:t>Hope to leverage RIOO</w:t>
            </w:r>
            <w:r>
              <w:t xml:space="preserve"> to submit the report and would appreciate hearing feedback on the format of that report.</w:t>
            </w:r>
          </w:p>
          <w:p w14:paraId="48D11372" w14:textId="5BA0E09F" w:rsidR="00731A72" w:rsidRDefault="00731A72" w:rsidP="00A765CC">
            <w:r>
              <w:t>Jenifer Fernandes (</w:t>
            </w:r>
            <w:r w:rsidR="00C713AA">
              <w:t>ERCOT) –</w:t>
            </w:r>
            <w:r>
              <w:t xml:space="preserve"> ERCOT has a ticket in RIOO to have fields available starting in January.</w:t>
            </w:r>
            <w:r w:rsidR="00C713AA">
              <w:t xml:space="preserve"> Can add initial energization to provide clarification to concern #1.</w:t>
            </w:r>
            <w:r w:rsidR="001605F1">
              <w:t xml:space="preserve"> </w:t>
            </w:r>
            <w:r w:rsidR="00B53E60">
              <w:t>Floated a two-time report</w:t>
            </w:r>
            <w:r w:rsidR="00986A4D">
              <w:t xml:space="preserve"> but c</w:t>
            </w:r>
            <w:r w:rsidR="001605F1">
              <w:t>an further discuss the specifics of how often costs need to be reported.</w:t>
            </w:r>
          </w:p>
          <w:p w14:paraId="7A6EF9BA" w14:textId="5F5953A9" w:rsidR="00A30276" w:rsidRDefault="00A30276" w:rsidP="00A765CC">
            <w:r>
              <w:lastRenderedPageBreak/>
              <w:t xml:space="preserve">Blake Holt (LCRA) </w:t>
            </w:r>
            <w:r w:rsidR="00B53E60">
              <w:t>– Similar concerns to Oncor about trailing costs and the potential need to report true-up costs. Supportive of a 90-day cutoff or a two-time report.</w:t>
            </w:r>
          </w:p>
          <w:p w14:paraId="42EB1B0D" w14:textId="04DD4002" w:rsidR="00986A4D" w:rsidRDefault="00986A4D" w:rsidP="00A765CC">
            <w:r>
              <w:t xml:space="preserve">Doug Fohn (ERCOT) – Sounds like conceptually </w:t>
            </w:r>
            <w:r w:rsidR="004E0BBD">
              <w:t xml:space="preserve">the parties </w:t>
            </w:r>
            <w:r>
              <w:t>are on the same page. Rule has language about “in consultation with PUCT” and would need to keep PUCT staff in the loop with any changes.</w:t>
            </w:r>
            <w:r w:rsidR="00D22DC5">
              <w:t xml:space="preserve"> Doug committed to forwarding updated language to PUCT. </w:t>
            </w:r>
            <w:r w:rsidR="006F4339">
              <w:t>Also, ERCOT d</w:t>
            </w:r>
            <w:r w:rsidR="00D22DC5">
              <w:t>oes have a timing concern due to the January 2026 requirement in the Rule</w:t>
            </w:r>
            <w:r w:rsidR="006F4339">
              <w:t xml:space="preserve"> and would need to advance language to the December Board of Directors meeting.</w:t>
            </w:r>
          </w:p>
          <w:p w14:paraId="6C80C212" w14:textId="3A636193" w:rsidR="000F2858" w:rsidRDefault="000F2858" w:rsidP="00A765CC">
            <w:r>
              <w:t>Katie Rich</w:t>
            </w:r>
            <w:r w:rsidR="00FA2886">
              <w:t xml:space="preserve"> (</w:t>
            </w:r>
            <w:proofErr w:type="spellStart"/>
            <w:r w:rsidR="00FA2886">
              <w:t>Vistra</w:t>
            </w:r>
            <w:proofErr w:type="spellEnd"/>
            <w:r w:rsidR="00FA2886">
              <w:t>)</w:t>
            </w:r>
            <w:r>
              <w:t xml:space="preserve"> – Preference is to keep at PLWG one more month for comments and then </w:t>
            </w:r>
            <w:r w:rsidR="006F4339">
              <w:t xml:space="preserve">would </w:t>
            </w:r>
            <w:r>
              <w:t xml:space="preserve">request urgent status at </w:t>
            </w:r>
            <w:r w:rsidR="006F4339">
              <w:t xml:space="preserve">November </w:t>
            </w:r>
            <w:r>
              <w:t>ROS.</w:t>
            </w:r>
          </w:p>
          <w:p w14:paraId="4265C599" w14:textId="3A0C7A13" w:rsidR="00D82DD9" w:rsidRPr="000F2858" w:rsidRDefault="00D82DD9" w:rsidP="00A765CC">
            <w:pPr>
              <w:rPr>
                <w:b/>
                <w:bCs/>
                <w:i/>
                <w:iCs/>
              </w:rPr>
            </w:pPr>
            <w:r w:rsidRPr="000F2858">
              <w:rPr>
                <w:b/>
                <w:bCs/>
                <w:i/>
                <w:iCs/>
              </w:rPr>
              <w:t>Action</w:t>
            </w:r>
            <w:r w:rsidR="000F2858" w:rsidRPr="000F2858">
              <w:rPr>
                <w:b/>
                <w:bCs/>
                <w:i/>
                <w:iCs/>
              </w:rPr>
              <w:t xml:space="preserve"> Taken: Tabled PGRR131 until next PLWG.</w:t>
            </w:r>
          </w:p>
        </w:tc>
        <w:tc>
          <w:tcPr>
            <w:tcW w:w="874" w:type="pct"/>
          </w:tcPr>
          <w:p w14:paraId="555A5F2A" w14:textId="206B5833" w:rsidR="00D82DD9" w:rsidRDefault="00D82DD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ERCOT</w:t>
            </w:r>
          </w:p>
        </w:tc>
      </w:tr>
      <w:tr w:rsidR="0056135A" w:rsidRPr="00A765CC" w14:paraId="0FD7E72D" w14:textId="77777777" w:rsidTr="00240829">
        <w:trPr>
          <w:trHeight w:val="345"/>
        </w:trPr>
        <w:tc>
          <w:tcPr>
            <w:tcW w:w="291" w:type="pct"/>
            <w:hideMark/>
          </w:tcPr>
          <w:p w14:paraId="66C479BD" w14:textId="793F3460" w:rsidR="0056135A" w:rsidRPr="00A765CC" w:rsidRDefault="00D82DD9" w:rsidP="00A765CC">
            <w:r>
              <w:rPr>
                <w:b/>
                <w:bCs/>
              </w:rPr>
              <w:t>10</w:t>
            </w:r>
            <w:r w:rsidR="0056135A" w:rsidRPr="00A765CC">
              <w:rPr>
                <w:b/>
                <w:bCs/>
              </w:rPr>
              <w:t>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7F28EB" w14:textId="6E113856" w:rsidR="00D82DD9" w:rsidRPr="00D82DD9" w:rsidRDefault="00D82DD9" w:rsidP="00D82DD9">
            <w:pPr>
              <w:rPr>
                <w:b/>
                <w:bCs/>
              </w:rPr>
            </w:pPr>
            <w:r>
              <w:rPr>
                <w:b/>
                <w:bCs/>
              </w:rPr>
              <w:t>Tabled Items</w:t>
            </w:r>
          </w:p>
        </w:tc>
        <w:tc>
          <w:tcPr>
            <w:tcW w:w="874" w:type="pct"/>
            <w:hideMark/>
          </w:tcPr>
          <w:p w14:paraId="1B51905F" w14:textId="26FD24B7" w:rsidR="0056135A" w:rsidRPr="00A765CC" w:rsidRDefault="0056135A" w:rsidP="00A765CC"/>
        </w:tc>
      </w:tr>
      <w:tr w:rsidR="00240829" w:rsidRPr="00A765CC" w14:paraId="028401F1" w14:textId="77777777" w:rsidTr="00240829">
        <w:trPr>
          <w:trHeight w:val="990"/>
        </w:trPr>
        <w:tc>
          <w:tcPr>
            <w:tcW w:w="291" w:type="pct"/>
          </w:tcPr>
          <w:p w14:paraId="58CA2D1A" w14:textId="2F21FB06" w:rsidR="00240829" w:rsidRPr="00A765CC" w:rsidRDefault="00240829" w:rsidP="00A765CC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7A9044B0" w14:textId="58C6B698" w:rsidR="00701AAE" w:rsidRDefault="00701AAE" w:rsidP="00701AAE">
            <w:pPr>
              <w:pStyle w:val="ListParagraph"/>
              <w:ind w:left="73" w:hanging="73"/>
            </w:pPr>
            <w:r>
              <w:t>The following items were not taken up for discussion.</w:t>
            </w:r>
          </w:p>
          <w:p w14:paraId="5F31332F" w14:textId="422AAF34" w:rsidR="00240829" w:rsidRPr="00717207" w:rsidRDefault="00D82DD9" w:rsidP="00D82DD9">
            <w:pPr>
              <w:pStyle w:val="ListParagraph"/>
              <w:numPr>
                <w:ilvl w:val="0"/>
                <w:numId w:val="9"/>
              </w:numPr>
            </w:pPr>
            <w:r>
              <w:t>PGRR 122 – Reliability Performance Criteria for Loss of Load</w:t>
            </w:r>
          </w:p>
        </w:tc>
        <w:tc>
          <w:tcPr>
            <w:tcW w:w="874" w:type="pct"/>
          </w:tcPr>
          <w:p w14:paraId="12693C52" w14:textId="77777777" w:rsidR="00701AAE" w:rsidRDefault="00701AAE" w:rsidP="00A765CC">
            <w:pPr>
              <w:rPr>
                <w:b/>
                <w:bCs/>
              </w:rPr>
            </w:pPr>
          </w:p>
          <w:p w14:paraId="7D856BC3" w14:textId="29A3F7E1" w:rsidR="00240829" w:rsidRDefault="00D82DD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</w:tc>
      </w:tr>
      <w:tr w:rsidR="00D82DD9" w:rsidRPr="00A765CC" w14:paraId="30044883" w14:textId="77777777" w:rsidTr="00240829">
        <w:trPr>
          <w:trHeight w:val="990"/>
        </w:trPr>
        <w:tc>
          <w:tcPr>
            <w:tcW w:w="291" w:type="pct"/>
          </w:tcPr>
          <w:p w14:paraId="5F556E7D" w14:textId="77777777" w:rsidR="00D82DD9" w:rsidRPr="00A765CC" w:rsidRDefault="00D82DD9" w:rsidP="00A765CC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416DF0EF" w14:textId="77777777" w:rsidR="00D82DD9" w:rsidRDefault="00D82DD9" w:rsidP="00D82DD9">
            <w:pPr>
              <w:pStyle w:val="ListParagraph"/>
              <w:numPr>
                <w:ilvl w:val="0"/>
                <w:numId w:val="9"/>
              </w:numPr>
            </w:pPr>
            <w:r>
              <w:t>PGRR 124 – ESR Maintenance Exception to Modifications</w:t>
            </w:r>
          </w:p>
          <w:p w14:paraId="6B7CA672" w14:textId="77777777" w:rsidR="00D82DD9" w:rsidRDefault="00D82DD9" w:rsidP="00AC0571"/>
        </w:tc>
        <w:tc>
          <w:tcPr>
            <w:tcW w:w="874" w:type="pct"/>
          </w:tcPr>
          <w:p w14:paraId="280A58FA" w14:textId="5BEE1867" w:rsidR="00D82DD9" w:rsidRDefault="00D82DD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Tesla/Eric Goff</w:t>
            </w:r>
          </w:p>
        </w:tc>
      </w:tr>
      <w:tr w:rsidR="00D82DD9" w:rsidRPr="00A765CC" w14:paraId="6B70C6D3" w14:textId="77777777" w:rsidTr="00240829">
        <w:trPr>
          <w:trHeight w:val="990"/>
        </w:trPr>
        <w:tc>
          <w:tcPr>
            <w:tcW w:w="291" w:type="pct"/>
          </w:tcPr>
          <w:p w14:paraId="303AFC5E" w14:textId="77777777" w:rsidR="00D82DD9" w:rsidRPr="00A765CC" w:rsidRDefault="00D82DD9" w:rsidP="00A765CC">
            <w:pPr>
              <w:rPr>
                <w:b/>
                <w:bCs/>
              </w:rPr>
            </w:pP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61FE226" w14:textId="77777777" w:rsidR="00D82DD9" w:rsidRDefault="00D82DD9" w:rsidP="00D82DD9">
            <w:pPr>
              <w:pStyle w:val="ListParagraph"/>
              <w:numPr>
                <w:ilvl w:val="0"/>
                <w:numId w:val="9"/>
              </w:numPr>
            </w:pPr>
            <w:r>
              <w:t>NPRR 1286 – Establish Multi-Value Criteria for Resiliency-Related Transmission Project Evaluation</w:t>
            </w:r>
          </w:p>
          <w:p w14:paraId="42D1F0D4" w14:textId="77777777" w:rsidR="00D82DD9" w:rsidRDefault="00D82DD9" w:rsidP="00035FC7">
            <w:pPr>
              <w:pStyle w:val="ListParagraph"/>
              <w:numPr>
                <w:ilvl w:val="0"/>
                <w:numId w:val="10"/>
              </w:numPr>
            </w:pPr>
            <w:r>
              <w:t>TIEC comments</w:t>
            </w:r>
          </w:p>
          <w:p w14:paraId="1E60EA42" w14:textId="77777777" w:rsidR="003F1A3E" w:rsidRDefault="003F1A3E" w:rsidP="003F1A3E">
            <w:pPr>
              <w:pStyle w:val="ListParagraph"/>
              <w:ind w:left="1080"/>
            </w:pPr>
          </w:p>
          <w:p w14:paraId="61F0717F" w14:textId="2460A193" w:rsidR="003F1A3E" w:rsidRDefault="003F1A3E" w:rsidP="003F1A3E">
            <w:pPr>
              <w:pStyle w:val="ListParagraph"/>
              <w:ind w:left="1080"/>
            </w:pPr>
            <w:r>
              <w:t xml:space="preserve">Note that NPRR 1286 was forwarded to ROS last month but </w:t>
            </w:r>
            <w:r w:rsidR="00A408F0">
              <w:t>moved back to PLWG so that TIEC could address comments</w:t>
            </w:r>
            <w:r w:rsidR="002A72EA">
              <w:t xml:space="preserve"> in this forum</w:t>
            </w:r>
            <w:r w:rsidR="00A408F0">
              <w:t>.</w:t>
            </w:r>
          </w:p>
        </w:tc>
        <w:tc>
          <w:tcPr>
            <w:tcW w:w="874" w:type="pct"/>
          </w:tcPr>
          <w:p w14:paraId="3F86BCCD" w14:textId="77777777" w:rsidR="00D82DD9" w:rsidRDefault="00D82DD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ERCOT</w:t>
            </w:r>
          </w:p>
          <w:p w14:paraId="603EFCB0" w14:textId="56604F1F" w:rsidR="00D82DD9" w:rsidRDefault="00D82DD9" w:rsidP="00A765CC">
            <w:pPr>
              <w:rPr>
                <w:b/>
                <w:bCs/>
              </w:rPr>
            </w:pPr>
            <w:r>
              <w:rPr>
                <w:b/>
                <w:bCs/>
              </w:rPr>
              <w:t>John Hubbard</w:t>
            </w:r>
          </w:p>
        </w:tc>
      </w:tr>
      <w:tr w:rsidR="00D82DD9" w:rsidRPr="00A765CC" w14:paraId="02F0A2F1" w14:textId="77777777" w:rsidTr="00240829">
        <w:trPr>
          <w:trHeight w:val="990"/>
        </w:trPr>
        <w:tc>
          <w:tcPr>
            <w:tcW w:w="291" w:type="pct"/>
          </w:tcPr>
          <w:p w14:paraId="35817397" w14:textId="1DDE221E" w:rsidR="00D82DD9" w:rsidRPr="00D82DD9" w:rsidRDefault="00D82DD9" w:rsidP="00A765CC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11.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38A10FA5" w14:textId="77777777" w:rsidR="00D82DD9" w:rsidRDefault="00D82DD9" w:rsidP="00D82DD9">
            <w:pPr>
              <w:rPr>
                <w:b/>
                <w:bCs/>
              </w:rPr>
            </w:pPr>
            <w:r w:rsidRPr="00D82DD9">
              <w:rPr>
                <w:b/>
                <w:bCs/>
              </w:rPr>
              <w:t>Other Business</w:t>
            </w:r>
          </w:p>
          <w:p w14:paraId="423C3734" w14:textId="6ADCCA3A" w:rsidR="006F4339" w:rsidRPr="006F4339" w:rsidRDefault="006F4339" w:rsidP="00D82DD9">
            <w:r w:rsidRPr="006F4339">
              <w:t>None discussed.</w:t>
            </w:r>
          </w:p>
        </w:tc>
        <w:tc>
          <w:tcPr>
            <w:tcW w:w="874" w:type="pct"/>
          </w:tcPr>
          <w:p w14:paraId="1B1EAD72" w14:textId="77777777" w:rsidR="00D82DD9" w:rsidRDefault="00D82DD9" w:rsidP="00A765CC">
            <w:pPr>
              <w:rPr>
                <w:b/>
                <w:bCs/>
              </w:rPr>
            </w:pPr>
          </w:p>
        </w:tc>
      </w:tr>
      <w:tr w:rsidR="0056135A" w:rsidRPr="00A765CC" w14:paraId="5AFFCF84" w14:textId="77777777" w:rsidTr="0056135A">
        <w:trPr>
          <w:trHeight w:val="630"/>
        </w:trPr>
        <w:tc>
          <w:tcPr>
            <w:tcW w:w="291" w:type="pct"/>
            <w:hideMark/>
          </w:tcPr>
          <w:p w14:paraId="49254981" w14:textId="6995A871" w:rsidR="0056135A" w:rsidRPr="00A765CC" w:rsidRDefault="0056135A" w:rsidP="00A765CC">
            <w:r w:rsidRPr="00A765CC">
              <w:rPr>
                <w:b/>
                <w:bCs/>
              </w:rPr>
              <w:t>1</w:t>
            </w:r>
            <w:r w:rsidR="00D724A0">
              <w:rPr>
                <w:b/>
                <w:bCs/>
              </w:rPr>
              <w:t>4</w:t>
            </w:r>
            <w:r w:rsidRPr="00A765CC">
              <w:rPr>
                <w:b/>
                <w:bCs/>
              </w:rPr>
              <w:t>.</w:t>
            </w:r>
            <w:r w:rsidRPr="00A765CC">
              <w:t> </w:t>
            </w:r>
          </w:p>
        </w:tc>
        <w:tc>
          <w:tcPr>
            <w:tcW w:w="3835" w:type="pct"/>
            <w:tcBorders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350C123" w14:textId="77777777" w:rsidR="0056135A" w:rsidRDefault="0056135A" w:rsidP="00A765CC">
            <w:pPr>
              <w:rPr>
                <w:b/>
                <w:bCs/>
              </w:rPr>
            </w:pPr>
            <w:r w:rsidRPr="00A765CC">
              <w:rPr>
                <w:b/>
                <w:bCs/>
              </w:rPr>
              <w:t>Adjourn</w:t>
            </w:r>
          </w:p>
          <w:p w14:paraId="3681AE4F" w14:textId="3BD12F08" w:rsidR="0056135A" w:rsidRPr="00A765CC" w:rsidRDefault="00DC7FCA" w:rsidP="00A765CC">
            <w:r>
              <w:t xml:space="preserve">Meeting adjourned at </w:t>
            </w:r>
            <w:r w:rsidR="00FA2886">
              <w:t>1:55 pm</w:t>
            </w:r>
            <w:r w:rsidR="00134CED">
              <w:t>. The</w:t>
            </w:r>
            <w:r w:rsidR="006F4BF8">
              <w:t xml:space="preserve"> next PLWG meeting</w:t>
            </w:r>
            <w:r w:rsidR="00134CED">
              <w:t xml:space="preserve"> will be </w:t>
            </w:r>
            <w:r w:rsidR="00D82DD9">
              <w:t>October 28.</w:t>
            </w:r>
          </w:p>
        </w:tc>
        <w:tc>
          <w:tcPr>
            <w:tcW w:w="874" w:type="pct"/>
            <w:hideMark/>
          </w:tcPr>
          <w:p w14:paraId="2808DB60" w14:textId="77777777" w:rsidR="0056135A" w:rsidRPr="00A765CC" w:rsidRDefault="0056135A" w:rsidP="00A765CC">
            <w:r w:rsidRPr="00A765CC">
              <w:rPr>
                <w:b/>
                <w:bCs/>
              </w:rPr>
              <w:t>Chair </w:t>
            </w:r>
          </w:p>
        </w:tc>
      </w:tr>
    </w:tbl>
    <w:p w14:paraId="1B3E5208" w14:textId="77777777" w:rsidR="008D4CFB" w:rsidRDefault="008D4CFB"/>
    <w:sectPr w:rsidR="008D4C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1A77" w14:textId="77777777" w:rsidR="00776BD1" w:rsidRDefault="00776BD1" w:rsidP="00701AAE">
      <w:pPr>
        <w:spacing w:after="0" w:line="240" w:lineRule="auto"/>
      </w:pPr>
      <w:r>
        <w:separator/>
      </w:r>
    </w:p>
  </w:endnote>
  <w:endnote w:type="continuationSeparator" w:id="0">
    <w:p w14:paraId="46471FAD" w14:textId="77777777" w:rsidR="00776BD1" w:rsidRDefault="00776BD1" w:rsidP="0070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941C" w14:textId="4ED3D72C" w:rsidR="00701AAE" w:rsidRDefault="00701AAE" w:rsidP="00701AAE">
    <w:pPr>
      <w:pStyle w:val="Footer"/>
      <w:tabs>
        <w:tab w:val="clear" w:pos="4680"/>
        <w:tab w:val="clear" w:pos="9360"/>
        <w:tab w:val="left" w:pos="3586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2552" w14:textId="77777777" w:rsidR="00776BD1" w:rsidRDefault="00776BD1" w:rsidP="00701AAE">
      <w:pPr>
        <w:spacing w:after="0" w:line="240" w:lineRule="auto"/>
      </w:pPr>
      <w:r>
        <w:separator/>
      </w:r>
    </w:p>
  </w:footnote>
  <w:footnote w:type="continuationSeparator" w:id="0">
    <w:p w14:paraId="60C3E0E1" w14:textId="77777777" w:rsidR="00776BD1" w:rsidRDefault="00776BD1" w:rsidP="0070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4C6"/>
    <w:multiLevelType w:val="multilevel"/>
    <w:tmpl w:val="0E4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1DC"/>
    <w:multiLevelType w:val="multilevel"/>
    <w:tmpl w:val="F7E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17857"/>
    <w:multiLevelType w:val="multilevel"/>
    <w:tmpl w:val="C1B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54B9"/>
    <w:multiLevelType w:val="multilevel"/>
    <w:tmpl w:val="FAC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392B"/>
    <w:multiLevelType w:val="hybridMultilevel"/>
    <w:tmpl w:val="C878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430CF"/>
    <w:multiLevelType w:val="hybridMultilevel"/>
    <w:tmpl w:val="4276FF8A"/>
    <w:lvl w:ilvl="0" w:tplc="592C6BC0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96733"/>
    <w:multiLevelType w:val="hybridMultilevel"/>
    <w:tmpl w:val="C32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E7543"/>
    <w:multiLevelType w:val="multilevel"/>
    <w:tmpl w:val="C27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05CDE"/>
    <w:multiLevelType w:val="multilevel"/>
    <w:tmpl w:val="D8D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0A5E38"/>
    <w:multiLevelType w:val="hybridMultilevel"/>
    <w:tmpl w:val="FAA4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44098">
    <w:abstractNumId w:val="3"/>
  </w:num>
  <w:num w:numId="2" w16cid:durableId="542834862">
    <w:abstractNumId w:val="1"/>
  </w:num>
  <w:num w:numId="3" w16cid:durableId="1979676816">
    <w:abstractNumId w:val="8"/>
  </w:num>
  <w:num w:numId="4" w16cid:durableId="911700180">
    <w:abstractNumId w:val="0"/>
  </w:num>
  <w:num w:numId="5" w16cid:durableId="54398409">
    <w:abstractNumId w:val="7"/>
  </w:num>
  <w:num w:numId="6" w16cid:durableId="173692088">
    <w:abstractNumId w:val="2"/>
  </w:num>
  <w:num w:numId="7" w16cid:durableId="133527217">
    <w:abstractNumId w:val="4"/>
  </w:num>
  <w:num w:numId="8" w16cid:durableId="738481879">
    <w:abstractNumId w:val="6"/>
  </w:num>
  <w:num w:numId="9" w16cid:durableId="1012343052">
    <w:abstractNumId w:val="9"/>
  </w:num>
  <w:num w:numId="10" w16cid:durableId="502473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C"/>
    <w:rsid w:val="0000095B"/>
    <w:rsid w:val="00004735"/>
    <w:rsid w:val="00011B31"/>
    <w:rsid w:val="000126BB"/>
    <w:rsid w:val="00013E2F"/>
    <w:rsid w:val="00014FFE"/>
    <w:rsid w:val="0001526F"/>
    <w:rsid w:val="00017743"/>
    <w:rsid w:val="00020392"/>
    <w:rsid w:val="0002118D"/>
    <w:rsid w:val="00021734"/>
    <w:rsid w:val="00025B03"/>
    <w:rsid w:val="00026FAB"/>
    <w:rsid w:val="00027C1E"/>
    <w:rsid w:val="00031B2A"/>
    <w:rsid w:val="000327AC"/>
    <w:rsid w:val="00033842"/>
    <w:rsid w:val="00034273"/>
    <w:rsid w:val="00035287"/>
    <w:rsid w:val="00035FC7"/>
    <w:rsid w:val="00037898"/>
    <w:rsid w:val="00046FC1"/>
    <w:rsid w:val="0005082D"/>
    <w:rsid w:val="00051512"/>
    <w:rsid w:val="00051E13"/>
    <w:rsid w:val="000538F3"/>
    <w:rsid w:val="000539D4"/>
    <w:rsid w:val="00056A74"/>
    <w:rsid w:val="00057904"/>
    <w:rsid w:val="00060FD0"/>
    <w:rsid w:val="00064D14"/>
    <w:rsid w:val="00067199"/>
    <w:rsid w:val="000676FC"/>
    <w:rsid w:val="00070686"/>
    <w:rsid w:val="0007069A"/>
    <w:rsid w:val="00071722"/>
    <w:rsid w:val="0007180D"/>
    <w:rsid w:val="000720AB"/>
    <w:rsid w:val="00074BF9"/>
    <w:rsid w:val="00077827"/>
    <w:rsid w:val="00080683"/>
    <w:rsid w:val="000818CE"/>
    <w:rsid w:val="00083EEB"/>
    <w:rsid w:val="000849EC"/>
    <w:rsid w:val="00084DDC"/>
    <w:rsid w:val="00086AAB"/>
    <w:rsid w:val="00086D21"/>
    <w:rsid w:val="000950F1"/>
    <w:rsid w:val="00097266"/>
    <w:rsid w:val="000A2567"/>
    <w:rsid w:val="000A295C"/>
    <w:rsid w:val="000A3627"/>
    <w:rsid w:val="000A3629"/>
    <w:rsid w:val="000A38F4"/>
    <w:rsid w:val="000A4BA8"/>
    <w:rsid w:val="000A513F"/>
    <w:rsid w:val="000A5FD2"/>
    <w:rsid w:val="000A605D"/>
    <w:rsid w:val="000A79C3"/>
    <w:rsid w:val="000B21C6"/>
    <w:rsid w:val="000B6FDD"/>
    <w:rsid w:val="000C2A7C"/>
    <w:rsid w:val="000C3E15"/>
    <w:rsid w:val="000C681F"/>
    <w:rsid w:val="000D1D6E"/>
    <w:rsid w:val="000D2AA6"/>
    <w:rsid w:val="000D2DD4"/>
    <w:rsid w:val="000D3D9F"/>
    <w:rsid w:val="000D40DF"/>
    <w:rsid w:val="000D4E42"/>
    <w:rsid w:val="000D76BE"/>
    <w:rsid w:val="000E005A"/>
    <w:rsid w:val="000E058B"/>
    <w:rsid w:val="000E090B"/>
    <w:rsid w:val="000E3830"/>
    <w:rsid w:val="000E62CA"/>
    <w:rsid w:val="000F0944"/>
    <w:rsid w:val="000F2858"/>
    <w:rsid w:val="000F3777"/>
    <w:rsid w:val="000F52EF"/>
    <w:rsid w:val="000F58C1"/>
    <w:rsid w:val="000F64AA"/>
    <w:rsid w:val="000F70C5"/>
    <w:rsid w:val="00100AAA"/>
    <w:rsid w:val="0010261B"/>
    <w:rsid w:val="0010298F"/>
    <w:rsid w:val="00110771"/>
    <w:rsid w:val="00116235"/>
    <w:rsid w:val="00120156"/>
    <w:rsid w:val="0012134C"/>
    <w:rsid w:val="00127DC3"/>
    <w:rsid w:val="00132B60"/>
    <w:rsid w:val="001336D5"/>
    <w:rsid w:val="00134CED"/>
    <w:rsid w:val="0013518E"/>
    <w:rsid w:val="00137847"/>
    <w:rsid w:val="0014037D"/>
    <w:rsid w:val="00140C27"/>
    <w:rsid w:val="00142093"/>
    <w:rsid w:val="00145738"/>
    <w:rsid w:val="001461EE"/>
    <w:rsid w:val="00147697"/>
    <w:rsid w:val="00150214"/>
    <w:rsid w:val="001516C2"/>
    <w:rsid w:val="00152146"/>
    <w:rsid w:val="00154703"/>
    <w:rsid w:val="0015628A"/>
    <w:rsid w:val="00156453"/>
    <w:rsid w:val="00160004"/>
    <w:rsid w:val="001605F1"/>
    <w:rsid w:val="001606CD"/>
    <w:rsid w:val="00167D02"/>
    <w:rsid w:val="00172DFC"/>
    <w:rsid w:val="00174AAE"/>
    <w:rsid w:val="00177F77"/>
    <w:rsid w:val="0018164B"/>
    <w:rsid w:val="00183A54"/>
    <w:rsid w:val="00185A3F"/>
    <w:rsid w:val="001916D6"/>
    <w:rsid w:val="001945DF"/>
    <w:rsid w:val="001961AB"/>
    <w:rsid w:val="00197DE6"/>
    <w:rsid w:val="001A0DA0"/>
    <w:rsid w:val="001A1101"/>
    <w:rsid w:val="001A47FB"/>
    <w:rsid w:val="001A6E6D"/>
    <w:rsid w:val="001B0DFA"/>
    <w:rsid w:val="001B0E0D"/>
    <w:rsid w:val="001B2EE5"/>
    <w:rsid w:val="001B3E50"/>
    <w:rsid w:val="001B6919"/>
    <w:rsid w:val="001C0CC7"/>
    <w:rsid w:val="001C1FD7"/>
    <w:rsid w:val="001C7ECC"/>
    <w:rsid w:val="001E0620"/>
    <w:rsid w:val="001E095D"/>
    <w:rsid w:val="001E1E53"/>
    <w:rsid w:val="001E2DA7"/>
    <w:rsid w:val="001E484D"/>
    <w:rsid w:val="001E6E50"/>
    <w:rsid w:val="001E6EB0"/>
    <w:rsid w:val="001E7120"/>
    <w:rsid w:val="001F2CAC"/>
    <w:rsid w:val="001F55DD"/>
    <w:rsid w:val="001F628E"/>
    <w:rsid w:val="002018C9"/>
    <w:rsid w:val="00202485"/>
    <w:rsid w:val="00202ABA"/>
    <w:rsid w:val="002032B5"/>
    <w:rsid w:val="0021054E"/>
    <w:rsid w:val="00210DB5"/>
    <w:rsid w:val="002144AE"/>
    <w:rsid w:val="002148E2"/>
    <w:rsid w:val="00223659"/>
    <w:rsid w:val="002236BE"/>
    <w:rsid w:val="0022624C"/>
    <w:rsid w:val="00226934"/>
    <w:rsid w:val="00226B64"/>
    <w:rsid w:val="00226F76"/>
    <w:rsid w:val="0022768B"/>
    <w:rsid w:val="0023302B"/>
    <w:rsid w:val="002357C9"/>
    <w:rsid w:val="00240054"/>
    <w:rsid w:val="00240829"/>
    <w:rsid w:val="002423CC"/>
    <w:rsid w:val="0024273C"/>
    <w:rsid w:val="0025482D"/>
    <w:rsid w:val="00255796"/>
    <w:rsid w:val="00261595"/>
    <w:rsid w:val="00262FFC"/>
    <w:rsid w:val="002636A3"/>
    <w:rsid w:val="00270EA4"/>
    <w:rsid w:val="002714D4"/>
    <w:rsid w:val="002737FC"/>
    <w:rsid w:val="0027507E"/>
    <w:rsid w:val="0028124F"/>
    <w:rsid w:val="00287C66"/>
    <w:rsid w:val="0029156C"/>
    <w:rsid w:val="00292B1D"/>
    <w:rsid w:val="00294F53"/>
    <w:rsid w:val="002A06F1"/>
    <w:rsid w:val="002A1E26"/>
    <w:rsid w:val="002A2B5E"/>
    <w:rsid w:val="002A4F3D"/>
    <w:rsid w:val="002A51AD"/>
    <w:rsid w:val="002A72EA"/>
    <w:rsid w:val="002B1C34"/>
    <w:rsid w:val="002B22B1"/>
    <w:rsid w:val="002D22AD"/>
    <w:rsid w:val="002D27E4"/>
    <w:rsid w:val="002D4682"/>
    <w:rsid w:val="002D72B3"/>
    <w:rsid w:val="002E0E68"/>
    <w:rsid w:val="002F4621"/>
    <w:rsid w:val="002F4CC1"/>
    <w:rsid w:val="002F4F85"/>
    <w:rsid w:val="002F73A8"/>
    <w:rsid w:val="00301D43"/>
    <w:rsid w:val="00302CC0"/>
    <w:rsid w:val="00307040"/>
    <w:rsid w:val="003079B9"/>
    <w:rsid w:val="00312322"/>
    <w:rsid w:val="00314A61"/>
    <w:rsid w:val="0032192A"/>
    <w:rsid w:val="0032256B"/>
    <w:rsid w:val="0032404E"/>
    <w:rsid w:val="003309F6"/>
    <w:rsid w:val="0033156B"/>
    <w:rsid w:val="00332907"/>
    <w:rsid w:val="003330E7"/>
    <w:rsid w:val="00334648"/>
    <w:rsid w:val="00336744"/>
    <w:rsid w:val="00340E3B"/>
    <w:rsid w:val="003506FA"/>
    <w:rsid w:val="00354F7A"/>
    <w:rsid w:val="00360A01"/>
    <w:rsid w:val="003644E0"/>
    <w:rsid w:val="00367A81"/>
    <w:rsid w:val="00370753"/>
    <w:rsid w:val="00371379"/>
    <w:rsid w:val="00372075"/>
    <w:rsid w:val="00372584"/>
    <w:rsid w:val="00372AD2"/>
    <w:rsid w:val="00372D8C"/>
    <w:rsid w:val="003767ED"/>
    <w:rsid w:val="00383734"/>
    <w:rsid w:val="003921B3"/>
    <w:rsid w:val="00392459"/>
    <w:rsid w:val="003979F5"/>
    <w:rsid w:val="003A01F9"/>
    <w:rsid w:val="003A110E"/>
    <w:rsid w:val="003B0210"/>
    <w:rsid w:val="003B065C"/>
    <w:rsid w:val="003B086D"/>
    <w:rsid w:val="003B0DDC"/>
    <w:rsid w:val="003B2498"/>
    <w:rsid w:val="003B3843"/>
    <w:rsid w:val="003B50BF"/>
    <w:rsid w:val="003B50FC"/>
    <w:rsid w:val="003B5A7A"/>
    <w:rsid w:val="003B5F4F"/>
    <w:rsid w:val="003B6210"/>
    <w:rsid w:val="003B66B9"/>
    <w:rsid w:val="003B6F79"/>
    <w:rsid w:val="003C314D"/>
    <w:rsid w:val="003C3DF4"/>
    <w:rsid w:val="003C50B1"/>
    <w:rsid w:val="003D07B0"/>
    <w:rsid w:val="003D314F"/>
    <w:rsid w:val="003D7964"/>
    <w:rsid w:val="003E2A8F"/>
    <w:rsid w:val="003E3C80"/>
    <w:rsid w:val="003E7955"/>
    <w:rsid w:val="003F1A3E"/>
    <w:rsid w:val="003F266F"/>
    <w:rsid w:val="003F498B"/>
    <w:rsid w:val="003F53F5"/>
    <w:rsid w:val="003F5F06"/>
    <w:rsid w:val="0040036D"/>
    <w:rsid w:val="00404657"/>
    <w:rsid w:val="0040574A"/>
    <w:rsid w:val="00407275"/>
    <w:rsid w:val="00407AF6"/>
    <w:rsid w:val="00411E9F"/>
    <w:rsid w:val="00414574"/>
    <w:rsid w:val="004158FC"/>
    <w:rsid w:val="00417D21"/>
    <w:rsid w:val="00420E37"/>
    <w:rsid w:val="0042242A"/>
    <w:rsid w:val="004224DC"/>
    <w:rsid w:val="00424B33"/>
    <w:rsid w:val="00426298"/>
    <w:rsid w:val="00426D39"/>
    <w:rsid w:val="004348F5"/>
    <w:rsid w:val="00437B10"/>
    <w:rsid w:val="004412DB"/>
    <w:rsid w:val="0044245C"/>
    <w:rsid w:val="0044278E"/>
    <w:rsid w:val="00446F0B"/>
    <w:rsid w:val="004476A8"/>
    <w:rsid w:val="00450A6D"/>
    <w:rsid w:val="00450D31"/>
    <w:rsid w:val="00451EE9"/>
    <w:rsid w:val="00453B7F"/>
    <w:rsid w:val="00456245"/>
    <w:rsid w:val="004633B2"/>
    <w:rsid w:val="00465649"/>
    <w:rsid w:val="00472C92"/>
    <w:rsid w:val="0047745F"/>
    <w:rsid w:val="00480803"/>
    <w:rsid w:val="00481527"/>
    <w:rsid w:val="004818BA"/>
    <w:rsid w:val="00481F56"/>
    <w:rsid w:val="0048355A"/>
    <w:rsid w:val="00484111"/>
    <w:rsid w:val="00487504"/>
    <w:rsid w:val="004875F9"/>
    <w:rsid w:val="00491AEA"/>
    <w:rsid w:val="00491AFD"/>
    <w:rsid w:val="00493B0E"/>
    <w:rsid w:val="00495337"/>
    <w:rsid w:val="004A339E"/>
    <w:rsid w:val="004A362C"/>
    <w:rsid w:val="004A3C89"/>
    <w:rsid w:val="004A51CE"/>
    <w:rsid w:val="004A57BD"/>
    <w:rsid w:val="004A5F21"/>
    <w:rsid w:val="004B027E"/>
    <w:rsid w:val="004B2994"/>
    <w:rsid w:val="004B3626"/>
    <w:rsid w:val="004B3EC7"/>
    <w:rsid w:val="004B5320"/>
    <w:rsid w:val="004B570D"/>
    <w:rsid w:val="004B65F1"/>
    <w:rsid w:val="004B734C"/>
    <w:rsid w:val="004C1898"/>
    <w:rsid w:val="004C1FD5"/>
    <w:rsid w:val="004C3110"/>
    <w:rsid w:val="004C3D86"/>
    <w:rsid w:val="004D14E0"/>
    <w:rsid w:val="004D202C"/>
    <w:rsid w:val="004D4259"/>
    <w:rsid w:val="004E0BBD"/>
    <w:rsid w:val="004F094E"/>
    <w:rsid w:val="004F097A"/>
    <w:rsid w:val="004F0ADE"/>
    <w:rsid w:val="004F3C75"/>
    <w:rsid w:val="004F4333"/>
    <w:rsid w:val="004F50B0"/>
    <w:rsid w:val="004F5AFB"/>
    <w:rsid w:val="004F6DD4"/>
    <w:rsid w:val="004F768A"/>
    <w:rsid w:val="00501CE0"/>
    <w:rsid w:val="005036B8"/>
    <w:rsid w:val="00511659"/>
    <w:rsid w:val="0051172D"/>
    <w:rsid w:val="00515007"/>
    <w:rsid w:val="005151A7"/>
    <w:rsid w:val="005221D4"/>
    <w:rsid w:val="00522B5D"/>
    <w:rsid w:val="00524E80"/>
    <w:rsid w:val="00525E4A"/>
    <w:rsid w:val="00527D10"/>
    <w:rsid w:val="00533054"/>
    <w:rsid w:val="00536386"/>
    <w:rsid w:val="005432F3"/>
    <w:rsid w:val="005436E5"/>
    <w:rsid w:val="00546810"/>
    <w:rsid w:val="005559E3"/>
    <w:rsid w:val="00557FC1"/>
    <w:rsid w:val="005603CD"/>
    <w:rsid w:val="005606EF"/>
    <w:rsid w:val="0056135A"/>
    <w:rsid w:val="00561D53"/>
    <w:rsid w:val="00562075"/>
    <w:rsid w:val="00571EE8"/>
    <w:rsid w:val="0057374A"/>
    <w:rsid w:val="00575A11"/>
    <w:rsid w:val="00575B8D"/>
    <w:rsid w:val="00580ABD"/>
    <w:rsid w:val="00584F84"/>
    <w:rsid w:val="005873AC"/>
    <w:rsid w:val="00591B75"/>
    <w:rsid w:val="005945B9"/>
    <w:rsid w:val="00596F6A"/>
    <w:rsid w:val="005A03E3"/>
    <w:rsid w:val="005A6957"/>
    <w:rsid w:val="005B2C53"/>
    <w:rsid w:val="005B3CD0"/>
    <w:rsid w:val="005B414D"/>
    <w:rsid w:val="005B42CC"/>
    <w:rsid w:val="005B46AA"/>
    <w:rsid w:val="005B55BD"/>
    <w:rsid w:val="005B704E"/>
    <w:rsid w:val="005B75FC"/>
    <w:rsid w:val="005B7D3B"/>
    <w:rsid w:val="005C26D9"/>
    <w:rsid w:val="005C60DB"/>
    <w:rsid w:val="005C7DCF"/>
    <w:rsid w:val="005D45C9"/>
    <w:rsid w:val="005E2714"/>
    <w:rsid w:val="005E59BE"/>
    <w:rsid w:val="005E5A04"/>
    <w:rsid w:val="005F09BE"/>
    <w:rsid w:val="005F0D4D"/>
    <w:rsid w:val="005F1452"/>
    <w:rsid w:val="005F312E"/>
    <w:rsid w:val="005F32D8"/>
    <w:rsid w:val="005F6CE0"/>
    <w:rsid w:val="005F7756"/>
    <w:rsid w:val="0060249F"/>
    <w:rsid w:val="00602883"/>
    <w:rsid w:val="006046C2"/>
    <w:rsid w:val="006072F0"/>
    <w:rsid w:val="00607D45"/>
    <w:rsid w:val="006135A2"/>
    <w:rsid w:val="00613833"/>
    <w:rsid w:val="00615801"/>
    <w:rsid w:val="0061659F"/>
    <w:rsid w:val="00617077"/>
    <w:rsid w:val="00617FE4"/>
    <w:rsid w:val="00625047"/>
    <w:rsid w:val="006254EB"/>
    <w:rsid w:val="006258CE"/>
    <w:rsid w:val="0062599C"/>
    <w:rsid w:val="00633799"/>
    <w:rsid w:val="00634629"/>
    <w:rsid w:val="00641B78"/>
    <w:rsid w:val="00643010"/>
    <w:rsid w:val="006439BA"/>
    <w:rsid w:val="0065074A"/>
    <w:rsid w:val="00652DA0"/>
    <w:rsid w:val="006550CE"/>
    <w:rsid w:val="0065597F"/>
    <w:rsid w:val="0066223B"/>
    <w:rsid w:val="006628D9"/>
    <w:rsid w:val="0066389B"/>
    <w:rsid w:val="00664F51"/>
    <w:rsid w:val="00666146"/>
    <w:rsid w:val="00667A16"/>
    <w:rsid w:val="006701DF"/>
    <w:rsid w:val="006737F7"/>
    <w:rsid w:val="00675C1E"/>
    <w:rsid w:val="006762FD"/>
    <w:rsid w:val="00676F39"/>
    <w:rsid w:val="00682E48"/>
    <w:rsid w:val="00685443"/>
    <w:rsid w:val="00695351"/>
    <w:rsid w:val="00696B1C"/>
    <w:rsid w:val="00696FC8"/>
    <w:rsid w:val="006B0ED7"/>
    <w:rsid w:val="006B15DB"/>
    <w:rsid w:val="006B2A88"/>
    <w:rsid w:val="006B445C"/>
    <w:rsid w:val="006C1690"/>
    <w:rsid w:val="006C33D7"/>
    <w:rsid w:val="006C3684"/>
    <w:rsid w:val="006C639D"/>
    <w:rsid w:val="006C7475"/>
    <w:rsid w:val="006D0CD0"/>
    <w:rsid w:val="006D296C"/>
    <w:rsid w:val="006E5CCB"/>
    <w:rsid w:val="006E5E1F"/>
    <w:rsid w:val="006E7458"/>
    <w:rsid w:val="006F0E55"/>
    <w:rsid w:val="006F1409"/>
    <w:rsid w:val="006F1F5D"/>
    <w:rsid w:val="006F4339"/>
    <w:rsid w:val="006F4888"/>
    <w:rsid w:val="006F4BF8"/>
    <w:rsid w:val="006F69E7"/>
    <w:rsid w:val="007006BC"/>
    <w:rsid w:val="00700D26"/>
    <w:rsid w:val="00701AAE"/>
    <w:rsid w:val="00704F48"/>
    <w:rsid w:val="00705DDB"/>
    <w:rsid w:val="007102CB"/>
    <w:rsid w:val="007104C5"/>
    <w:rsid w:val="00711954"/>
    <w:rsid w:val="00712452"/>
    <w:rsid w:val="00717207"/>
    <w:rsid w:val="00720868"/>
    <w:rsid w:val="00720E78"/>
    <w:rsid w:val="00725854"/>
    <w:rsid w:val="00726DB7"/>
    <w:rsid w:val="00727CC5"/>
    <w:rsid w:val="00731A72"/>
    <w:rsid w:val="00731C58"/>
    <w:rsid w:val="00740121"/>
    <w:rsid w:val="00750ACE"/>
    <w:rsid w:val="00750FEE"/>
    <w:rsid w:val="0075338D"/>
    <w:rsid w:val="00756428"/>
    <w:rsid w:val="007568E8"/>
    <w:rsid w:val="00756E42"/>
    <w:rsid w:val="00760299"/>
    <w:rsid w:val="0076236C"/>
    <w:rsid w:val="00763C10"/>
    <w:rsid w:val="00766CED"/>
    <w:rsid w:val="00770A8F"/>
    <w:rsid w:val="00776BD1"/>
    <w:rsid w:val="00781353"/>
    <w:rsid w:val="0078333D"/>
    <w:rsid w:val="00783682"/>
    <w:rsid w:val="00784C58"/>
    <w:rsid w:val="00790B75"/>
    <w:rsid w:val="00790B92"/>
    <w:rsid w:val="0079440F"/>
    <w:rsid w:val="00796137"/>
    <w:rsid w:val="007A2208"/>
    <w:rsid w:val="007A47F9"/>
    <w:rsid w:val="007A5C05"/>
    <w:rsid w:val="007A6538"/>
    <w:rsid w:val="007B19E4"/>
    <w:rsid w:val="007B2189"/>
    <w:rsid w:val="007B7AAD"/>
    <w:rsid w:val="007B7E9D"/>
    <w:rsid w:val="007C027C"/>
    <w:rsid w:val="007C236E"/>
    <w:rsid w:val="007C3171"/>
    <w:rsid w:val="007C424D"/>
    <w:rsid w:val="007C4819"/>
    <w:rsid w:val="007C7776"/>
    <w:rsid w:val="007D28A9"/>
    <w:rsid w:val="007E1D4E"/>
    <w:rsid w:val="007E4362"/>
    <w:rsid w:val="007F12E6"/>
    <w:rsid w:val="007F18D2"/>
    <w:rsid w:val="007F25D5"/>
    <w:rsid w:val="007F26AD"/>
    <w:rsid w:val="007F3003"/>
    <w:rsid w:val="007F597E"/>
    <w:rsid w:val="007F6580"/>
    <w:rsid w:val="0080034B"/>
    <w:rsid w:val="00800C68"/>
    <w:rsid w:val="00800FEF"/>
    <w:rsid w:val="0080136D"/>
    <w:rsid w:val="00802EEB"/>
    <w:rsid w:val="00803490"/>
    <w:rsid w:val="00804808"/>
    <w:rsid w:val="00820FF5"/>
    <w:rsid w:val="00821F80"/>
    <w:rsid w:val="008221AC"/>
    <w:rsid w:val="00824A7E"/>
    <w:rsid w:val="0082642A"/>
    <w:rsid w:val="008266C5"/>
    <w:rsid w:val="008269AF"/>
    <w:rsid w:val="00832336"/>
    <w:rsid w:val="00833B37"/>
    <w:rsid w:val="008344A2"/>
    <w:rsid w:val="00834AEF"/>
    <w:rsid w:val="00835ADD"/>
    <w:rsid w:val="008372D0"/>
    <w:rsid w:val="00837C18"/>
    <w:rsid w:val="00841C62"/>
    <w:rsid w:val="008430A1"/>
    <w:rsid w:val="00844502"/>
    <w:rsid w:val="00851030"/>
    <w:rsid w:val="00853EAD"/>
    <w:rsid w:val="0085612E"/>
    <w:rsid w:val="008564F2"/>
    <w:rsid w:val="008565F1"/>
    <w:rsid w:val="00861ECF"/>
    <w:rsid w:val="0086347B"/>
    <w:rsid w:val="0086542D"/>
    <w:rsid w:val="008658C2"/>
    <w:rsid w:val="008670DC"/>
    <w:rsid w:val="008672C2"/>
    <w:rsid w:val="0086794C"/>
    <w:rsid w:val="008727E4"/>
    <w:rsid w:val="00882831"/>
    <w:rsid w:val="00885737"/>
    <w:rsid w:val="00886B0A"/>
    <w:rsid w:val="00896A81"/>
    <w:rsid w:val="008B14E4"/>
    <w:rsid w:val="008B271E"/>
    <w:rsid w:val="008B75F5"/>
    <w:rsid w:val="008C16E3"/>
    <w:rsid w:val="008C1864"/>
    <w:rsid w:val="008C25A6"/>
    <w:rsid w:val="008C508C"/>
    <w:rsid w:val="008C5CC4"/>
    <w:rsid w:val="008D035F"/>
    <w:rsid w:val="008D23E7"/>
    <w:rsid w:val="008D3628"/>
    <w:rsid w:val="008D38DD"/>
    <w:rsid w:val="008D4CFB"/>
    <w:rsid w:val="008D5A7F"/>
    <w:rsid w:val="008D7691"/>
    <w:rsid w:val="008D798D"/>
    <w:rsid w:val="008E150D"/>
    <w:rsid w:val="008E3328"/>
    <w:rsid w:val="008E4F6B"/>
    <w:rsid w:val="008E6290"/>
    <w:rsid w:val="008E7BB6"/>
    <w:rsid w:val="008F0D11"/>
    <w:rsid w:val="008F35FE"/>
    <w:rsid w:val="008F3AFB"/>
    <w:rsid w:val="008F465F"/>
    <w:rsid w:val="00900960"/>
    <w:rsid w:val="00904060"/>
    <w:rsid w:val="009047E7"/>
    <w:rsid w:val="00905205"/>
    <w:rsid w:val="009077C0"/>
    <w:rsid w:val="0091583D"/>
    <w:rsid w:val="009177CC"/>
    <w:rsid w:val="00920104"/>
    <w:rsid w:val="00923C08"/>
    <w:rsid w:val="009260B6"/>
    <w:rsid w:val="00932EE5"/>
    <w:rsid w:val="009362E9"/>
    <w:rsid w:val="00937AAA"/>
    <w:rsid w:val="009407F3"/>
    <w:rsid w:val="00941BEA"/>
    <w:rsid w:val="00941EDF"/>
    <w:rsid w:val="0094317D"/>
    <w:rsid w:val="00945144"/>
    <w:rsid w:val="00946B43"/>
    <w:rsid w:val="009512BE"/>
    <w:rsid w:val="00954399"/>
    <w:rsid w:val="0095459B"/>
    <w:rsid w:val="00954ABB"/>
    <w:rsid w:val="00957031"/>
    <w:rsid w:val="00961A60"/>
    <w:rsid w:val="00962844"/>
    <w:rsid w:val="00964C0C"/>
    <w:rsid w:val="00965CF6"/>
    <w:rsid w:val="00966C26"/>
    <w:rsid w:val="00974764"/>
    <w:rsid w:val="00976457"/>
    <w:rsid w:val="0098096C"/>
    <w:rsid w:val="00982DED"/>
    <w:rsid w:val="0098365C"/>
    <w:rsid w:val="00984C84"/>
    <w:rsid w:val="00986A4D"/>
    <w:rsid w:val="00986CCF"/>
    <w:rsid w:val="0098737F"/>
    <w:rsid w:val="0099163C"/>
    <w:rsid w:val="00997698"/>
    <w:rsid w:val="00997E80"/>
    <w:rsid w:val="009A4868"/>
    <w:rsid w:val="009A626F"/>
    <w:rsid w:val="009B0996"/>
    <w:rsid w:val="009B165E"/>
    <w:rsid w:val="009B1692"/>
    <w:rsid w:val="009B1D2F"/>
    <w:rsid w:val="009B2FBA"/>
    <w:rsid w:val="009B4CD4"/>
    <w:rsid w:val="009B7F04"/>
    <w:rsid w:val="009C0A7B"/>
    <w:rsid w:val="009C0AFC"/>
    <w:rsid w:val="009C26E4"/>
    <w:rsid w:val="009C2E8F"/>
    <w:rsid w:val="009D03C0"/>
    <w:rsid w:val="009D0839"/>
    <w:rsid w:val="009D1329"/>
    <w:rsid w:val="009D2313"/>
    <w:rsid w:val="009D4D7E"/>
    <w:rsid w:val="009E161E"/>
    <w:rsid w:val="009E189A"/>
    <w:rsid w:val="009F0303"/>
    <w:rsid w:val="009F2324"/>
    <w:rsid w:val="009F4328"/>
    <w:rsid w:val="009F5856"/>
    <w:rsid w:val="009F6C3E"/>
    <w:rsid w:val="009F7154"/>
    <w:rsid w:val="009F7950"/>
    <w:rsid w:val="00A0305B"/>
    <w:rsid w:val="00A141C7"/>
    <w:rsid w:val="00A153B9"/>
    <w:rsid w:val="00A15972"/>
    <w:rsid w:val="00A2072B"/>
    <w:rsid w:val="00A22E59"/>
    <w:rsid w:val="00A260CC"/>
    <w:rsid w:val="00A30276"/>
    <w:rsid w:val="00A32604"/>
    <w:rsid w:val="00A36AF4"/>
    <w:rsid w:val="00A36EB7"/>
    <w:rsid w:val="00A4030C"/>
    <w:rsid w:val="00A405F7"/>
    <w:rsid w:val="00A408F0"/>
    <w:rsid w:val="00A443B9"/>
    <w:rsid w:val="00A4489E"/>
    <w:rsid w:val="00A4756E"/>
    <w:rsid w:val="00A5232D"/>
    <w:rsid w:val="00A5799D"/>
    <w:rsid w:val="00A618CF"/>
    <w:rsid w:val="00A61D4D"/>
    <w:rsid w:val="00A63BA7"/>
    <w:rsid w:val="00A6492B"/>
    <w:rsid w:val="00A64A4D"/>
    <w:rsid w:val="00A7009C"/>
    <w:rsid w:val="00A722DB"/>
    <w:rsid w:val="00A72642"/>
    <w:rsid w:val="00A7599B"/>
    <w:rsid w:val="00A765CC"/>
    <w:rsid w:val="00A77571"/>
    <w:rsid w:val="00A80F45"/>
    <w:rsid w:val="00A81458"/>
    <w:rsid w:val="00A83D86"/>
    <w:rsid w:val="00A84911"/>
    <w:rsid w:val="00A86551"/>
    <w:rsid w:val="00A86F68"/>
    <w:rsid w:val="00A9053C"/>
    <w:rsid w:val="00A90618"/>
    <w:rsid w:val="00A926C4"/>
    <w:rsid w:val="00A94992"/>
    <w:rsid w:val="00A95893"/>
    <w:rsid w:val="00A95F61"/>
    <w:rsid w:val="00A962AD"/>
    <w:rsid w:val="00AA2E52"/>
    <w:rsid w:val="00AA3E1A"/>
    <w:rsid w:val="00AA7DCB"/>
    <w:rsid w:val="00AB2937"/>
    <w:rsid w:val="00AB66C5"/>
    <w:rsid w:val="00AC0571"/>
    <w:rsid w:val="00AC0FBC"/>
    <w:rsid w:val="00AC1416"/>
    <w:rsid w:val="00AC2A7F"/>
    <w:rsid w:val="00AC30A8"/>
    <w:rsid w:val="00AC6BD7"/>
    <w:rsid w:val="00AC7223"/>
    <w:rsid w:val="00AD252D"/>
    <w:rsid w:val="00AD3477"/>
    <w:rsid w:val="00AD3B6A"/>
    <w:rsid w:val="00AD4B5C"/>
    <w:rsid w:val="00AD5F8E"/>
    <w:rsid w:val="00AE2B8B"/>
    <w:rsid w:val="00AE32CD"/>
    <w:rsid w:val="00AE4E16"/>
    <w:rsid w:val="00AF37D3"/>
    <w:rsid w:val="00AF46DF"/>
    <w:rsid w:val="00AF76CC"/>
    <w:rsid w:val="00B04B28"/>
    <w:rsid w:val="00B06181"/>
    <w:rsid w:val="00B07705"/>
    <w:rsid w:val="00B11F9F"/>
    <w:rsid w:val="00B13022"/>
    <w:rsid w:val="00B1427B"/>
    <w:rsid w:val="00B15AC2"/>
    <w:rsid w:val="00B24967"/>
    <w:rsid w:val="00B255EF"/>
    <w:rsid w:val="00B301B3"/>
    <w:rsid w:val="00B3038E"/>
    <w:rsid w:val="00B33AA2"/>
    <w:rsid w:val="00B3521D"/>
    <w:rsid w:val="00B357A9"/>
    <w:rsid w:val="00B36C83"/>
    <w:rsid w:val="00B401C9"/>
    <w:rsid w:val="00B44F59"/>
    <w:rsid w:val="00B4536A"/>
    <w:rsid w:val="00B46FAF"/>
    <w:rsid w:val="00B53E60"/>
    <w:rsid w:val="00B54238"/>
    <w:rsid w:val="00B56CD7"/>
    <w:rsid w:val="00B61C5D"/>
    <w:rsid w:val="00B63F6B"/>
    <w:rsid w:val="00B7228B"/>
    <w:rsid w:val="00B753D1"/>
    <w:rsid w:val="00B76E7B"/>
    <w:rsid w:val="00B836CC"/>
    <w:rsid w:val="00B876A9"/>
    <w:rsid w:val="00B91B76"/>
    <w:rsid w:val="00B91BB9"/>
    <w:rsid w:val="00B925F6"/>
    <w:rsid w:val="00B92A47"/>
    <w:rsid w:val="00B94E56"/>
    <w:rsid w:val="00B952AE"/>
    <w:rsid w:val="00B95A49"/>
    <w:rsid w:val="00B95E24"/>
    <w:rsid w:val="00B95FE5"/>
    <w:rsid w:val="00B9650A"/>
    <w:rsid w:val="00B96879"/>
    <w:rsid w:val="00BA50EE"/>
    <w:rsid w:val="00BA6F80"/>
    <w:rsid w:val="00BB139A"/>
    <w:rsid w:val="00BB1437"/>
    <w:rsid w:val="00BB213A"/>
    <w:rsid w:val="00BB24C4"/>
    <w:rsid w:val="00BB3660"/>
    <w:rsid w:val="00BB4C48"/>
    <w:rsid w:val="00BB527F"/>
    <w:rsid w:val="00BC74B0"/>
    <w:rsid w:val="00BD0663"/>
    <w:rsid w:val="00BD27C1"/>
    <w:rsid w:val="00BD43B0"/>
    <w:rsid w:val="00BD454A"/>
    <w:rsid w:val="00BE0710"/>
    <w:rsid w:val="00BE467F"/>
    <w:rsid w:val="00BE66C1"/>
    <w:rsid w:val="00BE6745"/>
    <w:rsid w:val="00BF2A84"/>
    <w:rsid w:val="00BF3DEB"/>
    <w:rsid w:val="00BF6BDF"/>
    <w:rsid w:val="00BF7CD4"/>
    <w:rsid w:val="00C00B45"/>
    <w:rsid w:val="00C020F5"/>
    <w:rsid w:val="00C04EA0"/>
    <w:rsid w:val="00C11C9B"/>
    <w:rsid w:val="00C14DDC"/>
    <w:rsid w:val="00C16B9F"/>
    <w:rsid w:val="00C177E5"/>
    <w:rsid w:val="00C21032"/>
    <w:rsid w:val="00C24126"/>
    <w:rsid w:val="00C2575D"/>
    <w:rsid w:val="00C26055"/>
    <w:rsid w:val="00C307BF"/>
    <w:rsid w:val="00C30BD1"/>
    <w:rsid w:val="00C3637D"/>
    <w:rsid w:val="00C37078"/>
    <w:rsid w:val="00C44966"/>
    <w:rsid w:val="00C454FA"/>
    <w:rsid w:val="00C47EDF"/>
    <w:rsid w:val="00C51BE6"/>
    <w:rsid w:val="00C51D74"/>
    <w:rsid w:val="00C6026A"/>
    <w:rsid w:val="00C65074"/>
    <w:rsid w:val="00C666C7"/>
    <w:rsid w:val="00C673BA"/>
    <w:rsid w:val="00C67940"/>
    <w:rsid w:val="00C700C1"/>
    <w:rsid w:val="00C7044E"/>
    <w:rsid w:val="00C713AA"/>
    <w:rsid w:val="00C71DEC"/>
    <w:rsid w:val="00C7304D"/>
    <w:rsid w:val="00C7413A"/>
    <w:rsid w:val="00C75292"/>
    <w:rsid w:val="00C75B63"/>
    <w:rsid w:val="00C76712"/>
    <w:rsid w:val="00C82359"/>
    <w:rsid w:val="00C8240C"/>
    <w:rsid w:val="00C83B73"/>
    <w:rsid w:val="00C84B93"/>
    <w:rsid w:val="00C90849"/>
    <w:rsid w:val="00C95B83"/>
    <w:rsid w:val="00C96AA8"/>
    <w:rsid w:val="00C97EDE"/>
    <w:rsid w:val="00CA03FD"/>
    <w:rsid w:val="00CA2FC5"/>
    <w:rsid w:val="00CA44A4"/>
    <w:rsid w:val="00CA71DA"/>
    <w:rsid w:val="00CA79AA"/>
    <w:rsid w:val="00CB2FC7"/>
    <w:rsid w:val="00CB4D61"/>
    <w:rsid w:val="00CB7145"/>
    <w:rsid w:val="00CB7AEA"/>
    <w:rsid w:val="00CC12CB"/>
    <w:rsid w:val="00CC1C1A"/>
    <w:rsid w:val="00CC5409"/>
    <w:rsid w:val="00CC57FE"/>
    <w:rsid w:val="00CC59B0"/>
    <w:rsid w:val="00CD1AD6"/>
    <w:rsid w:val="00CD6C60"/>
    <w:rsid w:val="00CE5667"/>
    <w:rsid w:val="00CF1FE2"/>
    <w:rsid w:val="00CF23D7"/>
    <w:rsid w:val="00CF3375"/>
    <w:rsid w:val="00CF6259"/>
    <w:rsid w:val="00CF6CBA"/>
    <w:rsid w:val="00D0069D"/>
    <w:rsid w:val="00D01CCE"/>
    <w:rsid w:val="00D058AD"/>
    <w:rsid w:val="00D05C38"/>
    <w:rsid w:val="00D10D2A"/>
    <w:rsid w:val="00D22DC5"/>
    <w:rsid w:val="00D2353D"/>
    <w:rsid w:val="00D238A7"/>
    <w:rsid w:val="00D24235"/>
    <w:rsid w:val="00D242BD"/>
    <w:rsid w:val="00D3048F"/>
    <w:rsid w:val="00D3147E"/>
    <w:rsid w:val="00D373D9"/>
    <w:rsid w:val="00D40C3E"/>
    <w:rsid w:val="00D41EC5"/>
    <w:rsid w:val="00D43B8B"/>
    <w:rsid w:val="00D43EAD"/>
    <w:rsid w:val="00D441F1"/>
    <w:rsid w:val="00D45808"/>
    <w:rsid w:val="00D64544"/>
    <w:rsid w:val="00D724A0"/>
    <w:rsid w:val="00D767FA"/>
    <w:rsid w:val="00D777FC"/>
    <w:rsid w:val="00D81A4E"/>
    <w:rsid w:val="00D82DD9"/>
    <w:rsid w:val="00D83937"/>
    <w:rsid w:val="00D83C49"/>
    <w:rsid w:val="00D85555"/>
    <w:rsid w:val="00D8562E"/>
    <w:rsid w:val="00D85676"/>
    <w:rsid w:val="00D85FD4"/>
    <w:rsid w:val="00D92670"/>
    <w:rsid w:val="00D96247"/>
    <w:rsid w:val="00D965BA"/>
    <w:rsid w:val="00D9725C"/>
    <w:rsid w:val="00DA03DA"/>
    <w:rsid w:val="00DA3397"/>
    <w:rsid w:val="00DA624C"/>
    <w:rsid w:val="00DA6C87"/>
    <w:rsid w:val="00DA7B35"/>
    <w:rsid w:val="00DA7F42"/>
    <w:rsid w:val="00DB01D8"/>
    <w:rsid w:val="00DB19BE"/>
    <w:rsid w:val="00DB452E"/>
    <w:rsid w:val="00DB5442"/>
    <w:rsid w:val="00DB5921"/>
    <w:rsid w:val="00DB5C56"/>
    <w:rsid w:val="00DB663A"/>
    <w:rsid w:val="00DB71C5"/>
    <w:rsid w:val="00DC207C"/>
    <w:rsid w:val="00DC3765"/>
    <w:rsid w:val="00DC77BD"/>
    <w:rsid w:val="00DC7FCA"/>
    <w:rsid w:val="00DD116F"/>
    <w:rsid w:val="00DD136D"/>
    <w:rsid w:val="00DD2B2B"/>
    <w:rsid w:val="00DF0AF2"/>
    <w:rsid w:val="00DF1802"/>
    <w:rsid w:val="00DF1F36"/>
    <w:rsid w:val="00DF7EB9"/>
    <w:rsid w:val="00E119C4"/>
    <w:rsid w:val="00E139C9"/>
    <w:rsid w:val="00E14858"/>
    <w:rsid w:val="00E14F6D"/>
    <w:rsid w:val="00E150FE"/>
    <w:rsid w:val="00E21157"/>
    <w:rsid w:val="00E225FA"/>
    <w:rsid w:val="00E2642F"/>
    <w:rsid w:val="00E26CCC"/>
    <w:rsid w:val="00E3158A"/>
    <w:rsid w:val="00E32595"/>
    <w:rsid w:val="00E33633"/>
    <w:rsid w:val="00E4141A"/>
    <w:rsid w:val="00E4273B"/>
    <w:rsid w:val="00E46C13"/>
    <w:rsid w:val="00E51A57"/>
    <w:rsid w:val="00E55441"/>
    <w:rsid w:val="00E565EE"/>
    <w:rsid w:val="00E572E3"/>
    <w:rsid w:val="00E57A9B"/>
    <w:rsid w:val="00E623B2"/>
    <w:rsid w:val="00E65E91"/>
    <w:rsid w:val="00E669C8"/>
    <w:rsid w:val="00E67353"/>
    <w:rsid w:val="00E71314"/>
    <w:rsid w:val="00E741C8"/>
    <w:rsid w:val="00E772FC"/>
    <w:rsid w:val="00E77F8B"/>
    <w:rsid w:val="00E81159"/>
    <w:rsid w:val="00E81A4A"/>
    <w:rsid w:val="00E854AD"/>
    <w:rsid w:val="00E85766"/>
    <w:rsid w:val="00E90298"/>
    <w:rsid w:val="00E90319"/>
    <w:rsid w:val="00E94349"/>
    <w:rsid w:val="00E972AE"/>
    <w:rsid w:val="00EA5B9D"/>
    <w:rsid w:val="00EA5F83"/>
    <w:rsid w:val="00EB265C"/>
    <w:rsid w:val="00EB4DBD"/>
    <w:rsid w:val="00EC014C"/>
    <w:rsid w:val="00EC12E8"/>
    <w:rsid w:val="00EC1FAB"/>
    <w:rsid w:val="00ED1987"/>
    <w:rsid w:val="00ED2EBF"/>
    <w:rsid w:val="00ED3D5D"/>
    <w:rsid w:val="00ED5BCA"/>
    <w:rsid w:val="00EE0EC9"/>
    <w:rsid w:val="00EE3DB5"/>
    <w:rsid w:val="00EF4CB0"/>
    <w:rsid w:val="00EF5F01"/>
    <w:rsid w:val="00EF6187"/>
    <w:rsid w:val="00F00685"/>
    <w:rsid w:val="00F00DBB"/>
    <w:rsid w:val="00F01B54"/>
    <w:rsid w:val="00F110F0"/>
    <w:rsid w:val="00F12154"/>
    <w:rsid w:val="00F231D6"/>
    <w:rsid w:val="00F23B37"/>
    <w:rsid w:val="00F256C6"/>
    <w:rsid w:val="00F26190"/>
    <w:rsid w:val="00F27AF0"/>
    <w:rsid w:val="00F30425"/>
    <w:rsid w:val="00F34545"/>
    <w:rsid w:val="00F41387"/>
    <w:rsid w:val="00F415BE"/>
    <w:rsid w:val="00F42E7B"/>
    <w:rsid w:val="00F44532"/>
    <w:rsid w:val="00F4501E"/>
    <w:rsid w:val="00F508CD"/>
    <w:rsid w:val="00F54A71"/>
    <w:rsid w:val="00F640E1"/>
    <w:rsid w:val="00F64815"/>
    <w:rsid w:val="00F704FD"/>
    <w:rsid w:val="00F71252"/>
    <w:rsid w:val="00F71B8F"/>
    <w:rsid w:val="00F7270A"/>
    <w:rsid w:val="00F76A9D"/>
    <w:rsid w:val="00F83F3C"/>
    <w:rsid w:val="00F844FB"/>
    <w:rsid w:val="00F85181"/>
    <w:rsid w:val="00F91924"/>
    <w:rsid w:val="00F92A37"/>
    <w:rsid w:val="00F95066"/>
    <w:rsid w:val="00FA152C"/>
    <w:rsid w:val="00FA2886"/>
    <w:rsid w:val="00FA4774"/>
    <w:rsid w:val="00FA5036"/>
    <w:rsid w:val="00FA5326"/>
    <w:rsid w:val="00FA6F48"/>
    <w:rsid w:val="00FA7D72"/>
    <w:rsid w:val="00FB0160"/>
    <w:rsid w:val="00FC12BE"/>
    <w:rsid w:val="00FC23BF"/>
    <w:rsid w:val="00FC49E6"/>
    <w:rsid w:val="00FD0EDF"/>
    <w:rsid w:val="00FD3130"/>
    <w:rsid w:val="00FD6C32"/>
    <w:rsid w:val="00FE07F6"/>
    <w:rsid w:val="00FE2FDA"/>
    <w:rsid w:val="00FE7513"/>
    <w:rsid w:val="00FF01C4"/>
    <w:rsid w:val="00FF0EDF"/>
    <w:rsid w:val="00FF4763"/>
    <w:rsid w:val="00FF4AF2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1E01"/>
  <w15:chartTrackingRefBased/>
  <w15:docId w15:val="{1E95B631-4425-4DC2-895C-F6766BEA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3C7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AE"/>
  </w:style>
  <w:style w:type="paragraph" w:styleId="Footer">
    <w:name w:val="footer"/>
    <w:basedOn w:val="Normal"/>
    <w:link w:val="FooterChar"/>
    <w:uiPriority w:val="99"/>
    <w:unhideWhenUsed/>
    <w:rsid w:val="0070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5187-4D48-4980-AF9F-7805B845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Kristin (SPC)</dc:creator>
  <cp:keywords/>
  <dc:description/>
  <cp:lastModifiedBy>Cook, Kristin (SPC)</cp:lastModifiedBy>
  <cp:revision>748</cp:revision>
  <dcterms:created xsi:type="dcterms:W3CDTF">2025-03-20T13:44:00Z</dcterms:created>
  <dcterms:modified xsi:type="dcterms:W3CDTF">2025-10-27T18:50:00Z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2025-02-24T17:29:16Z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1b50d964-291c-4e9f-a23b-8baf8ad65ef5</vt:lpwstr>
  </property>
  <property fmtid="{D5CDD505-2E9C-101B-9397-08002B2CF9AE}" pid="8" name="MSIP_Label_ed3826ce-7c18-471d-9596-93de5bae332e_ContentBits">
    <vt:lpwstr>0</vt:lpwstr>
  </property>
</Properties>
</file>