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6D99C" w14:textId="77777777" w:rsidR="00283200" w:rsidRDefault="0028320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3"/>
        <w:tblW w:w="10440"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1260"/>
        <w:gridCol w:w="900"/>
        <w:gridCol w:w="6660"/>
      </w:tblGrid>
      <w:tr w:rsidR="00283200" w14:paraId="1317B426" w14:textId="77777777">
        <w:tc>
          <w:tcPr>
            <w:tcW w:w="1620" w:type="dxa"/>
            <w:tcBorders>
              <w:bottom w:val="single" w:sz="4" w:space="0" w:color="000000"/>
            </w:tcBorders>
            <w:shd w:val="clear" w:color="auto" w:fill="FFFFFF"/>
            <w:vAlign w:val="center"/>
          </w:tcPr>
          <w:p w14:paraId="5D46F057" w14:textId="77777777" w:rsidR="00283200" w:rsidRDefault="00DB03E3">
            <w:pPr>
              <w:pBdr>
                <w:top w:val="nil"/>
                <w:left w:val="nil"/>
                <w:bottom w:val="nil"/>
                <w:right w:val="nil"/>
                <w:between w:val="nil"/>
              </w:pBdr>
              <w:tabs>
                <w:tab w:val="center" w:pos="4320"/>
                <w:tab w:val="right" w:pos="8640"/>
              </w:tabs>
              <w:rPr>
                <w:rFonts w:ascii="Verdana" w:eastAsia="Verdana" w:hAnsi="Verdana" w:cs="Verdana"/>
                <w:b/>
                <w:color w:val="000000"/>
                <w:sz w:val="22"/>
                <w:szCs w:val="22"/>
              </w:rPr>
            </w:pPr>
            <w:r>
              <w:rPr>
                <w:rFonts w:ascii="Arial" w:eastAsia="Arial" w:hAnsi="Arial" w:cs="Arial"/>
                <w:b/>
              </w:rPr>
              <w:t>PG</w:t>
            </w:r>
            <w:r>
              <w:rPr>
                <w:rFonts w:ascii="Arial" w:eastAsia="Arial" w:hAnsi="Arial" w:cs="Arial"/>
                <w:b/>
                <w:color w:val="000000"/>
              </w:rPr>
              <w:t>RR Number</w:t>
            </w:r>
          </w:p>
        </w:tc>
        <w:tc>
          <w:tcPr>
            <w:tcW w:w="1260" w:type="dxa"/>
            <w:tcBorders>
              <w:bottom w:val="single" w:sz="4" w:space="0" w:color="000000"/>
            </w:tcBorders>
            <w:vAlign w:val="center"/>
          </w:tcPr>
          <w:p w14:paraId="057F1C11" w14:textId="09440F74" w:rsidR="00283200" w:rsidRDefault="00DB03E3" w:rsidP="002C53C7">
            <w:pPr>
              <w:pBdr>
                <w:top w:val="nil"/>
                <w:left w:val="nil"/>
                <w:bottom w:val="nil"/>
                <w:right w:val="nil"/>
                <w:between w:val="nil"/>
              </w:pBdr>
              <w:tabs>
                <w:tab w:val="center" w:pos="4320"/>
                <w:tab w:val="right" w:pos="8640"/>
              </w:tabs>
              <w:jc w:val="center"/>
              <w:rPr>
                <w:rFonts w:ascii="Arial" w:eastAsia="Arial" w:hAnsi="Arial" w:cs="Arial"/>
                <w:b/>
                <w:color w:val="000000"/>
              </w:rPr>
            </w:pPr>
            <w:hyperlink r:id="rId8" w:history="1">
              <w:r w:rsidRPr="002C53C7">
                <w:rPr>
                  <w:rStyle w:val="Hyperlink"/>
                  <w:rFonts w:ascii="Arial" w:eastAsia="Arial" w:hAnsi="Arial" w:cs="Arial"/>
                  <w:b/>
                  <w:position w:val="0"/>
                </w:rPr>
                <w:t>128</w:t>
              </w:r>
            </w:hyperlink>
          </w:p>
        </w:tc>
        <w:tc>
          <w:tcPr>
            <w:tcW w:w="900" w:type="dxa"/>
            <w:tcBorders>
              <w:bottom w:val="single" w:sz="4" w:space="0" w:color="000000"/>
            </w:tcBorders>
            <w:shd w:val="clear" w:color="auto" w:fill="FFFFFF"/>
            <w:vAlign w:val="center"/>
          </w:tcPr>
          <w:p w14:paraId="78645F36"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NPRR Title</w:t>
            </w:r>
          </w:p>
        </w:tc>
        <w:tc>
          <w:tcPr>
            <w:tcW w:w="6660" w:type="dxa"/>
            <w:tcBorders>
              <w:bottom w:val="single" w:sz="4" w:space="0" w:color="000000"/>
            </w:tcBorders>
            <w:vAlign w:val="center"/>
          </w:tcPr>
          <w:p w14:paraId="3DA58CCF"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rPr>
              <w:t>Regional Transmission Plan Review of Grid Enhancing Technologies</w:t>
            </w:r>
          </w:p>
        </w:tc>
      </w:tr>
      <w:tr w:rsidR="00283200" w14:paraId="3194E024" w14:textId="77777777">
        <w:trPr>
          <w:trHeight w:val="413"/>
        </w:trPr>
        <w:tc>
          <w:tcPr>
            <w:tcW w:w="2880" w:type="dxa"/>
            <w:gridSpan w:val="2"/>
            <w:tcBorders>
              <w:top w:val="nil"/>
              <w:left w:val="nil"/>
              <w:bottom w:val="single" w:sz="4" w:space="0" w:color="000000"/>
              <w:right w:val="nil"/>
            </w:tcBorders>
            <w:vAlign w:val="center"/>
          </w:tcPr>
          <w:p w14:paraId="0F66CC35" w14:textId="77777777" w:rsidR="00283200" w:rsidRDefault="00283200">
            <w:pPr>
              <w:pBdr>
                <w:top w:val="nil"/>
                <w:left w:val="nil"/>
                <w:bottom w:val="nil"/>
                <w:right w:val="nil"/>
                <w:between w:val="nil"/>
              </w:pBdr>
              <w:rPr>
                <w:rFonts w:ascii="Arial" w:eastAsia="Arial" w:hAnsi="Arial" w:cs="Arial"/>
                <w:color w:val="000000"/>
              </w:rPr>
            </w:pPr>
          </w:p>
        </w:tc>
        <w:tc>
          <w:tcPr>
            <w:tcW w:w="7560" w:type="dxa"/>
            <w:gridSpan w:val="2"/>
            <w:tcBorders>
              <w:top w:val="single" w:sz="4" w:space="0" w:color="000000"/>
              <w:left w:val="nil"/>
              <w:bottom w:val="nil"/>
              <w:right w:val="nil"/>
            </w:tcBorders>
            <w:vAlign w:val="center"/>
          </w:tcPr>
          <w:p w14:paraId="75B4BBC8" w14:textId="77777777" w:rsidR="00283200" w:rsidRDefault="00283200">
            <w:pPr>
              <w:pBdr>
                <w:top w:val="nil"/>
                <w:left w:val="nil"/>
                <w:bottom w:val="nil"/>
                <w:right w:val="nil"/>
                <w:between w:val="nil"/>
              </w:pBdr>
              <w:rPr>
                <w:rFonts w:ascii="Arial" w:eastAsia="Arial" w:hAnsi="Arial" w:cs="Arial"/>
                <w:color w:val="000000"/>
              </w:rPr>
            </w:pPr>
          </w:p>
        </w:tc>
      </w:tr>
      <w:tr w:rsidR="00283200" w14:paraId="39D95E03" w14:textId="77777777">
        <w:trPr>
          <w:trHeight w:val="440"/>
        </w:trPr>
        <w:tc>
          <w:tcPr>
            <w:tcW w:w="2880" w:type="dxa"/>
            <w:gridSpan w:val="2"/>
            <w:tcBorders>
              <w:top w:val="single" w:sz="4" w:space="0" w:color="000000"/>
              <w:left w:val="single" w:sz="4" w:space="0" w:color="000000"/>
              <w:bottom w:val="single" w:sz="4" w:space="0" w:color="000000"/>
              <w:right w:val="single" w:sz="4" w:space="0" w:color="000000"/>
            </w:tcBorders>
            <w:vAlign w:val="center"/>
          </w:tcPr>
          <w:p w14:paraId="3767A1EA"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Date</w:t>
            </w:r>
          </w:p>
        </w:tc>
        <w:tc>
          <w:tcPr>
            <w:tcW w:w="7560" w:type="dxa"/>
            <w:gridSpan w:val="2"/>
            <w:tcBorders>
              <w:top w:val="single" w:sz="4" w:space="0" w:color="000000"/>
              <w:left w:val="single" w:sz="4" w:space="0" w:color="000000"/>
              <w:bottom w:val="single" w:sz="4" w:space="0" w:color="000000"/>
              <w:right w:val="single" w:sz="4" w:space="0" w:color="000000"/>
            </w:tcBorders>
            <w:vAlign w:val="center"/>
          </w:tcPr>
          <w:p w14:paraId="1DBB69DF" w14:textId="2B19606D" w:rsidR="00283200" w:rsidRDefault="002C53C7">
            <w:pPr>
              <w:pBdr>
                <w:top w:val="nil"/>
                <w:left w:val="nil"/>
                <w:bottom w:val="nil"/>
                <w:right w:val="nil"/>
                <w:between w:val="nil"/>
              </w:pBdr>
              <w:rPr>
                <w:rFonts w:ascii="Arial" w:eastAsia="Arial" w:hAnsi="Arial" w:cs="Arial"/>
                <w:color w:val="000000"/>
              </w:rPr>
            </w:pPr>
            <w:r>
              <w:rPr>
                <w:rFonts w:ascii="Arial" w:eastAsia="Arial" w:hAnsi="Arial" w:cs="Arial"/>
              </w:rPr>
              <w:t>October 23, 2025</w:t>
            </w:r>
          </w:p>
        </w:tc>
      </w:tr>
      <w:tr w:rsidR="00283200" w14:paraId="3FB31CD2" w14:textId="77777777">
        <w:trPr>
          <w:trHeight w:val="467"/>
        </w:trPr>
        <w:tc>
          <w:tcPr>
            <w:tcW w:w="2880" w:type="dxa"/>
            <w:gridSpan w:val="2"/>
            <w:tcBorders>
              <w:top w:val="single" w:sz="4" w:space="0" w:color="000000"/>
              <w:left w:val="nil"/>
              <w:bottom w:val="nil"/>
              <w:right w:val="nil"/>
            </w:tcBorders>
            <w:shd w:val="clear" w:color="auto" w:fill="FFFFFF"/>
            <w:vAlign w:val="center"/>
          </w:tcPr>
          <w:p w14:paraId="62F8764D" w14:textId="77777777" w:rsidR="00283200" w:rsidRDefault="00283200">
            <w:pPr>
              <w:pBdr>
                <w:top w:val="nil"/>
                <w:left w:val="nil"/>
                <w:bottom w:val="nil"/>
                <w:right w:val="nil"/>
                <w:between w:val="nil"/>
              </w:pBdr>
              <w:rPr>
                <w:rFonts w:ascii="Arial" w:eastAsia="Arial" w:hAnsi="Arial" w:cs="Arial"/>
                <w:color w:val="000000"/>
              </w:rPr>
            </w:pPr>
          </w:p>
        </w:tc>
        <w:tc>
          <w:tcPr>
            <w:tcW w:w="7560" w:type="dxa"/>
            <w:gridSpan w:val="2"/>
            <w:tcBorders>
              <w:top w:val="nil"/>
              <w:left w:val="nil"/>
              <w:bottom w:val="nil"/>
              <w:right w:val="nil"/>
            </w:tcBorders>
            <w:vAlign w:val="center"/>
          </w:tcPr>
          <w:p w14:paraId="70DF404F" w14:textId="77777777" w:rsidR="00283200" w:rsidRDefault="00283200">
            <w:pPr>
              <w:pBdr>
                <w:top w:val="nil"/>
                <w:left w:val="nil"/>
                <w:bottom w:val="nil"/>
                <w:right w:val="nil"/>
                <w:between w:val="nil"/>
              </w:pBdr>
              <w:rPr>
                <w:rFonts w:ascii="Arial" w:eastAsia="Arial" w:hAnsi="Arial" w:cs="Arial"/>
                <w:color w:val="000000"/>
              </w:rPr>
            </w:pPr>
          </w:p>
        </w:tc>
      </w:tr>
      <w:tr w:rsidR="00283200" w14:paraId="3273805A" w14:textId="77777777">
        <w:trPr>
          <w:trHeight w:val="440"/>
        </w:trPr>
        <w:tc>
          <w:tcPr>
            <w:tcW w:w="10440" w:type="dxa"/>
            <w:gridSpan w:val="4"/>
            <w:tcBorders>
              <w:top w:val="single" w:sz="4" w:space="0" w:color="000000"/>
            </w:tcBorders>
            <w:shd w:val="clear" w:color="auto" w:fill="FFFFFF"/>
            <w:vAlign w:val="center"/>
          </w:tcPr>
          <w:p w14:paraId="55658386" w14:textId="77777777" w:rsidR="00283200" w:rsidRDefault="00DB03E3">
            <w:pPr>
              <w:pBdr>
                <w:top w:val="nil"/>
                <w:left w:val="nil"/>
                <w:bottom w:val="nil"/>
                <w:right w:val="nil"/>
                <w:between w:val="nil"/>
              </w:pBdr>
              <w:tabs>
                <w:tab w:val="center" w:pos="4320"/>
                <w:tab w:val="right" w:pos="8640"/>
              </w:tabs>
              <w:jc w:val="center"/>
              <w:rPr>
                <w:rFonts w:ascii="Arial" w:eastAsia="Arial" w:hAnsi="Arial" w:cs="Arial"/>
                <w:b/>
                <w:color w:val="000000"/>
              </w:rPr>
            </w:pPr>
            <w:r>
              <w:rPr>
                <w:rFonts w:ascii="Arial" w:eastAsia="Arial" w:hAnsi="Arial" w:cs="Arial"/>
                <w:b/>
                <w:color w:val="000000"/>
              </w:rPr>
              <w:t>Submitter’s Information</w:t>
            </w:r>
          </w:p>
        </w:tc>
      </w:tr>
      <w:tr w:rsidR="00283200" w14:paraId="77CC2134" w14:textId="77777777">
        <w:trPr>
          <w:trHeight w:val="350"/>
        </w:trPr>
        <w:tc>
          <w:tcPr>
            <w:tcW w:w="2880" w:type="dxa"/>
            <w:gridSpan w:val="2"/>
            <w:shd w:val="clear" w:color="auto" w:fill="FFFFFF"/>
            <w:vAlign w:val="center"/>
          </w:tcPr>
          <w:p w14:paraId="140FB9EA"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Name</w:t>
            </w:r>
          </w:p>
        </w:tc>
        <w:tc>
          <w:tcPr>
            <w:tcW w:w="7560" w:type="dxa"/>
            <w:gridSpan w:val="2"/>
            <w:vAlign w:val="center"/>
          </w:tcPr>
          <w:p w14:paraId="3A5C08D8" w14:textId="6E9E8D7E" w:rsidR="00283200" w:rsidRPr="00DB03E3" w:rsidRDefault="00DB03E3">
            <w:pPr>
              <w:pBdr>
                <w:top w:val="nil"/>
                <w:left w:val="nil"/>
                <w:bottom w:val="nil"/>
                <w:right w:val="nil"/>
                <w:between w:val="nil"/>
              </w:pBdr>
              <w:rPr>
                <w:rFonts w:ascii="Arial" w:eastAsia="Arial" w:hAnsi="Arial" w:cs="Arial"/>
                <w:color w:val="000000"/>
              </w:rPr>
            </w:pPr>
            <w:r w:rsidRPr="00DB03E3">
              <w:rPr>
                <w:rFonts w:ascii="Arial" w:eastAsia="Arial" w:hAnsi="Arial" w:cs="Arial"/>
                <w:color w:val="000000" w:themeColor="text1"/>
              </w:rPr>
              <w:t>Chris Matos</w:t>
            </w:r>
          </w:p>
        </w:tc>
      </w:tr>
      <w:tr w:rsidR="00283200" w14:paraId="231E1765" w14:textId="77777777">
        <w:trPr>
          <w:trHeight w:val="350"/>
        </w:trPr>
        <w:tc>
          <w:tcPr>
            <w:tcW w:w="2880" w:type="dxa"/>
            <w:gridSpan w:val="2"/>
            <w:shd w:val="clear" w:color="auto" w:fill="FFFFFF"/>
            <w:vAlign w:val="center"/>
          </w:tcPr>
          <w:p w14:paraId="6D22C6D1"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E-mail Address</w:t>
            </w:r>
          </w:p>
        </w:tc>
        <w:tc>
          <w:tcPr>
            <w:tcW w:w="7560" w:type="dxa"/>
            <w:gridSpan w:val="2"/>
            <w:vAlign w:val="center"/>
          </w:tcPr>
          <w:p w14:paraId="6A3234BD" w14:textId="77777777" w:rsidR="00283200" w:rsidRDefault="00DB03E3">
            <w:pPr>
              <w:pBdr>
                <w:top w:val="nil"/>
                <w:left w:val="nil"/>
                <w:bottom w:val="nil"/>
                <w:right w:val="nil"/>
                <w:between w:val="nil"/>
              </w:pBdr>
              <w:rPr>
                <w:rFonts w:ascii="Arial" w:eastAsia="Arial" w:hAnsi="Arial" w:cs="Arial"/>
                <w:color w:val="000000"/>
              </w:rPr>
            </w:pPr>
            <w:hyperlink r:id="rId9">
              <w:r>
                <w:rPr>
                  <w:rFonts w:ascii="Arial" w:eastAsia="Arial" w:hAnsi="Arial" w:cs="Arial"/>
                  <w:color w:val="1155CC"/>
                  <w:u w:val="single"/>
                </w:rPr>
                <w:t>chrismatos@google.com</w:t>
              </w:r>
            </w:hyperlink>
            <w:r>
              <w:rPr>
                <w:rFonts w:ascii="Arial" w:eastAsia="Arial" w:hAnsi="Arial" w:cs="Arial"/>
              </w:rPr>
              <w:t xml:space="preserve"> </w:t>
            </w:r>
          </w:p>
        </w:tc>
      </w:tr>
      <w:tr w:rsidR="00283200" w14:paraId="4B9460C1" w14:textId="77777777">
        <w:trPr>
          <w:trHeight w:val="350"/>
        </w:trPr>
        <w:tc>
          <w:tcPr>
            <w:tcW w:w="2880" w:type="dxa"/>
            <w:gridSpan w:val="2"/>
            <w:shd w:val="clear" w:color="auto" w:fill="FFFFFF"/>
            <w:vAlign w:val="center"/>
          </w:tcPr>
          <w:p w14:paraId="54744446"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Company</w:t>
            </w:r>
          </w:p>
        </w:tc>
        <w:tc>
          <w:tcPr>
            <w:tcW w:w="7560" w:type="dxa"/>
            <w:gridSpan w:val="2"/>
            <w:vAlign w:val="center"/>
          </w:tcPr>
          <w:p w14:paraId="0B6C0F52" w14:textId="77777777" w:rsidR="00283200" w:rsidRDefault="00DB03E3">
            <w:pPr>
              <w:pBdr>
                <w:top w:val="nil"/>
                <w:left w:val="nil"/>
                <w:bottom w:val="nil"/>
                <w:right w:val="nil"/>
                <w:between w:val="nil"/>
              </w:pBdr>
              <w:rPr>
                <w:rFonts w:ascii="Arial" w:eastAsia="Arial" w:hAnsi="Arial" w:cs="Arial"/>
                <w:color w:val="000000"/>
              </w:rPr>
            </w:pPr>
            <w:r>
              <w:rPr>
                <w:rFonts w:ascii="Arial" w:eastAsia="Arial" w:hAnsi="Arial" w:cs="Arial"/>
              </w:rPr>
              <w:t>Google LLC</w:t>
            </w:r>
          </w:p>
        </w:tc>
      </w:tr>
      <w:tr w:rsidR="00283200" w14:paraId="551FB2F4" w14:textId="77777777">
        <w:trPr>
          <w:trHeight w:val="350"/>
        </w:trPr>
        <w:tc>
          <w:tcPr>
            <w:tcW w:w="2880" w:type="dxa"/>
            <w:gridSpan w:val="2"/>
            <w:tcBorders>
              <w:bottom w:val="single" w:sz="4" w:space="0" w:color="000000"/>
            </w:tcBorders>
            <w:shd w:val="clear" w:color="auto" w:fill="FFFFFF"/>
            <w:vAlign w:val="center"/>
          </w:tcPr>
          <w:p w14:paraId="1650AD26"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Phone Number</w:t>
            </w:r>
          </w:p>
        </w:tc>
        <w:tc>
          <w:tcPr>
            <w:tcW w:w="7560" w:type="dxa"/>
            <w:gridSpan w:val="2"/>
            <w:tcBorders>
              <w:bottom w:val="single" w:sz="4" w:space="0" w:color="000000"/>
            </w:tcBorders>
            <w:vAlign w:val="center"/>
          </w:tcPr>
          <w:p w14:paraId="300F46E6" w14:textId="77777777" w:rsidR="00283200" w:rsidRDefault="00283200">
            <w:pPr>
              <w:pBdr>
                <w:top w:val="nil"/>
                <w:left w:val="nil"/>
                <w:bottom w:val="nil"/>
                <w:right w:val="nil"/>
                <w:between w:val="nil"/>
              </w:pBdr>
              <w:rPr>
                <w:rFonts w:ascii="Arial" w:eastAsia="Arial" w:hAnsi="Arial" w:cs="Arial"/>
                <w:color w:val="000000"/>
              </w:rPr>
            </w:pPr>
          </w:p>
        </w:tc>
      </w:tr>
      <w:tr w:rsidR="00283200" w14:paraId="2615DEEA" w14:textId="77777777">
        <w:trPr>
          <w:trHeight w:val="350"/>
        </w:trPr>
        <w:tc>
          <w:tcPr>
            <w:tcW w:w="2880" w:type="dxa"/>
            <w:gridSpan w:val="2"/>
            <w:shd w:val="clear" w:color="auto" w:fill="FFFFFF"/>
            <w:vAlign w:val="center"/>
          </w:tcPr>
          <w:p w14:paraId="3C212CD5"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Cell Number</w:t>
            </w:r>
          </w:p>
        </w:tc>
        <w:tc>
          <w:tcPr>
            <w:tcW w:w="7560" w:type="dxa"/>
            <w:gridSpan w:val="2"/>
            <w:tcBorders>
              <w:bottom w:val="single" w:sz="4" w:space="0" w:color="000000"/>
            </w:tcBorders>
            <w:vAlign w:val="center"/>
          </w:tcPr>
          <w:p w14:paraId="5FC1BA53" w14:textId="0D81591B" w:rsidR="00283200" w:rsidRDefault="00DB03E3">
            <w:pPr>
              <w:rPr>
                <w:rFonts w:ascii="Arial" w:eastAsia="Arial" w:hAnsi="Arial" w:cs="Arial"/>
              </w:rPr>
            </w:pPr>
            <w:r>
              <w:rPr>
                <w:rFonts w:ascii="Arial" w:eastAsia="Arial" w:hAnsi="Arial" w:cs="Arial"/>
              </w:rPr>
              <w:t>650</w:t>
            </w:r>
            <w:r w:rsidR="002C53C7">
              <w:rPr>
                <w:rFonts w:ascii="Arial" w:eastAsia="Arial" w:hAnsi="Arial" w:cs="Arial"/>
              </w:rPr>
              <w:t>-</w:t>
            </w:r>
            <w:r>
              <w:rPr>
                <w:rFonts w:ascii="Arial" w:eastAsia="Arial" w:hAnsi="Arial" w:cs="Arial"/>
              </w:rPr>
              <w:t>930</w:t>
            </w:r>
            <w:r w:rsidR="002C53C7">
              <w:rPr>
                <w:rFonts w:ascii="Arial" w:eastAsia="Arial" w:hAnsi="Arial" w:cs="Arial"/>
              </w:rPr>
              <w:t>-</w:t>
            </w:r>
            <w:r>
              <w:rPr>
                <w:rFonts w:ascii="Arial" w:eastAsia="Arial" w:hAnsi="Arial" w:cs="Arial"/>
              </w:rPr>
              <w:t>6764</w:t>
            </w:r>
          </w:p>
        </w:tc>
      </w:tr>
      <w:tr w:rsidR="00283200" w14:paraId="63732F78" w14:textId="77777777">
        <w:trPr>
          <w:trHeight w:val="350"/>
        </w:trPr>
        <w:tc>
          <w:tcPr>
            <w:tcW w:w="2880" w:type="dxa"/>
            <w:gridSpan w:val="2"/>
            <w:tcBorders>
              <w:bottom w:val="single" w:sz="4" w:space="0" w:color="000000"/>
            </w:tcBorders>
            <w:shd w:val="clear" w:color="auto" w:fill="FFFFFF"/>
            <w:vAlign w:val="center"/>
          </w:tcPr>
          <w:p w14:paraId="30158BE7" w14:textId="77777777" w:rsidR="00283200" w:rsidRDefault="00DB03E3">
            <w:pPr>
              <w:pBdr>
                <w:top w:val="nil"/>
                <w:left w:val="nil"/>
                <w:bottom w:val="nil"/>
                <w:right w:val="nil"/>
                <w:between w:val="nil"/>
              </w:pBdr>
              <w:tabs>
                <w:tab w:val="center" w:pos="4320"/>
                <w:tab w:val="right" w:pos="8640"/>
              </w:tabs>
              <w:rPr>
                <w:rFonts w:ascii="Arial" w:eastAsia="Arial" w:hAnsi="Arial" w:cs="Arial"/>
                <w:b/>
                <w:color w:val="000000"/>
              </w:rPr>
            </w:pPr>
            <w:r>
              <w:rPr>
                <w:rFonts w:ascii="Arial" w:eastAsia="Arial" w:hAnsi="Arial" w:cs="Arial"/>
                <w:b/>
                <w:color w:val="000000"/>
              </w:rPr>
              <w:t>Market Segment</w:t>
            </w:r>
          </w:p>
        </w:tc>
        <w:tc>
          <w:tcPr>
            <w:tcW w:w="7560" w:type="dxa"/>
            <w:gridSpan w:val="2"/>
            <w:tcBorders>
              <w:bottom w:val="single" w:sz="4" w:space="0" w:color="000000"/>
            </w:tcBorders>
            <w:vAlign w:val="center"/>
          </w:tcPr>
          <w:p w14:paraId="45A4EF0A" w14:textId="77777777" w:rsidR="00283200" w:rsidRDefault="00DB03E3">
            <w:pPr>
              <w:pBdr>
                <w:top w:val="nil"/>
                <w:left w:val="nil"/>
                <w:bottom w:val="nil"/>
                <w:right w:val="nil"/>
                <w:between w:val="nil"/>
              </w:pBdr>
              <w:rPr>
                <w:rFonts w:ascii="Arial" w:eastAsia="Arial" w:hAnsi="Arial" w:cs="Arial"/>
                <w:color w:val="000000"/>
              </w:rPr>
            </w:pPr>
            <w:r>
              <w:rPr>
                <w:rFonts w:ascii="Arial" w:eastAsia="Arial" w:hAnsi="Arial" w:cs="Arial"/>
              </w:rPr>
              <w:t>Industrial</w:t>
            </w:r>
          </w:p>
        </w:tc>
      </w:tr>
    </w:tbl>
    <w:p w14:paraId="395F5881" w14:textId="77777777" w:rsidR="00283200" w:rsidRDefault="00283200">
      <w:pPr>
        <w:pBdr>
          <w:top w:val="nil"/>
          <w:left w:val="nil"/>
          <w:bottom w:val="nil"/>
          <w:right w:val="nil"/>
          <w:between w:val="nil"/>
        </w:pBdr>
        <w:rPr>
          <w:rFonts w:ascii="Arial" w:eastAsia="Arial" w:hAnsi="Arial" w:cs="Arial"/>
          <w:color w:val="000000"/>
        </w:rPr>
      </w:pPr>
    </w:p>
    <w:tbl>
      <w:tblPr>
        <w:tblStyle w:val="a4"/>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40"/>
      </w:tblGrid>
      <w:tr w:rsidR="00283200" w14:paraId="5501F33E" w14:textId="77777777">
        <w:trPr>
          <w:trHeight w:val="422"/>
          <w:jc w:val="center"/>
        </w:trPr>
        <w:tc>
          <w:tcPr>
            <w:tcW w:w="10440" w:type="dxa"/>
            <w:vAlign w:val="center"/>
          </w:tcPr>
          <w:p w14:paraId="19D32A14" w14:textId="77777777" w:rsidR="00283200" w:rsidRDefault="00DB03E3">
            <w:pPr>
              <w:pBdr>
                <w:top w:val="nil"/>
                <w:left w:val="nil"/>
                <w:bottom w:val="nil"/>
                <w:right w:val="nil"/>
                <w:between w:val="nil"/>
              </w:pBdr>
              <w:tabs>
                <w:tab w:val="center" w:pos="4320"/>
                <w:tab w:val="right" w:pos="8640"/>
              </w:tabs>
              <w:jc w:val="center"/>
              <w:rPr>
                <w:rFonts w:ascii="Arial" w:eastAsia="Arial" w:hAnsi="Arial" w:cs="Arial"/>
                <w:b/>
                <w:color w:val="000000"/>
              </w:rPr>
            </w:pPr>
            <w:r>
              <w:rPr>
                <w:rFonts w:ascii="Arial" w:eastAsia="Arial" w:hAnsi="Arial" w:cs="Arial"/>
                <w:b/>
                <w:color w:val="000000"/>
              </w:rPr>
              <w:t>Comments</w:t>
            </w:r>
          </w:p>
        </w:tc>
      </w:tr>
    </w:tbl>
    <w:p w14:paraId="1294BC70" w14:textId="3134AE93"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 xml:space="preserve">Google LLC (“Google”) appreciates the opportunity  to submit these comments in support of Planning Guide Revision Request (PGRR) 128, Regional Transmission Plan Review of Grid Enhancing Technologies (“GETs”). </w:t>
      </w:r>
    </w:p>
    <w:p w14:paraId="00F54BB7" w14:textId="4D19F9CC"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 xml:space="preserve">Grid capacity is an increasingly critical challenge for </w:t>
      </w:r>
      <w:r w:rsidR="002C53C7">
        <w:rPr>
          <w:rFonts w:ascii="Arial" w:eastAsia="Arial" w:hAnsi="Arial" w:cs="Arial"/>
        </w:rPr>
        <w:t>L</w:t>
      </w:r>
      <w:r>
        <w:rPr>
          <w:rFonts w:ascii="Arial" w:eastAsia="Arial" w:hAnsi="Arial" w:cs="Arial"/>
        </w:rPr>
        <w:t xml:space="preserve">oad interconnection in the ERCOT region. </w:t>
      </w:r>
      <w:r w:rsidR="002C53C7">
        <w:rPr>
          <w:rFonts w:ascii="Arial" w:eastAsia="Arial" w:hAnsi="Arial" w:cs="Arial"/>
        </w:rPr>
        <w:t xml:space="preserve"> </w:t>
      </w:r>
      <w:r>
        <w:rPr>
          <w:rFonts w:ascii="Arial" w:eastAsia="Arial" w:hAnsi="Arial" w:cs="Arial"/>
        </w:rPr>
        <w:t>GETs offer significant potential to provide both short- and long-term flexibility while awaiting the completion of major transmission expansions, such as the Permian Plan.</w:t>
      </w:r>
    </w:p>
    <w:p w14:paraId="3B94EBD5" w14:textId="7890D585"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 xml:space="preserve">Given the substantial temporal distance between new </w:t>
      </w:r>
      <w:r w:rsidR="002C53C7">
        <w:rPr>
          <w:rFonts w:ascii="Arial" w:eastAsia="Arial" w:hAnsi="Arial" w:cs="Arial"/>
        </w:rPr>
        <w:t>L</w:t>
      </w:r>
      <w:r>
        <w:rPr>
          <w:rFonts w:ascii="Arial" w:eastAsia="Arial" w:hAnsi="Arial" w:cs="Arial"/>
        </w:rPr>
        <w:t xml:space="preserve">oad applications and the completion of transmission upgrades, Google has actively championed solutions to maximize existing grid capacity. </w:t>
      </w:r>
      <w:r w:rsidR="002C53C7">
        <w:rPr>
          <w:rFonts w:ascii="Arial" w:eastAsia="Arial" w:hAnsi="Arial" w:cs="Arial"/>
        </w:rPr>
        <w:t xml:space="preserve"> </w:t>
      </w:r>
      <w:r>
        <w:rPr>
          <w:rFonts w:ascii="Arial" w:eastAsia="Arial" w:hAnsi="Arial" w:cs="Arial"/>
        </w:rPr>
        <w:t>This commitment is evidenced by our strong track record of supporting GETs and GETs-enabling policies, including our recent announcement of partnerships with developers to promote these technologies.</w:t>
      </w:r>
      <w:r>
        <w:rPr>
          <w:rFonts w:ascii="Arial" w:eastAsia="Arial" w:hAnsi="Arial" w:cs="Arial"/>
          <w:vertAlign w:val="superscript"/>
        </w:rPr>
        <w:footnoteReference w:id="1"/>
      </w:r>
    </w:p>
    <w:p w14:paraId="2D922F10" w14:textId="1E717BA5"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 xml:space="preserve">Google respectfully disagrees with the </w:t>
      </w:r>
      <w:r w:rsidR="00E4191B">
        <w:rPr>
          <w:rFonts w:ascii="Arial" w:eastAsia="Arial" w:hAnsi="Arial" w:cs="Arial"/>
        </w:rPr>
        <w:t xml:space="preserve">8/19/25 </w:t>
      </w:r>
      <w:r>
        <w:rPr>
          <w:rFonts w:ascii="Arial" w:eastAsia="Arial" w:hAnsi="Arial" w:cs="Arial"/>
        </w:rPr>
        <w:t>Oncor</w:t>
      </w:r>
      <w:r w:rsidR="00E4191B">
        <w:rPr>
          <w:rFonts w:ascii="Arial" w:eastAsia="Arial" w:hAnsi="Arial" w:cs="Arial"/>
        </w:rPr>
        <w:t xml:space="preserve"> comments</w:t>
      </w:r>
      <w:r>
        <w:rPr>
          <w:rFonts w:ascii="Arial" w:eastAsia="Arial" w:hAnsi="Arial" w:cs="Arial"/>
        </w:rPr>
        <w:t xml:space="preserve"> and </w:t>
      </w:r>
      <w:r w:rsidR="00E4191B">
        <w:rPr>
          <w:rFonts w:ascii="Arial" w:eastAsia="Arial" w:hAnsi="Arial" w:cs="Arial"/>
        </w:rPr>
        <w:t xml:space="preserve">the 10/1/25 </w:t>
      </w:r>
      <w:r>
        <w:rPr>
          <w:rFonts w:ascii="Arial" w:eastAsia="Arial" w:hAnsi="Arial" w:cs="Arial"/>
        </w:rPr>
        <w:t>ERCOT</w:t>
      </w:r>
      <w:r w:rsidR="00E4191B">
        <w:rPr>
          <w:rFonts w:ascii="Arial" w:eastAsia="Arial" w:hAnsi="Arial" w:cs="Arial"/>
        </w:rPr>
        <w:t xml:space="preserve"> comments</w:t>
      </w:r>
      <w:r>
        <w:rPr>
          <w:rFonts w:ascii="Arial" w:eastAsia="Arial" w:hAnsi="Arial" w:cs="Arial"/>
        </w:rPr>
        <w:t xml:space="preserve">. </w:t>
      </w:r>
      <w:r w:rsidR="002C53C7">
        <w:rPr>
          <w:rFonts w:ascii="Arial" w:eastAsia="Arial" w:hAnsi="Arial" w:cs="Arial"/>
        </w:rPr>
        <w:t xml:space="preserve"> </w:t>
      </w:r>
      <w:r>
        <w:rPr>
          <w:rFonts w:ascii="Arial" w:eastAsia="Arial" w:hAnsi="Arial" w:cs="Arial"/>
        </w:rPr>
        <w:t xml:space="preserve">PGRR128 does not require transmission utilities to justify the exclusion of GETs from their Regional Transmission Plan projects; instead, it simply requests utilities establish transparent screening criteria for evaluating GETs. </w:t>
      </w:r>
      <w:r w:rsidR="00E4191B">
        <w:rPr>
          <w:rFonts w:ascii="Arial" w:eastAsia="Arial" w:hAnsi="Arial" w:cs="Arial"/>
        </w:rPr>
        <w:t xml:space="preserve"> </w:t>
      </w:r>
      <w:r>
        <w:rPr>
          <w:rFonts w:ascii="Arial" w:eastAsia="Arial" w:hAnsi="Arial" w:cs="Arial"/>
        </w:rPr>
        <w:t>Establishing clear, objective screening criteria (including inputs like project size, congestion levels, and timeline) will allow utilities to quickly filter projects for GETs consideration and provide stakeholders with a transparent understanding of their applicability in transmission planning.</w:t>
      </w:r>
    </w:p>
    <w:p w14:paraId="73C978C8" w14:textId="02A137B2"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 xml:space="preserve">While Google agrees there is no single, exhaustive list of GETs, their purpose is quite clear: to maximize the use of the existing system. </w:t>
      </w:r>
      <w:r w:rsidR="00E4191B">
        <w:rPr>
          <w:rFonts w:ascii="Arial" w:eastAsia="Arial" w:hAnsi="Arial" w:cs="Arial"/>
        </w:rPr>
        <w:t xml:space="preserve"> </w:t>
      </w:r>
      <w:r>
        <w:rPr>
          <w:rFonts w:ascii="Arial" w:eastAsia="Arial" w:hAnsi="Arial" w:cs="Arial"/>
        </w:rPr>
        <w:t xml:space="preserve">There are well established, </w:t>
      </w:r>
      <w:r>
        <w:rPr>
          <w:rFonts w:ascii="Arial" w:eastAsia="Arial" w:hAnsi="Arial" w:cs="Arial"/>
        </w:rPr>
        <w:lastRenderedPageBreak/>
        <w:t xml:space="preserve">commercially viable technologies that achieve this criteria that utilities should evaluate. PGRR128 calls out some technologies but it does not limit or restrict the opportunity to integrate new technologies. </w:t>
      </w:r>
      <w:r w:rsidR="00E4191B">
        <w:rPr>
          <w:rFonts w:ascii="Arial" w:eastAsia="Arial" w:hAnsi="Arial" w:cs="Arial"/>
        </w:rPr>
        <w:t xml:space="preserve"> </w:t>
      </w:r>
      <w:r>
        <w:rPr>
          <w:rFonts w:ascii="Arial" w:eastAsia="Arial" w:hAnsi="Arial" w:cs="Arial"/>
        </w:rPr>
        <w:t xml:space="preserve">This strikes the balance between evaluating well established technologies and the potential inclusion of new technologies as they achieve greater commercial viability. </w:t>
      </w:r>
      <w:r w:rsidR="00E4191B">
        <w:rPr>
          <w:rFonts w:ascii="Arial" w:eastAsia="Arial" w:hAnsi="Arial" w:cs="Arial"/>
        </w:rPr>
        <w:t xml:space="preserve"> </w:t>
      </w:r>
      <w:r>
        <w:rPr>
          <w:rFonts w:ascii="Arial" w:eastAsia="Arial" w:hAnsi="Arial" w:cs="Arial"/>
        </w:rPr>
        <w:t>As emerging technologies become more commercially viable, the protocols can be later amended to include such technologies.</w:t>
      </w:r>
    </w:p>
    <w:p w14:paraId="0A9A6B80" w14:textId="130144AE"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Google does not believe PGRR128 creates preferential treatment for specific vendors. Rather, it encourages the creation of evaluation criteria for the technical application of non-traditional solutions to meet non-traditional circumstances (e.g., rapid load growth). Transmission Service Providers (TSPs) already have vendor neutral ways to evaluate technologies like substation equipment, transformers, conductors, and GETs themselves.</w:t>
      </w:r>
      <w:r w:rsidR="00E4191B">
        <w:rPr>
          <w:rFonts w:ascii="Arial" w:eastAsia="Arial" w:hAnsi="Arial" w:cs="Arial"/>
        </w:rPr>
        <w:t xml:space="preserve"> </w:t>
      </w:r>
      <w:r>
        <w:rPr>
          <w:rFonts w:ascii="Arial" w:eastAsia="Arial" w:hAnsi="Arial" w:cs="Arial"/>
        </w:rPr>
        <w:t xml:space="preserve"> Requiring the development of publicly available screening criteria for well-established technologies such as advanced conductors or advanced power flow control technology should not create any preferential treatment.</w:t>
      </w:r>
    </w:p>
    <w:p w14:paraId="5C0515FF" w14:textId="535041BD"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Oncor maintains that the GETs technologies requested under PGRR128 are insufficient to address rapid load growth; however, this position is not shared by its utility peers, including others operating within Texas.</w:t>
      </w:r>
      <w:r>
        <w:rPr>
          <w:rFonts w:ascii="Arial" w:eastAsia="Arial" w:hAnsi="Arial" w:cs="Arial"/>
          <w:vertAlign w:val="superscript"/>
        </w:rPr>
        <w:footnoteReference w:id="2"/>
      </w:r>
      <w:r>
        <w:rPr>
          <w:rFonts w:ascii="Arial" w:eastAsia="Arial" w:hAnsi="Arial" w:cs="Arial"/>
        </w:rPr>
        <w:t xml:space="preserve"> Google is working with utility partners across the United States to begin integrating GETs as part of a suite of solutions to integrate data centers quickly onto their systems. </w:t>
      </w:r>
      <w:r w:rsidR="00E4191B">
        <w:rPr>
          <w:rFonts w:ascii="Arial" w:eastAsia="Arial" w:hAnsi="Arial" w:cs="Arial"/>
        </w:rPr>
        <w:t xml:space="preserve"> </w:t>
      </w:r>
      <w:r>
        <w:rPr>
          <w:rFonts w:ascii="Arial" w:eastAsia="Arial" w:hAnsi="Arial" w:cs="Arial"/>
        </w:rPr>
        <w:t xml:space="preserve">These partnership areas meet the very rapid load growth criteria that Oncor claims GETs technologies are inadequate to support. </w:t>
      </w:r>
      <w:r w:rsidR="00E4191B">
        <w:rPr>
          <w:rFonts w:ascii="Arial" w:eastAsia="Arial" w:hAnsi="Arial" w:cs="Arial"/>
        </w:rPr>
        <w:t xml:space="preserve"> </w:t>
      </w:r>
      <w:r>
        <w:rPr>
          <w:rFonts w:ascii="Arial" w:eastAsia="Arial" w:hAnsi="Arial" w:cs="Arial"/>
        </w:rPr>
        <w:t>The key difference is that these utilities are evaluating GETs to secure short-term incremental capacity while their long-term capacity expansion plans are developed.</w:t>
      </w:r>
    </w:p>
    <w:p w14:paraId="40251D7B" w14:textId="58E4BDC6" w:rsidR="00283200"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 xml:space="preserve">Google acknowledges that the integration of GETs technology may require ERCOT to enhance its existing technical evaluation capabilities and could disrupt North American Electric Reliability Corporation (NERC) and ERCOT defined processes. </w:t>
      </w:r>
      <w:r w:rsidR="00E4191B">
        <w:rPr>
          <w:rFonts w:ascii="Arial" w:eastAsia="Arial" w:hAnsi="Arial" w:cs="Arial"/>
        </w:rPr>
        <w:t xml:space="preserve"> </w:t>
      </w:r>
      <w:r>
        <w:rPr>
          <w:rFonts w:ascii="Arial" w:eastAsia="Arial" w:hAnsi="Arial" w:cs="Arial"/>
        </w:rPr>
        <w:t xml:space="preserve">We believe this is a solvable challenge that can be addressed through collaborative effort. </w:t>
      </w:r>
      <w:r w:rsidR="00E4191B">
        <w:rPr>
          <w:rFonts w:ascii="Arial" w:eastAsia="Arial" w:hAnsi="Arial" w:cs="Arial"/>
        </w:rPr>
        <w:t xml:space="preserve"> </w:t>
      </w:r>
      <w:r>
        <w:rPr>
          <w:rFonts w:ascii="Arial" w:eastAsia="Arial" w:hAnsi="Arial" w:cs="Arial"/>
        </w:rPr>
        <w:t xml:space="preserve">First, the purpose of the PGRR process is for ERCOT to define specific changes that may be needed to successfully implement stakeholder-driven objectives. </w:t>
      </w:r>
      <w:r w:rsidR="00E4191B">
        <w:rPr>
          <w:rFonts w:ascii="Arial" w:eastAsia="Arial" w:hAnsi="Arial" w:cs="Arial"/>
        </w:rPr>
        <w:t xml:space="preserve"> </w:t>
      </w:r>
      <w:r>
        <w:rPr>
          <w:rFonts w:ascii="Arial" w:eastAsia="Arial" w:hAnsi="Arial" w:cs="Arial"/>
        </w:rPr>
        <w:t xml:space="preserve">Additionally, PGRR128 does not need to be implemented overnight. </w:t>
      </w:r>
      <w:r w:rsidR="00E4191B">
        <w:rPr>
          <w:rFonts w:ascii="Arial" w:eastAsia="Arial" w:hAnsi="Arial" w:cs="Arial"/>
        </w:rPr>
        <w:t xml:space="preserve"> </w:t>
      </w:r>
      <w:r>
        <w:rPr>
          <w:rFonts w:ascii="Arial" w:eastAsia="Arial" w:hAnsi="Arial" w:cs="Arial"/>
        </w:rPr>
        <w:t xml:space="preserve">Google encourages greater discussion regarding the types of GETs technologies ERCOT is comfortable adopting as a starting point. This process could be structured similarly to ERCOT’s workshops on 765kV adoption, providing a series of technical forums to educate all stakeholders on the value and application of these emerging grid technologies. </w:t>
      </w:r>
      <w:r w:rsidR="00E4191B">
        <w:rPr>
          <w:rFonts w:ascii="Arial" w:eastAsia="Arial" w:hAnsi="Arial" w:cs="Arial"/>
        </w:rPr>
        <w:t xml:space="preserve"> </w:t>
      </w:r>
      <w:r>
        <w:rPr>
          <w:rFonts w:ascii="Arial" w:eastAsia="Arial" w:hAnsi="Arial" w:cs="Arial"/>
        </w:rPr>
        <w:t xml:space="preserve">In fact, industrial consumers like Google would welcome these workshops </w:t>
      </w:r>
      <w:proofErr w:type="gramStart"/>
      <w:r>
        <w:rPr>
          <w:rFonts w:ascii="Arial" w:eastAsia="Arial" w:hAnsi="Arial" w:cs="Arial"/>
        </w:rPr>
        <w:t>as a way to</w:t>
      </w:r>
      <w:proofErr w:type="gramEnd"/>
      <w:r>
        <w:rPr>
          <w:rFonts w:ascii="Arial" w:eastAsia="Arial" w:hAnsi="Arial" w:cs="Arial"/>
        </w:rPr>
        <w:t xml:space="preserve"> facilitate a shared, collaborative understanding of emerging grid technologies. </w:t>
      </w:r>
    </w:p>
    <w:p w14:paraId="4B8C0FB9" w14:textId="41274006" w:rsidR="00E4191B" w:rsidRDefault="00DB03E3" w:rsidP="002C53C7">
      <w:pPr>
        <w:pBdr>
          <w:top w:val="nil"/>
          <w:left w:val="nil"/>
          <w:bottom w:val="nil"/>
          <w:right w:val="nil"/>
          <w:between w:val="nil"/>
        </w:pBdr>
        <w:spacing w:before="120" w:after="120"/>
        <w:rPr>
          <w:rFonts w:ascii="Arial" w:eastAsia="Arial" w:hAnsi="Arial" w:cs="Arial"/>
        </w:rPr>
      </w:pPr>
      <w:r>
        <w:rPr>
          <w:rFonts w:ascii="Arial" w:eastAsia="Arial" w:hAnsi="Arial" w:cs="Arial"/>
        </w:rPr>
        <w:t>In conclusion, Google urges the prompt adoption of PGRR128. It is the necessary mechanism to establish criteria for the timely, systematic, and consistent review of GETs, thereby spurring the incorporation of technologies that will unlock the near-term benefits of large load growth. The alternative —</w:t>
      </w:r>
      <w:r w:rsidR="00E4191B">
        <w:rPr>
          <w:rFonts w:ascii="Arial" w:eastAsia="Arial" w:hAnsi="Arial" w:cs="Arial"/>
        </w:rPr>
        <w:t xml:space="preserve"> </w:t>
      </w:r>
      <w:r>
        <w:rPr>
          <w:rFonts w:ascii="Arial" w:eastAsia="Arial" w:hAnsi="Arial" w:cs="Arial"/>
        </w:rPr>
        <w:t>introducing GETs review only at the Regional Planning Group (RPG)</w:t>
      </w:r>
      <w:r w:rsidR="00E4191B">
        <w:rPr>
          <w:rFonts w:ascii="Arial" w:eastAsia="Arial" w:hAnsi="Arial" w:cs="Arial"/>
        </w:rPr>
        <w:t xml:space="preserve"> </w:t>
      </w:r>
      <w:r>
        <w:rPr>
          <w:rFonts w:ascii="Arial" w:eastAsia="Arial" w:hAnsi="Arial" w:cs="Arial"/>
        </w:rPr>
        <w:t>—</w:t>
      </w:r>
      <w:r w:rsidR="00E4191B">
        <w:rPr>
          <w:rFonts w:ascii="Arial" w:eastAsia="Arial" w:hAnsi="Arial" w:cs="Arial"/>
        </w:rPr>
        <w:t xml:space="preserve"> </w:t>
      </w:r>
      <w:r>
        <w:rPr>
          <w:rFonts w:ascii="Arial" w:eastAsia="Arial" w:hAnsi="Arial" w:cs="Arial"/>
        </w:rPr>
        <w:t>poses a significant risk of delay and inconsistent analysis by forcing intervenors to request restudies.</w:t>
      </w:r>
      <w:bookmarkStart w:id="0" w:name="_heading=h.if0k2cs0jpra" w:colFirst="0" w:colLast="0"/>
      <w:bookmarkEnd w:id="0"/>
    </w:p>
    <w:p w14:paraId="30793776" w14:textId="77777777" w:rsidR="00E4191B" w:rsidRDefault="00E4191B" w:rsidP="00E4191B">
      <w:pPr>
        <w:pStyle w:val="NormalArial"/>
        <w:ind w:leftChars="0" w:left="0" w:firstLineChars="0" w:firstLine="0"/>
      </w:pPr>
    </w:p>
    <w:p w14:paraId="35518A00" w14:textId="77777777" w:rsidR="00E4191B" w:rsidRDefault="00E4191B" w:rsidP="00E4191B">
      <w:pPr>
        <w:pStyle w:val="NormalArial"/>
        <w:ind w:left="0" w:hanging="2"/>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E4191B" w14:paraId="5D3755CD" w14:textId="77777777" w:rsidTr="00945E6C">
        <w:trPr>
          <w:trHeight w:val="350"/>
        </w:trPr>
        <w:tc>
          <w:tcPr>
            <w:tcW w:w="10440" w:type="dxa"/>
            <w:tcBorders>
              <w:bottom w:val="single" w:sz="4" w:space="0" w:color="auto"/>
            </w:tcBorders>
            <w:shd w:val="clear" w:color="auto" w:fill="FFFFFF"/>
            <w:vAlign w:val="center"/>
          </w:tcPr>
          <w:p w14:paraId="1427FD91" w14:textId="77777777" w:rsidR="00E4191B" w:rsidRDefault="00E4191B" w:rsidP="00945E6C">
            <w:pPr>
              <w:pStyle w:val="Header"/>
              <w:ind w:left="0" w:hanging="2"/>
              <w:jc w:val="center"/>
            </w:pPr>
            <w:r>
              <w:t>Revised Cover Page Language</w:t>
            </w:r>
          </w:p>
        </w:tc>
      </w:tr>
    </w:tbl>
    <w:p w14:paraId="521FC3B6" w14:textId="192C7930" w:rsidR="00E4191B" w:rsidRPr="00E4191B" w:rsidRDefault="00E4191B" w:rsidP="00E4191B">
      <w:pPr>
        <w:pStyle w:val="BodyText"/>
        <w:ind w:left="0" w:hanging="2"/>
        <w:rPr>
          <w:rFonts w:ascii="Arial" w:hAnsi="Arial" w:cs="Arial"/>
          <w:bCs/>
          <w:color w:val="000000" w:themeColor="text1"/>
        </w:rPr>
      </w:pPr>
      <w:r w:rsidRPr="00E4191B">
        <w:rPr>
          <w:rFonts w:ascii="Arial" w:hAnsi="Arial" w:cs="Arial"/>
          <w:bCs/>
          <w:color w:val="000000" w:themeColor="text1"/>
        </w:rP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E4191B" w14:paraId="59E993CB" w14:textId="77777777" w:rsidTr="00945E6C">
        <w:trPr>
          <w:trHeight w:val="350"/>
        </w:trPr>
        <w:tc>
          <w:tcPr>
            <w:tcW w:w="10440" w:type="dxa"/>
            <w:tcBorders>
              <w:bottom w:val="single" w:sz="4" w:space="0" w:color="auto"/>
            </w:tcBorders>
            <w:shd w:val="clear" w:color="auto" w:fill="FFFFFF"/>
            <w:vAlign w:val="center"/>
          </w:tcPr>
          <w:p w14:paraId="27A401E6" w14:textId="77777777" w:rsidR="00E4191B" w:rsidRDefault="00E4191B" w:rsidP="00945E6C">
            <w:pPr>
              <w:pStyle w:val="Header"/>
              <w:ind w:left="0" w:hanging="2"/>
              <w:jc w:val="center"/>
            </w:pPr>
            <w:r>
              <w:t>Revised Proposed Guide Language</w:t>
            </w:r>
          </w:p>
        </w:tc>
      </w:tr>
    </w:tbl>
    <w:p w14:paraId="70D7B845" w14:textId="52A18307" w:rsidR="00E4191B" w:rsidRPr="00E4191B" w:rsidRDefault="00E4191B" w:rsidP="00E4191B">
      <w:pPr>
        <w:pStyle w:val="BodyText"/>
        <w:ind w:left="0" w:hanging="2"/>
        <w:rPr>
          <w:rFonts w:ascii="Arial" w:hAnsi="Arial" w:cs="Arial"/>
          <w:bCs/>
          <w:color w:val="000000" w:themeColor="text1"/>
        </w:rPr>
      </w:pPr>
      <w:r w:rsidRPr="00E4191B">
        <w:rPr>
          <w:rFonts w:ascii="Arial" w:hAnsi="Arial" w:cs="Arial"/>
          <w:bCs/>
          <w:color w:val="000000" w:themeColor="text1"/>
        </w:rPr>
        <w:t>None</w:t>
      </w:r>
    </w:p>
    <w:p w14:paraId="65E58055" w14:textId="77777777" w:rsidR="00E4191B" w:rsidRDefault="00E4191B" w:rsidP="002C53C7">
      <w:pPr>
        <w:pBdr>
          <w:top w:val="nil"/>
          <w:left w:val="nil"/>
          <w:bottom w:val="nil"/>
          <w:right w:val="nil"/>
          <w:between w:val="nil"/>
        </w:pBdr>
        <w:spacing w:before="120" w:after="120"/>
        <w:rPr>
          <w:rFonts w:ascii="Arial" w:eastAsia="Arial" w:hAnsi="Arial" w:cs="Arial"/>
        </w:rPr>
      </w:pPr>
    </w:p>
    <w:p w14:paraId="5ED0FD5A" w14:textId="77777777" w:rsidR="00E4191B" w:rsidRPr="002C53C7" w:rsidRDefault="00E4191B" w:rsidP="002C53C7">
      <w:pPr>
        <w:pBdr>
          <w:top w:val="nil"/>
          <w:left w:val="nil"/>
          <w:bottom w:val="nil"/>
          <w:right w:val="nil"/>
          <w:between w:val="nil"/>
        </w:pBdr>
        <w:spacing w:before="120" w:after="120"/>
        <w:rPr>
          <w:rFonts w:ascii="Arial" w:eastAsia="Arial" w:hAnsi="Arial" w:cs="Arial"/>
        </w:rPr>
      </w:pPr>
    </w:p>
    <w:sectPr w:rsidR="00E4191B" w:rsidRPr="002C53C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DDC1B" w14:textId="77777777" w:rsidR="00DB03E3" w:rsidRDefault="00DB03E3">
      <w:r>
        <w:separator/>
      </w:r>
    </w:p>
  </w:endnote>
  <w:endnote w:type="continuationSeparator" w:id="0">
    <w:p w14:paraId="7E6805B3" w14:textId="77777777" w:rsidR="00DB03E3" w:rsidRDefault="00DB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FFA12FD-3FD5-47D7-9354-392AF50B6D59}"/>
  </w:font>
  <w:font w:name="Georgia">
    <w:panose1 w:val="02040502050405020303"/>
    <w:charset w:val="00"/>
    <w:family w:val="roman"/>
    <w:pitch w:val="variable"/>
    <w:sig w:usb0="00000287" w:usb1="00000000" w:usb2="00000000" w:usb3="00000000" w:csb0="0000009F" w:csb1="00000000"/>
    <w:embedRegular r:id="rId2" w:fontKey="{BD4E5DB1-4C08-4A35-8FEE-BAD8112E6DFC}"/>
    <w:embedItalic r:id="rId3" w:fontKey="{1EAA58AD-B7C8-4418-982D-12BA5E898480}"/>
  </w:font>
  <w:font w:name="Verdana">
    <w:panose1 w:val="020B0604030504040204"/>
    <w:charset w:val="00"/>
    <w:family w:val="swiss"/>
    <w:pitch w:val="variable"/>
    <w:sig w:usb0="A00006FF" w:usb1="4000205B" w:usb2="00000010" w:usb3="00000000" w:csb0="0000019F" w:csb1="00000000"/>
    <w:embedRegular r:id="rId4" w:fontKey="{69224BCC-3CD3-4AD1-83B2-C89F0C7E59E7}"/>
    <w:embedBold r:id="rId5" w:fontKey="{15DAEE8F-B801-4656-96EC-1F9A33915458}"/>
  </w:font>
  <w:font w:name="Calibri">
    <w:panose1 w:val="020F0502020204030204"/>
    <w:charset w:val="00"/>
    <w:family w:val="swiss"/>
    <w:pitch w:val="variable"/>
    <w:sig w:usb0="E4002EFF" w:usb1="C200247B" w:usb2="00000009" w:usb3="00000000" w:csb0="000001FF" w:csb1="00000000"/>
    <w:embedRegular r:id="rId6" w:fontKey="{598CB9C4-EF07-436D-A76B-B88BDB68AA1A}"/>
  </w:font>
  <w:font w:name="Cambria">
    <w:panose1 w:val="02040503050406030204"/>
    <w:charset w:val="00"/>
    <w:family w:val="roman"/>
    <w:pitch w:val="variable"/>
    <w:sig w:usb0="E00006FF" w:usb1="420024FF" w:usb2="02000000" w:usb3="00000000" w:csb0="0000019F" w:csb1="00000000"/>
    <w:embedRegular r:id="rId7" w:fontKey="{2BFC2D7A-A4C0-4F19-A1F7-B1C539478B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A4A3" w14:textId="77777777" w:rsidR="00E4191B" w:rsidRDefault="00E4191B">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DCCEF" w14:textId="63328596" w:rsidR="00283200" w:rsidRDefault="00E4191B">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 xml:space="preserve">128PGRR-09 Google Comments 102325 </w:t>
    </w:r>
    <w:r w:rsidR="00DB03E3">
      <w:rPr>
        <w:rFonts w:ascii="Arial" w:eastAsia="Arial" w:hAnsi="Arial" w:cs="Arial"/>
        <w:color w:val="000000"/>
        <w:sz w:val="18"/>
        <w:szCs w:val="18"/>
      </w:rPr>
      <w:tab/>
    </w:r>
    <w:r>
      <w:rPr>
        <w:rFonts w:ascii="Arial" w:eastAsia="Arial" w:hAnsi="Arial" w:cs="Arial"/>
        <w:color w:val="000000"/>
        <w:sz w:val="18"/>
        <w:szCs w:val="18"/>
      </w:rPr>
      <w:tab/>
    </w:r>
    <w:r w:rsidR="00DB03E3">
      <w:rPr>
        <w:rFonts w:ascii="Arial" w:eastAsia="Arial" w:hAnsi="Arial" w:cs="Arial"/>
        <w:color w:val="000000"/>
        <w:sz w:val="18"/>
        <w:szCs w:val="18"/>
      </w:rPr>
      <w:t xml:space="preserve">Page </w:t>
    </w:r>
    <w:r w:rsidR="00DB03E3">
      <w:rPr>
        <w:rFonts w:ascii="Arial" w:eastAsia="Arial" w:hAnsi="Arial" w:cs="Arial"/>
        <w:color w:val="000000"/>
        <w:sz w:val="18"/>
        <w:szCs w:val="18"/>
      </w:rPr>
      <w:fldChar w:fldCharType="begin"/>
    </w:r>
    <w:r w:rsidR="00DB03E3">
      <w:rPr>
        <w:rFonts w:ascii="Arial" w:eastAsia="Arial" w:hAnsi="Arial" w:cs="Arial"/>
        <w:color w:val="000000"/>
        <w:sz w:val="18"/>
        <w:szCs w:val="18"/>
      </w:rPr>
      <w:instrText>PAGE</w:instrText>
    </w:r>
    <w:r w:rsidR="00DB03E3">
      <w:rPr>
        <w:rFonts w:ascii="Arial" w:eastAsia="Arial" w:hAnsi="Arial" w:cs="Arial"/>
        <w:color w:val="000000"/>
        <w:sz w:val="18"/>
        <w:szCs w:val="18"/>
      </w:rPr>
      <w:fldChar w:fldCharType="separate"/>
    </w:r>
    <w:r w:rsidR="00005668">
      <w:rPr>
        <w:rFonts w:ascii="Arial" w:eastAsia="Arial" w:hAnsi="Arial" w:cs="Arial"/>
        <w:noProof/>
        <w:color w:val="000000"/>
        <w:sz w:val="18"/>
        <w:szCs w:val="18"/>
      </w:rPr>
      <w:t>1</w:t>
    </w:r>
    <w:r w:rsidR="00DB03E3">
      <w:rPr>
        <w:rFonts w:ascii="Arial" w:eastAsia="Arial" w:hAnsi="Arial" w:cs="Arial"/>
        <w:color w:val="000000"/>
        <w:sz w:val="18"/>
        <w:szCs w:val="18"/>
      </w:rPr>
      <w:fldChar w:fldCharType="end"/>
    </w:r>
    <w:r w:rsidR="00DB03E3">
      <w:rPr>
        <w:rFonts w:ascii="Arial" w:eastAsia="Arial" w:hAnsi="Arial" w:cs="Arial"/>
        <w:color w:val="000000"/>
        <w:sz w:val="18"/>
        <w:szCs w:val="18"/>
      </w:rPr>
      <w:t xml:space="preserve"> of </w:t>
    </w:r>
    <w:r w:rsidR="00DB03E3">
      <w:rPr>
        <w:rFonts w:ascii="Arial" w:eastAsia="Arial" w:hAnsi="Arial" w:cs="Arial"/>
        <w:color w:val="000000"/>
        <w:sz w:val="18"/>
        <w:szCs w:val="18"/>
      </w:rPr>
      <w:fldChar w:fldCharType="begin"/>
    </w:r>
    <w:r w:rsidR="00DB03E3">
      <w:rPr>
        <w:rFonts w:ascii="Arial" w:eastAsia="Arial" w:hAnsi="Arial" w:cs="Arial"/>
        <w:color w:val="000000"/>
        <w:sz w:val="18"/>
        <w:szCs w:val="18"/>
      </w:rPr>
      <w:instrText>NUMPAGES</w:instrText>
    </w:r>
    <w:r w:rsidR="00DB03E3">
      <w:rPr>
        <w:rFonts w:ascii="Arial" w:eastAsia="Arial" w:hAnsi="Arial" w:cs="Arial"/>
        <w:color w:val="000000"/>
        <w:sz w:val="18"/>
        <w:szCs w:val="18"/>
      </w:rPr>
      <w:fldChar w:fldCharType="separate"/>
    </w:r>
    <w:r w:rsidR="00005668">
      <w:rPr>
        <w:rFonts w:ascii="Arial" w:eastAsia="Arial" w:hAnsi="Arial" w:cs="Arial"/>
        <w:noProof/>
        <w:color w:val="000000"/>
        <w:sz w:val="18"/>
        <w:szCs w:val="18"/>
      </w:rPr>
      <w:t>2</w:t>
    </w:r>
    <w:r w:rsidR="00DB03E3">
      <w:rPr>
        <w:rFonts w:ascii="Arial" w:eastAsia="Arial" w:hAnsi="Arial" w:cs="Arial"/>
        <w:color w:val="000000"/>
        <w:sz w:val="18"/>
        <w:szCs w:val="18"/>
      </w:rPr>
      <w:fldChar w:fldCharType="end"/>
    </w:r>
  </w:p>
  <w:p w14:paraId="02CBBE0D" w14:textId="77777777" w:rsidR="00283200" w:rsidRDefault="00DB03E3">
    <w:pPr>
      <w:pBdr>
        <w:top w:val="nil"/>
        <w:left w:val="nil"/>
        <w:bottom w:val="nil"/>
        <w:right w:val="nil"/>
        <w:between w:val="nil"/>
      </w:pBdr>
      <w:tabs>
        <w:tab w:val="center" w:pos="4320"/>
        <w:tab w:val="right" w:pos="8640"/>
        <w:tab w:val="right" w:pos="9360"/>
      </w:tabs>
      <w:rPr>
        <w:rFonts w:ascii="Arial" w:eastAsia="Arial" w:hAnsi="Arial" w:cs="Arial"/>
        <w:color w:val="000000"/>
        <w:sz w:val="18"/>
        <w:szCs w:val="18"/>
      </w:rPr>
    </w:pPr>
    <w:r>
      <w:rPr>
        <w:rFonts w:ascii="Arial" w:eastAsia="Arial" w:hAnsi="Arial" w:cs="Arial"/>
        <w:color w:val="000000"/>
        <w:sz w:val="18"/>
        <w:szCs w:val="18"/>
      </w:rPr>
      <w:t>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2CE79" w14:textId="77777777" w:rsidR="00E4191B" w:rsidRDefault="00E4191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AF0D3" w14:textId="77777777" w:rsidR="00DB03E3" w:rsidRDefault="00DB03E3">
      <w:r>
        <w:separator/>
      </w:r>
    </w:p>
  </w:footnote>
  <w:footnote w:type="continuationSeparator" w:id="0">
    <w:p w14:paraId="513DCC00" w14:textId="77777777" w:rsidR="00DB03E3" w:rsidRDefault="00DB03E3">
      <w:r>
        <w:continuationSeparator/>
      </w:r>
    </w:p>
  </w:footnote>
  <w:footnote w:id="1">
    <w:p w14:paraId="5232FC9B" w14:textId="77777777" w:rsidR="00283200" w:rsidRDefault="00DB03E3">
      <w:pPr>
        <w:rPr>
          <w:sz w:val="20"/>
          <w:szCs w:val="20"/>
        </w:rPr>
      </w:pPr>
      <w:r>
        <w:rPr>
          <w:vertAlign w:val="superscript"/>
        </w:rPr>
        <w:footnoteRef/>
      </w:r>
      <w:r>
        <w:rPr>
          <w:sz w:val="20"/>
          <w:szCs w:val="20"/>
        </w:rPr>
        <w:t xml:space="preserve"> https://blog.google/feed/ctc-global-partnership-us-electrical-grid-capacity/</w:t>
      </w:r>
    </w:p>
  </w:footnote>
  <w:footnote w:id="2">
    <w:p w14:paraId="09119E5A" w14:textId="77777777" w:rsidR="00283200" w:rsidRDefault="00DB03E3">
      <w:pPr>
        <w:rPr>
          <w:sz w:val="20"/>
          <w:szCs w:val="20"/>
        </w:rPr>
      </w:pPr>
      <w:r>
        <w:rPr>
          <w:vertAlign w:val="superscript"/>
        </w:rPr>
        <w:footnoteRef/>
      </w:r>
      <w:r>
        <w:rPr>
          <w:sz w:val="20"/>
          <w:szCs w:val="20"/>
        </w:rPr>
        <w:t xml:space="preserve"> https://ctcglobal.com/aep-reconductoring-case-study/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9230" w14:textId="77777777" w:rsidR="00E4191B" w:rsidRDefault="00E4191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5D5A0" w14:textId="77777777" w:rsidR="00283200" w:rsidRDefault="00DB03E3">
    <w:pPr>
      <w:pBdr>
        <w:top w:val="nil"/>
        <w:left w:val="nil"/>
        <w:bottom w:val="nil"/>
        <w:right w:val="nil"/>
        <w:between w:val="nil"/>
      </w:pBdr>
      <w:tabs>
        <w:tab w:val="center" w:pos="4320"/>
        <w:tab w:val="right" w:pos="8640"/>
      </w:tabs>
      <w:jc w:val="center"/>
      <w:rPr>
        <w:rFonts w:ascii="Arial" w:eastAsia="Arial" w:hAnsi="Arial" w:cs="Arial"/>
        <w:b/>
        <w:color w:val="000000"/>
        <w:sz w:val="32"/>
        <w:szCs w:val="32"/>
      </w:rPr>
    </w:pPr>
    <w:r>
      <w:rPr>
        <w:rFonts w:ascii="Arial" w:eastAsia="Arial" w:hAnsi="Arial" w:cs="Arial"/>
        <w:b/>
        <w:color w:val="000000"/>
        <w:sz w:val="32"/>
        <w:szCs w:val="32"/>
      </w:rPr>
      <w:t>NPRR Comments</w:t>
    </w:r>
  </w:p>
  <w:p w14:paraId="14413591" w14:textId="77777777" w:rsidR="00283200" w:rsidRDefault="00283200">
    <w:pPr>
      <w:pBdr>
        <w:top w:val="nil"/>
        <w:left w:val="nil"/>
        <w:bottom w:val="nil"/>
        <w:right w:val="nil"/>
        <w:between w:val="nil"/>
      </w:pBdr>
      <w:tabs>
        <w:tab w:val="center" w:pos="4320"/>
        <w:tab w:val="right" w:pos="8640"/>
      </w:tabs>
      <w:rPr>
        <w:rFonts w:ascii="Arial" w:eastAsia="Arial" w:hAnsi="Arial" w:cs="Arial"/>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F7DF3" w14:textId="77777777" w:rsidR="00E4191B" w:rsidRDefault="00E4191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60970"/>
    <w:multiLevelType w:val="multilevel"/>
    <w:tmpl w:val="A136FDF8"/>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53566987">
    <w:abstractNumId w:val="0"/>
  </w:num>
  <w:num w:numId="2" w16cid:durableId="1523978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200"/>
    <w:rsid w:val="00005668"/>
    <w:rsid w:val="00283200"/>
    <w:rsid w:val="002B3B9D"/>
    <w:rsid w:val="002C53C7"/>
    <w:rsid w:val="003D2C14"/>
    <w:rsid w:val="00535991"/>
    <w:rsid w:val="00A25A8D"/>
    <w:rsid w:val="00DB03E3"/>
    <w:rsid w:val="00E41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D877A"/>
  <w15:docId w15:val="{25CADBE8-12E7-4AA7-B870-21C7E670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pPr>
      <w:suppressAutoHyphens/>
      <w:spacing w:before="240" w:after="60" w:line="1" w:lineRule="atLeast"/>
      <w:ind w:leftChars="-1" w:left="-1" w:hangingChars="1" w:hanging="1"/>
      <w:textDirection w:val="btLr"/>
      <w:textAlignment w:val="top"/>
      <w:outlineLvl w:val="6"/>
    </w:pPr>
    <w:rPr>
      <w:position w:val="-1"/>
      <w:szCs w:val="20"/>
      <w:lang w:val="en-US"/>
    </w:rPr>
  </w:style>
  <w:style w:type="paragraph" w:styleId="Heading8">
    <w:name w:val="heading 8"/>
    <w:basedOn w:val="Normal"/>
    <w:next w:val="Normal"/>
    <w:pPr>
      <w:suppressAutoHyphens/>
      <w:spacing w:before="240" w:after="60" w:line="1" w:lineRule="atLeast"/>
      <w:ind w:leftChars="-1" w:left="-1" w:hangingChars="1" w:hanging="1"/>
      <w:textDirection w:val="btLr"/>
      <w:textAlignment w:val="top"/>
      <w:outlineLvl w:val="7"/>
    </w:pPr>
    <w:rPr>
      <w:i/>
      <w:position w:val="-1"/>
      <w:szCs w:val="20"/>
      <w:lang w:val="en-US"/>
    </w:rPr>
  </w:style>
  <w:style w:type="paragraph" w:styleId="Heading9">
    <w:name w:val="heading 9"/>
    <w:basedOn w:val="Normal"/>
    <w:next w:val="Normal"/>
    <w:pPr>
      <w:suppressAutoHyphens/>
      <w:spacing w:before="240" w:after="60" w:line="1" w:lineRule="atLeast"/>
      <w:ind w:leftChars="-1" w:left="-1" w:hangingChars="1" w:hanging="1"/>
      <w:textDirection w:val="btLr"/>
      <w:textAlignment w:val="top"/>
      <w:outlineLvl w:val="8"/>
    </w:pPr>
    <w:rPr>
      <w:rFonts w:ascii="Arial" w:hAnsi="Arial"/>
      <w:position w:val="-1"/>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Heading11">
    <w:name w:val="Heading 11"/>
    <w:aliases w:val="h1"/>
    <w:basedOn w:val="Normal"/>
    <w:next w:val="Normal"/>
    <w:pPr>
      <w:keepNext/>
      <w:numPr>
        <w:numId w:val="1"/>
      </w:numPr>
      <w:suppressAutoHyphens/>
      <w:spacing w:after="240" w:line="1" w:lineRule="atLeast"/>
      <w:ind w:leftChars="-1" w:left="-1" w:hangingChars="1" w:hanging="1"/>
      <w:textDirection w:val="btLr"/>
      <w:textAlignment w:val="top"/>
      <w:outlineLvl w:val="0"/>
    </w:pPr>
    <w:rPr>
      <w:b/>
      <w:caps/>
      <w:position w:val="-1"/>
      <w:szCs w:val="20"/>
      <w:lang w:val="en-US"/>
    </w:rPr>
  </w:style>
  <w:style w:type="paragraph" w:customStyle="1" w:styleId="Heading21">
    <w:name w:val="Heading 21"/>
    <w:aliases w:val="h2"/>
    <w:basedOn w:val="Normal"/>
    <w:next w:val="Normal"/>
    <w:pPr>
      <w:keepNext/>
      <w:numPr>
        <w:ilvl w:val="1"/>
        <w:numId w:val="1"/>
      </w:numPr>
      <w:suppressAutoHyphens/>
      <w:spacing w:before="240" w:after="240" w:line="1" w:lineRule="atLeast"/>
      <w:ind w:leftChars="-1" w:left="-1" w:hangingChars="1" w:hanging="1"/>
      <w:textDirection w:val="btLr"/>
      <w:textAlignment w:val="top"/>
      <w:outlineLvl w:val="1"/>
    </w:pPr>
    <w:rPr>
      <w:b/>
      <w:position w:val="-1"/>
      <w:szCs w:val="20"/>
      <w:lang w:val="en-US"/>
    </w:rPr>
  </w:style>
  <w:style w:type="paragraph" w:customStyle="1" w:styleId="Heading31">
    <w:name w:val="Heading 31"/>
    <w:aliases w:val="h3"/>
    <w:basedOn w:val="Normal"/>
    <w:next w:val="Normal"/>
    <w:pPr>
      <w:keepNext/>
      <w:numPr>
        <w:ilvl w:val="2"/>
        <w:numId w:val="1"/>
      </w:numPr>
      <w:suppressAutoHyphens/>
      <w:spacing w:before="120" w:after="120" w:line="1" w:lineRule="atLeast"/>
      <w:ind w:leftChars="-1" w:left="-1" w:hangingChars="1" w:hanging="1"/>
      <w:textDirection w:val="btLr"/>
      <w:textAlignment w:val="top"/>
      <w:outlineLvl w:val="2"/>
    </w:pPr>
    <w:rPr>
      <w:b/>
      <w:bCs/>
      <w:i/>
      <w:iCs/>
      <w:position w:val="-1"/>
      <w:szCs w:val="20"/>
      <w:lang w:val="en-US"/>
    </w:rPr>
  </w:style>
  <w:style w:type="paragraph" w:customStyle="1" w:styleId="Heading41">
    <w:name w:val="Heading 41"/>
    <w:aliases w:val="h4"/>
    <w:basedOn w:val="Normal"/>
    <w:next w:val="Normal"/>
    <w:pPr>
      <w:keepNext/>
      <w:widowControl w:val="0"/>
      <w:numPr>
        <w:ilvl w:val="3"/>
        <w:numId w:val="1"/>
      </w:numPr>
      <w:suppressAutoHyphens/>
      <w:spacing w:before="360" w:after="240" w:line="1" w:lineRule="atLeast"/>
      <w:ind w:leftChars="-1" w:left="-1" w:hangingChars="1" w:hanging="1"/>
      <w:textDirection w:val="btLr"/>
      <w:textAlignment w:val="top"/>
      <w:outlineLvl w:val="3"/>
    </w:pPr>
    <w:rPr>
      <w:b/>
      <w:bCs/>
      <w:snapToGrid w:val="0"/>
      <w:position w:val="-1"/>
      <w:szCs w:val="20"/>
      <w:lang w:val="en-US"/>
    </w:rPr>
  </w:style>
  <w:style w:type="paragraph" w:customStyle="1" w:styleId="Heading51">
    <w:name w:val="Heading 51"/>
    <w:aliases w:val="h5"/>
    <w:basedOn w:val="Normal"/>
    <w:next w:val="Normal"/>
    <w:pPr>
      <w:suppressAutoHyphens/>
      <w:spacing w:before="240" w:after="60" w:line="1" w:lineRule="atLeast"/>
      <w:ind w:leftChars="-1" w:left="-1" w:hangingChars="1" w:hanging="1"/>
      <w:textDirection w:val="btLr"/>
      <w:textAlignment w:val="top"/>
      <w:outlineLvl w:val="4"/>
    </w:pPr>
    <w:rPr>
      <w:b/>
      <w:i/>
      <w:position w:val="-1"/>
      <w:sz w:val="26"/>
      <w:szCs w:val="20"/>
      <w:lang w:val="en-US"/>
    </w:rPr>
  </w:style>
  <w:style w:type="paragraph" w:customStyle="1" w:styleId="Heading61">
    <w:name w:val="Heading 61"/>
    <w:aliases w:val="h6"/>
    <w:basedOn w:val="Normal"/>
    <w:next w:val="Normal"/>
    <w:pPr>
      <w:suppressAutoHyphens/>
      <w:spacing w:before="240" w:after="60" w:line="1" w:lineRule="atLeast"/>
      <w:ind w:leftChars="-1" w:left="-1" w:hangingChars="1" w:hanging="1"/>
      <w:textDirection w:val="btLr"/>
      <w:textAlignment w:val="top"/>
      <w:outlineLvl w:val="5"/>
    </w:pPr>
    <w:rPr>
      <w:b/>
      <w:position w:val="-1"/>
      <w:sz w:val="22"/>
      <w:szCs w:val="20"/>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rFonts w:ascii="Arial" w:hAnsi="Arial"/>
      <w:b/>
      <w:bCs/>
      <w:position w:val="-1"/>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customStyle="1" w:styleId="TXUNormal">
    <w:name w:val="TXUNormal"/>
    <w:pPr>
      <w:suppressAutoHyphens/>
      <w:spacing w:after="120" w:line="1" w:lineRule="atLeast"/>
      <w:ind w:leftChars="-1" w:left="-1" w:hangingChars="1" w:hanging="1"/>
      <w:textDirection w:val="btLr"/>
      <w:textAlignment w:val="top"/>
      <w:outlineLvl w:val="0"/>
    </w:pPr>
    <w:rPr>
      <w:position w:val="-1"/>
      <w:lang w:val="en-US"/>
    </w:r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uppressAutoHyphens/>
      <w:spacing w:before="120" w:after="120" w:line="1" w:lineRule="atLeast"/>
      <w:ind w:leftChars="-1" w:left="720" w:right="720" w:hangingChars="1" w:hanging="1"/>
      <w:textDirection w:val="btLr"/>
      <w:textAlignment w:val="top"/>
      <w:outlineLvl w:val="0"/>
    </w:pPr>
    <w:rPr>
      <w:position w:val="-1"/>
      <w:szCs w:val="20"/>
      <w:lang w:val="en-US"/>
    </w:rPr>
  </w:style>
  <w:style w:type="character" w:styleId="Hyperlink">
    <w:name w:val="Hyperlink"/>
    <w:basedOn w:val="DefaultParagraphFont"/>
    <w:rPr>
      <w:color w:val="0000FF"/>
      <w:w w:val="100"/>
      <w:position w:val="-1"/>
      <w:u w:val="single"/>
      <w:effect w:val="none"/>
      <w:vertAlign w:val="baseline"/>
      <w:cs w:val="0"/>
      <w:em w:val="none"/>
    </w:rPr>
  </w:style>
  <w:style w:type="paragraph" w:styleId="BodyText">
    <w:name w:val="Body Text"/>
    <w:basedOn w:val="Normal"/>
    <w:pPr>
      <w:suppressAutoHyphens/>
      <w:spacing w:before="120" w:after="120" w:line="1" w:lineRule="atLeast"/>
      <w:ind w:leftChars="-1" w:left="-1" w:hangingChars="1" w:hanging="1"/>
      <w:textDirection w:val="btLr"/>
      <w:textAlignment w:val="top"/>
      <w:outlineLvl w:val="0"/>
    </w:pPr>
    <w:rPr>
      <w:position w:val="-1"/>
      <w:lang w:val="en-US"/>
    </w:rPr>
  </w:style>
  <w:style w:type="paragraph" w:styleId="BodyTextIndent">
    <w:name w:val="Body Text Indent"/>
    <w:basedOn w:val="Normal"/>
    <w:pPr>
      <w:suppressAutoHyphens/>
      <w:spacing w:before="120" w:after="120" w:line="1" w:lineRule="atLeast"/>
      <w:ind w:leftChars="-1" w:left="720" w:hangingChars="1" w:hanging="1"/>
      <w:textDirection w:val="btLr"/>
      <w:textAlignment w:val="top"/>
      <w:outlineLvl w:val="0"/>
    </w:pPr>
    <w:rPr>
      <w:position w:val="-1"/>
      <w:lang w:val="en-US"/>
    </w:rPr>
  </w:style>
  <w:style w:type="paragraph" w:customStyle="1" w:styleId="Bullet">
    <w:name w:val="Bullet"/>
    <w:basedOn w:val="Normal"/>
    <w:pPr>
      <w:tabs>
        <w:tab w:val="num" w:pos="720"/>
      </w:tabs>
      <w:suppressAutoHyphens/>
      <w:spacing w:before="60" w:after="120" w:line="1" w:lineRule="atLeast"/>
      <w:ind w:leftChars="-1" w:left="-1" w:hangingChars="1" w:hanging="1"/>
      <w:textDirection w:val="btLr"/>
      <w:textAlignment w:val="top"/>
      <w:outlineLvl w:val="0"/>
    </w:pPr>
    <w:rPr>
      <w:position w:val="-1"/>
      <w:szCs w:val="20"/>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customStyle="1" w:styleId="NormalArial">
    <w:name w:val="Normal+Arial"/>
    <w:basedOn w:val="Normal"/>
    <w:pPr>
      <w:suppressAutoHyphens/>
      <w:spacing w:line="1" w:lineRule="atLeast"/>
      <w:ind w:leftChars="-1" w:left="-1" w:hangingChars="1" w:hanging="1"/>
      <w:textDirection w:val="btLr"/>
      <w:textAlignment w:val="top"/>
      <w:outlineLvl w:val="0"/>
    </w:pPr>
    <w:rPr>
      <w:rFonts w:ascii="Arial" w:hAnsi="Arial"/>
      <w:position w:val="-1"/>
      <w:lang w:val="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Pr>
      <w:w w:val="100"/>
      <w:position w:val="-1"/>
      <w:sz w:val="16"/>
      <w:szCs w:val="16"/>
      <w:effect w:val="none"/>
      <w:vertAlign w:val="baseline"/>
      <w:cs w:val="0"/>
      <w:em w:val="none"/>
    </w:rPr>
  </w:style>
  <w:style w:type="paragraph" w:styleId="CommentText">
    <w:name w:val="annotation text"/>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paragraph" w:styleId="CommentSubject">
    <w:name w:val="annotation subject"/>
    <w:basedOn w:val="CommentText"/>
    <w:next w:val="CommentText"/>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UnresolvedMention">
    <w:name w:val="Unresolved Mention"/>
    <w:basedOn w:val="DefaultParagraphFont"/>
    <w:uiPriority w:val="99"/>
    <w:semiHidden/>
    <w:unhideWhenUsed/>
    <w:rsid w:val="002C53C7"/>
    <w:rPr>
      <w:color w:val="605E5C"/>
      <w:shd w:val="clear" w:color="auto" w:fill="E1DFDD"/>
    </w:rPr>
  </w:style>
  <w:style w:type="paragraph" w:styleId="Revision">
    <w:name w:val="Revision"/>
    <w:hidden/>
    <w:uiPriority w:val="99"/>
    <w:semiHidden/>
    <w:rsid w:val="002C5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2712">
      <w:bodyDiv w:val="1"/>
      <w:marLeft w:val="0"/>
      <w:marRight w:val="0"/>
      <w:marTop w:val="0"/>
      <w:marBottom w:val="0"/>
      <w:divBdr>
        <w:top w:val="none" w:sz="0" w:space="0" w:color="auto"/>
        <w:left w:val="none" w:sz="0" w:space="0" w:color="auto"/>
        <w:bottom w:val="none" w:sz="0" w:space="0" w:color="auto"/>
        <w:right w:val="none" w:sz="0" w:space="0" w:color="auto"/>
      </w:divBdr>
    </w:div>
    <w:div w:id="1657028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rcot.com/mktrules/issues/PGRR128"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rismatos@googl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vm1hg/saYpZKQeU9Qdya5yrYfw==">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ERCOT/if</dc:creator>
  <cp:lastModifiedBy>Brittney Albracht</cp:lastModifiedBy>
  <cp:revision>2</cp:revision>
  <dcterms:created xsi:type="dcterms:W3CDTF">2025-10-23T19:08:00Z</dcterms:created>
  <dcterms:modified xsi:type="dcterms:W3CDTF">2025-10-23T19:08:00Z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2025-10-23T18:35:54Z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1a573651-7f18-4a8e-91f6-cd6b81b1c54a</vt:lpwstr>
  </property>
  <property fmtid="{D5CDD505-2E9C-101B-9397-08002B2CF9AE}" pid="8" name="MSIP_Label_7084cbda-52b8-46fb-a7b7-cb5bd465ed85_ContentBits">
    <vt:lpwstr>0</vt:lpwstr>
  </property>
  <property fmtid="{D5CDD505-2E9C-101B-9397-08002B2CF9AE}" pid="9" name="MSIP_Label_7084cbda-52b8-46fb-a7b7-cb5bd465ed85_Tag">
    <vt:lpwstr>10, 3, 0, 1</vt:lpwstr>
  </property>
</Properties>
</file>