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5369EE7B" w14:textId="77777777" w:rsidTr="00BE1689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FE9408" w14:textId="77777777" w:rsidR="00067FE2" w:rsidRDefault="005E1113" w:rsidP="001D6A32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81CD85" w14:textId="1033826A" w:rsidR="00067FE2" w:rsidRDefault="00CA2439" w:rsidP="001D6A32">
            <w:pPr>
              <w:pStyle w:val="Header"/>
              <w:spacing w:before="120" w:after="120"/>
              <w:jc w:val="center"/>
            </w:pPr>
            <w:hyperlink r:id="rId10" w:history="1">
              <w:r w:rsidRPr="00CA2439">
                <w:rPr>
                  <w:rStyle w:val="Hyperlink"/>
                </w:rPr>
                <w:t>128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B6669F" w14:textId="77777777" w:rsidR="00067FE2" w:rsidRDefault="005E1113" w:rsidP="001D6A32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8BAC9D" w14:textId="2AC1111D" w:rsidR="00067FE2" w:rsidRDefault="006D5019" w:rsidP="001D6A32">
            <w:pPr>
              <w:pStyle w:val="Header"/>
              <w:spacing w:before="120" w:after="120"/>
            </w:pPr>
            <w:r>
              <w:t xml:space="preserve">Regional Transmission Plan </w:t>
            </w:r>
            <w:r w:rsidR="00CE7096">
              <w:t>Review of Grid Enhancing Technologies</w:t>
            </w:r>
          </w:p>
        </w:tc>
      </w:tr>
      <w:tr w:rsidR="00067FE2" w:rsidRPr="00E01925" w14:paraId="3F7B2BA0" w14:textId="77777777" w:rsidTr="00BE1689">
        <w:trPr>
          <w:trHeight w:val="518"/>
        </w:trPr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1EED0A8" w14:textId="5827245A" w:rsidR="00067FE2" w:rsidRPr="00E01925" w:rsidRDefault="00067FE2" w:rsidP="001D6A32">
            <w:pPr>
              <w:pStyle w:val="Header"/>
              <w:spacing w:before="120" w:after="120"/>
              <w:rPr>
                <w:bCs w:val="0"/>
              </w:rPr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14:paraId="61C78D0E" w14:textId="40DE827C" w:rsidR="00067FE2" w:rsidRPr="00E01925" w:rsidRDefault="00067FE2" w:rsidP="00A34A52">
            <w:pPr>
              <w:pStyle w:val="NormalArial"/>
            </w:pPr>
          </w:p>
        </w:tc>
      </w:tr>
      <w:tr w:rsidR="00067FE2" w14:paraId="110BFE7F" w14:textId="77777777" w:rsidTr="00BE1689">
        <w:trPr>
          <w:trHeight w:val="557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457549" w14:textId="3BFC4306" w:rsidR="00067FE2" w:rsidRPr="00BE1689" w:rsidRDefault="00BE1689" w:rsidP="00F44236">
            <w:pPr>
              <w:pStyle w:val="NormalArial"/>
              <w:rPr>
                <w:b/>
                <w:bCs/>
              </w:rPr>
            </w:pPr>
            <w:r w:rsidRPr="00BE1689">
              <w:rPr>
                <w:b/>
                <w:bCs/>
              </w:rPr>
              <w:t xml:space="preserve">Date 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AB15B65" w14:textId="6B02175A" w:rsidR="00067FE2" w:rsidRDefault="004E1E41" w:rsidP="00F44236">
            <w:pPr>
              <w:pStyle w:val="NormalArial"/>
            </w:pPr>
            <w:r>
              <w:t xml:space="preserve">October </w:t>
            </w:r>
            <w:r w:rsidR="00D26588">
              <w:t>15</w:t>
            </w:r>
            <w:r w:rsidR="00A34A52">
              <w:t>, 2025</w:t>
            </w:r>
          </w:p>
        </w:tc>
      </w:tr>
      <w:tr w:rsidR="009D17F0" w14:paraId="37A531FA" w14:textId="77777777" w:rsidTr="00BE1689">
        <w:trPr>
          <w:trHeight w:val="431"/>
        </w:trPr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42F0895" w14:textId="05E9F012" w:rsidR="009D17F0" w:rsidRDefault="009D17F0" w:rsidP="001D6A32">
            <w:pPr>
              <w:pStyle w:val="Header"/>
              <w:spacing w:before="120" w:after="120"/>
            </w:pP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14:paraId="6B6909AD" w14:textId="409DEF16" w:rsidR="009D17F0" w:rsidRPr="00FB509B" w:rsidRDefault="009D17F0" w:rsidP="001D6A32">
            <w:pPr>
              <w:pStyle w:val="NormalArial"/>
              <w:spacing w:before="120" w:after="120"/>
            </w:pPr>
          </w:p>
        </w:tc>
      </w:tr>
      <w:tr w:rsidR="00BE1689" w14:paraId="056D2F5A" w14:textId="77777777" w:rsidTr="00BE1689">
        <w:trPr>
          <w:trHeight w:val="539"/>
        </w:trPr>
        <w:tc>
          <w:tcPr>
            <w:tcW w:w="10440" w:type="dxa"/>
            <w:gridSpan w:val="4"/>
            <w:shd w:val="clear" w:color="auto" w:fill="FFFFFF"/>
            <w:vAlign w:val="center"/>
          </w:tcPr>
          <w:p w14:paraId="3178E16F" w14:textId="0D9CBC3C" w:rsidR="00BE1689" w:rsidRPr="00BE1689" w:rsidRDefault="00BE1689" w:rsidP="00BE1689">
            <w:pPr>
              <w:keepNext/>
              <w:tabs>
                <w:tab w:val="left" w:pos="1080"/>
              </w:tabs>
              <w:spacing w:before="120" w:after="120"/>
              <w:ind w:left="1080" w:hanging="1080"/>
              <w:jc w:val="center"/>
              <w:outlineLvl w:val="3"/>
              <w:rPr>
                <w:rFonts w:ascii="Arial" w:hAnsi="Arial"/>
                <w:b/>
                <w:bCs/>
              </w:rPr>
            </w:pPr>
            <w:r w:rsidRPr="00BE1689">
              <w:rPr>
                <w:rFonts w:ascii="Arial" w:hAnsi="Arial"/>
                <w:b/>
                <w:bCs/>
              </w:rPr>
              <w:t>Submitter’s Information</w:t>
            </w:r>
          </w:p>
        </w:tc>
      </w:tr>
      <w:tr w:rsidR="00C9766A" w14:paraId="2B891EDC" w14:textId="77777777" w:rsidTr="00BE168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8BE42DF" w14:textId="78A68699" w:rsidR="00C9766A" w:rsidRDefault="00BE1689" w:rsidP="001D6A32">
            <w:pPr>
              <w:pStyle w:val="Header"/>
              <w:spacing w:before="120" w:after="120"/>
            </w:pPr>
            <w:r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4618412C" w14:textId="4CC8C403" w:rsidR="00C9766A" w:rsidRPr="0008583F" w:rsidRDefault="004E1E41" w:rsidP="001D6A32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1E10BC">
              <w:rPr>
                <w:iCs/>
              </w:rPr>
              <w:t>Wayman Smith</w:t>
            </w:r>
            <w:r w:rsidR="001E10BC">
              <w:rPr>
                <w:iCs/>
              </w:rPr>
              <w:t xml:space="preserve"> </w:t>
            </w:r>
            <w:r w:rsidR="00A13BEF" w:rsidRPr="001E10BC">
              <w:rPr>
                <w:iCs/>
              </w:rPr>
              <w:t>/</w:t>
            </w:r>
            <w:r w:rsidR="001E10BC">
              <w:rPr>
                <w:iCs/>
              </w:rPr>
              <w:t xml:space="preserve"> </w:t>
            </w:r>
            <w:r w:rsidR="00A13BEF" w:rsidRPr="001E10BC">
              <w:rPr>
                <w:iCs/>
              </w:rPr>
              <w:t>Erin Rasmussen</w:t>
            </w:r>
            <w:r w:rsidR="00E55C94" w:rsidRPr="001E10BC">
              <w:rPr>
                <w:iCs/>
              </w:rPr>
              <w:t xml:space="preserve"> (AEP)</w:t>
            </w:r>
            <w:r w:rsidR="0008583F" w:rsidRPr="001E10BC">
              <w:rPr>
                <w:iCs/>
              </w:rPr>
              <w:t xml:space="preserve"> </w:t>
            </w:r>
            <w:r w:rsidR="00E55C94" w:rsidRPr="001E10BC">
              <w:rPr>
                <w:iCs/>
              </w:rPr>
              <w:t>//</w:t>
            </w:r>
            <w:r w:rsidR="0008583F" w:rsidRPr="001E10BC">
              <w:rPr>
                <w:iCs/>
              </w:rPr>
              <w:t xml:space="preserve"> </w:t>
            </w:r>
            <w:r w:rsidR="00E55C94" w:rsidRPr="001E10BC">
              <w:rPr>
                <w:iCs/>
              </w:rPr>
              <w:t>Wes Woitt</w:t>
            </w:r>
            <w:r w:rsidR="001E10BC">
              <w:rPr>
                <w:iCs/>
              </w:rPr>
              <w:t xml:space="preserve"> </w:t>
            </w:r>
            <w:r w:rsidR="00E55C94" w:rsidRPr="001E10BC">
              <w:rPr>
                <w:iCs/>
              </w:rPr>
              <w:t>/</w:t>
            </w:r>
            <w:r w:rsidR="001E10BC">
              <w:rPr>
                <w:iCs/>
              </w:rPr>
              <w:t xml:space="preserve"> </w:t>
            </w:r>
            <w:r w:rsidR="00E55C94" w:rsidRPr="001E10BC">
              <w:rPr>
                <w:iCs/>
              </w:rPr>
              <w:t xml:space="preserve">Jim Lee </w:t>
            </w:r>
            <w:r w:rsidR="0008583F" w:rsidRPr="001E10BC">
              <w:rPr>
                <w:iCs/>
              </w:rPr>
              <w:t>(</w:t>
            </w:r>
            <w:r w:rsidR="001564B1" w:rsidRPr="001E10BC">
              <w:rPr>
                <w:iCs/>
              </w:rPr>
              <w:t>CEHE</w:t>
            </w:r>
            <w:r w:rsidR="0008583F" w:rsidRPr="001E10BC">
              <w:rPr>
                <w:iCs/>
              </w:rPr>
              <w:t>)</w:t>
            </w:r>
          </w:p>
        </w:tc>
      </w:tr>
      <w:tr w:rsidR="009D17F0" w14:paraId="668456EC" w14:textId="77777777" w:rsidTr="00BE168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671AAA6" w14:textId="6AE397CD" w:rsidR="009D17F0" w:rsidRDefault="00BE1689" w:rsidP="001D6A32">
            <w:pPr>
              <w:pStyle w:val="Header"/>
              <w:spacing w:before="120" w:after="120"/>
            </w:pPr>
            <w:r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123691E" w14:textId="261DE3C7" w:rsidR="002B588F" w:rsidRPr="00FB509B" w:rsidRDefault="00A13BEF" w:rsidP="001D6A32">
            <w:pPr>
              <w:pStyle w:val="NormalArial"/>
              <w:spacing w:before="120" w:after="120"/>
            </w:pPr>
            <w:hyperlink r:id="rId11" w:history="1">
              <w:r w:rsidRPr="00432E77">
                <w:rPr>
                  <w:rStyle w:val="Hyperlink"/>
                </w:rPr>
                <w:t>Wlsmith1@aep.com</w:t>
              </w:r>
            </w:hyperlink>
            <w:r>
              <w:t xml:space="preserve"> / </w:t>
            </w:r>
            <w:hyperlink r:id="rId12" w:history="1">
              <w:r w:rsidRPr="00432E77">
                <w:rPr>
                  <w:rStyle w:val="Hyperlink"/>
                </w:rPr>
                <w:t>ejrasmussen@aep.com</w:t>
              </w:r>
            </w:hyperlink>
            <w:r w:rsidR="007A2FC9" w:rsidRPr="001D65C4">
              <w:rPr>
                <w:rStyle w:val="Hyperlink"/>
                <w:color w:val="auto"/>
                <w:u w:val="none"/>
              </w:rPr>
              <w:t xml:space="preserve"> / </w:t>
            </w:r>
            <w:hyperlink r:id="rId13" w:history="1">
              <w:r w:rsidR="007C1E98" w:rsidRPr="00863A7C">
                <w:rPr>
                  <w:rStyle w:val="Hyperlink"/>
                </w:rPr>
                <w:t>wesley.woitt@centerpointenergy.com</w:t>
              </w:r>
            </w:hyperlink>
            <w:r w:rsidR="007C1E98" w:rsidRPr="001D65C4">
              <w:rPr>
                <w:rStyle w:val="Hyperlink"/>
                <w:color w:val="auto"/>
                <w:u w:val="none"/>
              </w:rPr>
              <w:t xml:space="preserve"> / </w:t>
            </w:r>
            <w:hyperlink r:id="rId14" w:history="1">
              <w:r w:rsidR="001564B1" w:rsidRPr="00513A3D">
                <w:rPr>
                  <w:rStyle w:val="Hyperlink"/>
                </w:rPr>
                <w:t>Jim.Lee@centerpointenergy.com</w:t>
              </w:r>
            </w:hyperlink>
          </w:p>
        </w:tc>
      </w:tr>
      <w:tr w:rsidR="009D17F0" w14:paraId="6A1058E8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079052" w14:textId="0D8CC0FA" w:rsidR="009D17F0" w:rsidRDefault="00BE1689" w:rsidP="00F44236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3EA56494" w14:textId="2C77AB79" w:rsidR="001D6A32" w:rsidRPr="00BE1689" w:rsidRDefault="004E1E41" w:rsidP="001E10BC">
            <w:pPr>
              <w:pStyle w:val="NormalArial"/>
              <w:spacing w:before="120" w:after="120"/>
              <w:rPr>
                <w:iCs/>
              </w:rPr>
            </w:pPr>
            <w:r>
              <w:rPr>
                <w:iCs/>
              </w:rPr>
              <w:t>American Electric Power</w:t>
            </w:r>
            <w:r w:rsidR="00A86E41">
              <w:rPr>
                <w:iCs/>
              </w:rPr>
              <w:t xml:space="preserve"> (AEP)</w:t>
            </w:r>
            <w:r w:rsidR="00B51D98">
              <w:rPr>
                <w:iCs/>
              </w:rPr>
              <w:t xml:space="preserve"> &amp; CenterPoint Energy </w:t>
            </w:r>
            <w:r w:rsidR="001564B1">
              <w:rPr>
                <w:iCs/>
              </w:rPr>
              <w:t>Houston Electric (CEHE</w:t>
            </w:r>
            <w:r w:rsidR="00E55C94">
              <w:rPr>
                <w:iCs/>
              </w:rPr>
              <w:t>)</w:t>
            </w:r>
            <w:r w:rsidR="00C842AF">
              <w:rPr>
                <w:iCs/>
              </w:rPr>
              <w:t xml:space="preserve"> – “Joint Commenters”</w:t>
            </w:r>
          </w:p>
        </w:tc>
      </w:tr>
      <w:tr w:rsidR="00D61F38" w14:paraId="26CC2BF5" w14:textId="77777777" w:rsidTr="00BE168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02F9FA4" w14:textId="05EE96AF" w:rsidR="00D61F38" w:rsidRDefault="00BE1689" w:rsidP="00D61F38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gridSpan w:val="2"/>
            <w:vAlign w:val="center"/>
          </w:tcPr>
          <w:p w14:paraId="7E15D653" w14:textId="50FE73F6" w:rsidR="002B588F" w:rsidRPr="00330E62" w:rsidRDefault="002B588F" w:rsidP="00D61F38">
            <w:pPr>
              <w:pStyle w:val="NormalArial"/>
              <w:spacing w:before="120" w:after="120"/>
            </w:pPr>
            <w:r>
              <w:t xml:space="preserve"> </w:t>
            </w:r>
            <w:r w:rsidR="004E1E41">
              <w:t>918-497-8041</w:t>
            </w:r>
            <w:r w:rsidR="00957C3A">
              <w:t xml:space="preserve"> (Wayman)</w:t>
            </w:r>
            <w:r w:rsidR="00A13BEF">
              <w:t xml:space="preserve"> / 512-391-2966</w:t>
            </w:r>
            <w:r w:rsidR="00957C3A">
              <w:t xml:space="preserve"> (Erin)</w:t>
            </w:r>
            <w:r w:rsidR="004552F1">
              <w:t xml:space="preserve"> /</w:t>
            </w:r>
            <w:r w:rsidR="00957C3A">
              <w:t xml:space="preserve"> </w:t>
            </w:r>
            <w:r w:rsidR="000A13DA" w:rsidRPr="000A13DA">
              <w:t>713</w:t>
            </w:r>
            <w:r w:rsidR="00330E62">
              <w:t>-</w:t>
            </w:r>
            <w:r w:rsidR="000A13DA" w:rsidRPr="000A13DA">
              <w:t>207</w:t>
            </w:r>
            <w:r w:rsidR="00330E62">
              <w:t>-</w:t>
            </w:r>
            <w:r w:rsidR="000A13DA" w:rsidRPr="000A13DA">
              <w:t>2760</w:t>
            </w:r>
            <w:r w:rsidR="00330E62">
              <w:t xml:space="preserve"> (Wes) / </w:t>
            </w:r>
            <w:r w:rsidR="00923724" w:rsidRPr="00923724">
              <w:t>512-397-3031 (Jim)</w:t>
            </w:r>
          </w:p>
        </w:tc>
      </w:tr>
      <w:tr w:rsidR="00BE1689" w14:paraId="2EE0E470" w14:textId="77777777" w:rsidTr="00BE168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B763306" w14:textId="2B257CF2" w:rsidR="00BE1689" w:rsidRDefault="00BE1689" w:rsidP="00D61F38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090678A" w14:textId="1221D536" w:rsidR="00BE1689" w:rsidRDefault="004552F1" w:rsidP="00D61F38">
            <w:pPr>
              <w:pStyle w:val="NormalArial"/>
              <w:spacing w:before="120" w:after="120"/>
            </w:pPr>
            <w:r>
              <w:t>N/A</w:t>
            </w:r>
          </w:p>
        </w:tc>
      </w:tr>
      <w:tr w:rsidR="00BE1689" w14:paraId="66F2ADCD" w14:textId="77777777" w:rsidTr="00BE1689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88CEE65" w14:textId="1CF2632C" w:rsidR="00BE1689" w:rsidRDefault="00BE1689" w:rsidP="00D61F38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vAlign w:val="center"/>
          </w:tcPr>
          <w:p w14:paraId="51A2A076" w14:textId="23737ECB" w:rsidR="00BE1689" w:rsidRDefault="00BE1689" w:rsidP="00D61F38">
            <w:pPr>
              <w:pStyle w:val="NormalArial"/>
              <w:spacing w:before="120" w:after="120"/>
            </w:pPr>
            <w:r>
              <w:t>Investor-Owned Utility</w:t>
            </w:r>
            <w:r w:rsidR="001E10BC">
              <w:t xml:space="preserve"> (IOU)</w:t>
            </w:r>
          </w:p>
        </w:tc>
      </w:tr>
    </w:tbl>
    <w:p w14:paraId="2A316B1B" w14:textId="77777777" w:rsidR="00B121A8" w:rsidRPr="0030232A" w:rsidRDefault="00B121A8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61F38" w14:paraId="18F3B988" w14:textId="77777777" w:rsidTr="00D61F38">
        <w:trPr>
          <w:cantSplit/>
          <w:trHeight w:val="432"/>
        </w:trPr>
        <w:tc>
          <w:tcPr>
            <w:tcW w:w="10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92A5E9" w14:textId="403AC7FF" w:rsidR="00342163" w:rsidRPr="00803D48" w:rsidRDefault="00BE1689" w:rsidP="00803D48">
            <w:pPr>
              <w:pStyle w:val="Header"/>
              <w:jc w:val="center"/>
              <w:rPr>
                <w:bCs w:val="0"/>
              </w:rPr>
            </w:pPr>
            <w:r>
              <w:t>Comments</w:t>
            </w:r>
          </w:p>
        </w:tc>
      </w:tr>
    </w:tbl>
    <w:p w14:paraId="036D0BE5" w14:textId="4D148127" w:rsidR="00447355" w:rsidRDefault="001564B1" w:rsidP="00D8760E">
      <w:pPr>
        <w:pStyle w:val="NormalArial"/>
        <w:spacing w:before="120" w:after="120"/>
      </w:pPr>
      <w:r>
        <w:t>American Electric Power (AEP) and CenterPoint Energy Houston Electric (CEHE) (“</w:t>
      </w:r>
      <w:r w:rsidR="00C842AF">
        <w:t>Joint Commenters</w:t>
      </w:r>
      <w:r>
        <w:t xml:space="preserve">”) </w:t>
      </w:r>
      <w:r w:rsidR="00C842AF">
        <w:t xml:space="preserve">appreciate the opportunity to provide comments to </w:t>
      </w:r>
      <w:r w:rsidR="00737787">
        <w:t xml:space="preserve">Planning Guide Revision Request (PGRR) </w:t>
      </w:r>
      <w:r w:rsidR="00383DD8">
        <w:t>1</w:t>
      </w:r>
      <w:r w:rsidR="00737787">
        <w:t xml:space="preserve">28, </w:t>
      </w:r>
      <w:r w:rsidR="00C842AF">
        <w:t xml:space="preserve">which proposes a </w:t>
      </w:r>
      <w:r w:rsidR="00011CA9">
        <w:t>require</w:t>
      </w:r>
      <w:r w:rsidR="00C842AF">
        <w:t>ment for</w:t>
      </w:r>
      <w:r w:rsidR="00011CA9">
        <w:t xml:space="preserve"> ERCOT to evaluate </w:t>
      </w:r>
      <w:r w:rsidR="00AF19E3">
        <w:t>g</w:t>
      </w:r>
      <w:r w:rsidR="00011CA9">
        <w:t xml:space="preserve">rid </w:t>
      </w:r>
      <w:r w:rsidR="00AF19E3">
        <w:t>e</w:t>
      </w:r>
      <w:r w:rsidR="00011CA9">
        <w:t xml:space="preserve">nhancing </w:t>
      </w:r>
      <w:r w:rsidR="00AF19E3">
        <w:t>t</w:t>
      </w:r>
      <w:r w:rsidR="00011CA9">
        <w:t xml:space="preserve">echnologies </w:t>
      </w:r>
      <w:r w:rsidR="00737787">
        <w:t>(“GETs”)</w:t>
      </w:r>
      <w:r w:rsidR="00A86E41">
        <w:t xml:space="preserve"> and advanced conductors</w:t>
      </w:r>
      <w:r w:rsidR="00737787">
        <w:t xml:space="preserve"> </w:t>
      </w:r>
      <w:r w:rsidR="00546BDD">
        <w:t xml:space="preserve">as </w:t>
      </w:r>
      <w:r>
        <w:t xml:space="preserve">potential </w:t>
      </w:r>
      <w:r w:rsidR="00546BDD">
        <w:t xml:space="preserve">transmission project solutions </w:t>
      </w:r>
      <w:r w:rsidR="00C842AF">
        <w:t>when developing</w:t>
      </w:r>
      <w:r w:rsidR="00546BDD">
        <w:t xml:space="preserve"> the </w:t>
      </w:r>
      <w:r w:rsidR="00A86E41">
        <w:t xml:space="preserve">annual </w:t>
      </w:r>
      <w:r w:rsidR="00737787">
        <w:t xml:space="preserve">ERCOT </w:t>
      </w:r>
      <w:r w:rsidR="00011CA9">
        <w:t>Regional Transmission Plan</w:t>
      </w:r>
      <w:r w:rsidR="00C842AF">
        <w:t xml:space="preserve"> (RTP)</w:t>
      </w:r>
      <w:r w:rsidR="00011CA9">
        <w:t xml:space="preserve">.  </w:t>
      </w:r>
    </w:p>
    <w:p w14:paraId="1A92D06C" w14:textId="152F7EF0" w:rsidR="000E0ACA" w:rsidRDefault="001564B1" w:rsidP="00D8760E">
      <w:pPr>
        <w:pStyle w:val="NormalArial"/>
        <w:spacing w:before="120" w:after="120"/>
      </w:pPr>
      <w:r>
        <w:br/>
        <w:t xml:space="preserve">The </w:t>
      </w:r>
      <w:r w:rsidR="00C842AF">
        <w:t xml:space="preserve">Joint Commenters </w:t>
      </w:r>
      <w:r w:rsidR="0080796A">
        <w:t>oppose the</w:t>
      </w:r>
      <w:r w:rsidR="00447355">
        <w:t xml:space="preserve"> </w:t>
      </w:r>
      <w:r w:rsidR="00B46EFC">
        <w:t>creation</w:t>
      </w:r>
      <w:r w:rsidR="0080796A">
        <w:t xml:space="preserve"> </w:t>
      </w:r>
      <w:r w:rsidR="001E52A2">
        <w:t xml:space="preserve">of a mandatory evaluation framework targeted to a specific set of technologies and use cases as contemplated by PGRR128.  </w:t>
      </w:r>
      <w:r w:rsidR="00BC7E9D">
        <w:t xml:space="preserve">ERCOT and </w:t>
      </w:r>
      <w:r w:rsidR="00FA7840">
        <w:t xml:space="preserve">the </w:t>
      </w:r>
      <w:r w:rsidR="00BC7E9D">
        <w:t xml:space="preserve">Transmission Service Providers (TSPs) </w:t>
      </w:r>
      <w:r>
        <w:t xml:space="preserve">(Joint Commenters included) </w:t>
      </w:r>
      <w:r w:rsidR="00BC7E9D">
        <w:t>routinely evaluate the transmission system to identify future needs</w:t>
      </w:r>
      <w:r w:rsidR="00FB404C">
        <w:t xml:space="preserve"> and</w:t>
      </w:r>
      <w:r w:rsidR="00BC7E9D">
        <w:t xml:space="preserve"> </w:t>
      </w:r>
      <w:r>
        <w:t>may</w:t>
      </w:r>
      <w:r w:rsidR="000E0ACA">
        <w:t xml:space="preserve"> propose </w:t>
      </w:r>
      <w:r w:rsidR="00FB404C">
        <w:t>a</w:t>
      </w:r>
      <w:r w:rsidR="00BC7E9D">
        <w:t>lternative solutions</w:t>
      </w:r>
      <w:r w:rsidR="00FA7840">
        <w:t xml:space="preserve"> to </w:t>
      </w:r>
      <w:r w:rsidR="000E0ACA">
        <w:t xml:space="preserve">address </w:t>
      </w:r>
      <w:r w:rsidR="00FA7840">
        <w:t>those needs</w:t>
      </w:r>
      <w:r w:rsidR="00FB404C">
        <w:t>.</w:t>
      </w:r>
      <w:r w:rsidR="00BC7E9D">
        <w:t xml:space="preserve">  </w:t>
      </w:r>
      <w:r w:rsidR="000E0ACA">
        <w:t>Since GETs and advanced conductors are specialized assets and not applicable for every identified need or use case, the Joint Commenters feel strongly that</w:t>
      </w:r>
      <w:r w:rsidR="00BC7E9D">
        <w:t xml:space="preserve"> it </w:t>
      </w:r>
      <w:r w:rsidR="000E0ACA">
        <w:t>is</w:t>
      </w:r>
      <w:r w:rsidR="00BC7E9D">
        <w:t xml:space="preserve"> unreasonably burdensome and inefficient to mandate </w:t>
      </w:r>
      <w:r w:rsidR="00FA7840">
        <w:t xml:space="preserve">the evaluation of </w:t>
      </w:r>
      <w:r w:rsidR="000E0ACA">
        <w:t xml:space="preserve">GETs as part of the </w:t>
      </w:r>
      <w:r>
        <w:t xml:space="preserve">annual </w:t>
      </w:r>
      <w:r w:rsidR="000E0ACA">
        <w:t>ERCOT RTP</w:t>
      </w:r>
      <w:r w:rsidR="00FB404C">
        <w:t xml:space="preserve">.  </w:t>
      </w:r>
    </w:p>
    <w:p w14:paraId="40366925" w14:textId="5F196DE1" w:rsidR="00FB404C" w:rsidRDefault="001564B1" w:rsidP="00D8760E">
      <w:pPr>
        <w:pStyle w:val="NormalArial"/>
        <w:spacing w:before="120" w:after="120"/>
      </w:pPr>
      <w:r>
        <w:lastRenderedPageBreak/>
        <w:br/>
      </w:r>
      <w:r w:rsidR="00C842AF">
        <w:t xml:space="preserve">Consistent with Oncor’s August 19, </w:t>
      </w:r>
      <w:proofErr w:type="gramStart"/>
      <w:r w:rsidR="00C842AF">
        <w:t>2025</w:t>
      </w:r>
      <w:proofErr w:type="gramEnd"/>
      <w:r w:rsidR="00C842AF">
        <w:t xml:space="preserve"> comments, the </w:t>
      </w:r>
      <w:r>
        <w:t>TSPs</w:t>
      </w:r>
      <w:r w:rsidR="00C842AF">
        <w:t xml:space="preserve"> </w:t>
      </w:r>
      <w:r>
        <w:t xml:space="preserve">(Joint Commenters included) </w:t>
      </w:r>
      <w:r w:rsidR="00FB404C">
        <w:t xml:space="preserve">already consider alternative technologies and solutions as a normal part of the planning process and </w:t>
      </w:r>
      <w:r w:rsidR="001E10BC">
        <w:t>have</w:t>
      </w:r>
      <w:r w:rsidR="00FB404C">
        <w:t xml:space="preserve"> utilized these technologies </w:t>
      </w:r>
      <w:r w:rsidR="0090580B">
        <w:t xml:space="preserve">in the past where appropriate. </w:t>
      </w:r>
      <w:r w:rsidR="00C842AF">
        <w:t xml:space="preserve">The Joint Commenters </w:t>
      </w:r>
      <w:r w:rsidR="0090580B">
        <w:t>will continue to evaluate the merits of new technologies and consider their use where feasible, practical and cost-effective.</w:t>
      </w:r>
    </w:p>
    <w:p w14:paraId="0BA598DF" w14:textId="77777777" w:rsidR="001564B1" w:rsidRDefault="001564B1" w:rsidP="00D8760E">
      <w:pPr>
        <w:pStyle w:val="NormalArial"/>
        <w:spacing w:before="120" w:after="120"/>
      </w:pPr>
    </w:p>
    <w:p w14:paraId="4E9A19F6" w14:textId="7231C203" w:rsidR="0090580B" w:rsidRDefault="001564B1" w:rsidP="00D8760E">
      <w:pPr>
        <w:pStyle w:val="NormalArial"/>
        <w:spacing w:before="120" w:after="120"/>
      </w:pPr>
      <w:r>
        <w:t xml:space="preserve">Furthermore, the Joint Comments believe that </w:t>
      </w:r>
      <w:r w:rsidR="00FA7840">
        <w:t xml:space="preserve">PGRR128 goes </w:t>
      </w:r>
      <w:r w:rsidR="000E0ACA">
        <w:t xml:space="preserve">beyond the intended function of </w:t>
      </w:r>
      <w:r>
        <w:t xml:space="preserve">ERCOT’s </w:t>
      </w:r>
      <w:r w:rsidR="000E0ACA">
        <w:t>RTP analysis</w:t>
      </w:r>
      <w:r>
        <w:t xml:space="preserve"> by </w:t>
      </w:r>
      <w:r w:rsidR="00FA7840">
        <w:t>requir</w:t>
      </w:r>
      <w:r>
        <w:t>ing</w:t>
      </w:r>
      <w:r w:rsidR="00FA7840">
        <w:t xml:space="preserve"> ERCOT to consider a specific set of attributes associated with the various technologies including repairability, durability</w:t>
      </w:r>
      <w:r w:rsidR="009206E7">
        <w:t>,</w:t>
      </w:r>
      <w:r w:rsidR="00FA7840">
        <w:t xml:space="preserve"> and technical feasibility</w:t>
      </w:r>
      <w:r w:rsidR="00FB404C">
        <w:t>, among others</w:t>
      </w:r>
      <w:r w:rsidR="00FA7840">
        <w:t xml:space="preserve">.  </w:t>
      </w:r>
      <w:r w:rsidR="00C842AF">
        <w:t>The Joint Commenters do</w:t>
      </w:r>
      <w:r w:rsidR="00FA7840">
        <w:t xml:space="preserve"> not believe ERCOT </w:t>
      </w:r>
      <w:r>
        <w:t>is the appropriate entity</w:t>
      </w:r>
      <w:r w:rsidR="00C842AF">
        <w:t xml:space="preserve"> </w:t>
      </w:r>
      <w:r w:rsidR="00FA7840">
        <w:t>to assess the performance of these technologies in that regard as they do not own or maintain the assets</w:t>
      </w:r>
      <w:r w:rsidR="00594418">
        <w:t>, and fully believe t</w:t>
      </w:r>
      <w:r w:rsidR="00FA7840">
        <w:t>h</w:t>
      </w:r>
      <w:r>
        <w:t>e</w:t>
      </w:r>
      <w:r w:rsidR="00FA7840">
        <w:t xml:space="preserve"> evaluation </w:t>
      </w:r>
      <w:r>
        <w:t xml:space="preserve">is </w:t>
      </w:r>
      <w:r w:rsidR="00594418">
        <w:t xml:space="preserve">best suited </w:t>
      </w:r>
      <w:r w:rsidR="00FB404C">
        <w:t>to the TSPs.</w:t>
      </w:r>
    </w:p>
    <w:p w14:paraId="30873EDD" w14:textId="0541F4D0" w:rsidR="0090580B" w:rsidRDefault="001564B1" w:rsidP="00D8760E">
      <w:pPr>
        <w:pStyle w:val="NormalArial"/>
        <w:spacing w:before="120" w:after="120"/>
      </w:pPr>
      <w:r>
        <w:br/>
      </w:r>
      <w:r w:rsidR="000E0ACA">
        <w:t>It is widely accepted by Market Participants that t</w:t>
      </w:r>
      <w:r w:rsidR="0090580B">
        <w:t xml:space="preserve">he </w:t>
      </w:r>
      <w:r w:rsidR="00F94D68">
        <w:t xml:space="preserve">Regional Planning Group (RPG) process is open and transparent.  To the extent a stakeholder believes an alternative technology or solution should be considered for resolution of an identified need, </w:t>
      </w:r>
      <w:r w:rsidR="000E0ACA">
        <w:t>the Joint Commenters encourage</w:t>
      </w:r>
      <w:r>
        <w:t xml:space="preserve"> the stakeholder to provide </w:t>
      </w:r>
      <w:r w:rsidR="00F94D68">
        <w:t>th</w:t>
      </w:r>
      <w:r w:rsidR="00BF6113">
        <w:t xml:space="preserve">ose comments </w:t>
      </w:r>
      <w:r w:rsidR="00C842AF">
        <w:t>as part of the existing RPG evaluation process</w:t>
      </w:r>
      <w:r w:rsidR="00BF6113">
        <w:t>.</w:t>
      </w:r>
    </w:p>
    <w:p w14:paraId="38388105" w14:textId="5D1AF9BF" w:rsidR="00BE1689" w:rsidRPr="00D56D61" w:rsidRDefault="00594418" w:rsidP="00D8760E">
      <w:pPr>
        <w:pStyle w:val="NormalArial"/>
        <w:spacing w:before="120" w:after="120"/>
      </w:pPr>
      <w:r>
        <w:br/>
        <w:t>In conclusion, f</w:t>
      </w:r>
      <w:r w:rsidR="00BA7FE0">
        <w:t xml:space="preserve">or the reasons stated above, </w:t>
      </w:r>
      <w:r w:rsidR="00C842AF">
        <w:t xml:space="preserve">the Joint Commenters </w:t>
      </w:r>
      <w:r w:rsidR="00564751">
        <w:t xml:space="preserve">recommend </w:t>
      </w:r>
      <w:r w:rsidR="0019659A">
        <w:t>PGRR128</w:t>
      </w:r>
      <w:r w:rsidR="00564751">
        <w:t xml:space="preserve"> be withdrawn from further consideration.</w:t>
      </w:r>
      <w:r>
        <w:br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9A3772" w:rsidRPr="00D56D61" w14:paraId="27AA7EDE" w14:textId="77777777" w:rsidTr="00BE1689">
        <w:trPr>
          <w:cantSplit/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AF081A5" w14:textId="0FC3352A" w:rsidR="009A3772" w:rsidRPr="007C199B" w:rsidRDefault="00BE1689" w:rsidP="007C199B">
            <w:pPr>
              <w:pStyle w:val="NormalArial"/>
              <w:jc w:val="center"/>
              <w:rPr>
                <w:b/>
              </w:rPr>
            </w:pPr>
            <w:r>
              <w:rPr>
                <w:b/>
              </w:rPr>
              <w:t>Revised Cover Page Language</w:t>
            </w:r>
          </w:p>
        </w:tc>
      </w:tr>
    </w:tbl>
    <w:p w14:paraId="48963CA3" w14:textId="75032663" w:rsidR="00B121A8" w:rsidRPr="00D56D61" w:rsidRDefault="00D8760E" w:rsidP="00D8760E">
      <w:pPr>
        <w:spacing w:before="120" w:after="120"/>
        <w:rPr>
          <w:rFonts w:ascii="Arial" w:hAnsi="Arial" w:cs="Arial"/>
        </w:rPr>
      </w:pPr>
      <w:r w:rsidRPr="00923FBC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EB62643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6988E9" w14:textId="47198A4C" w:rsidR="009A3772" w:rsidRDefault="00BE1689" w:rsidP="005E1113">
            <w:pPr>
              <w:pStyle w:val="Header"/>
              <w:jc w:val="center"/>
            </w:pPr>
            <w:r>
              <w:t xml:space="preserve">Revised </w:t>
            </w:r>
            <w:r w:rsidR="009A3772">
              <w:t xml:space="preserve">Proposed </w:t>
            </w:r>
            <w:r w:rsidR="005E1113">
              <w:t>Guide</w:t>
            </w:r>
            <w:r w:rsidR="009A3772">
              <w:t xml:space="preserve"> </w:t>
            </w:r>
            <w:r>
              <w:t>Language</w:t>
            </w:r>
          </w:p>
        </w:tc>
      </w:tr>
    </w:tbl>
    <w:p w14:paraId="61FEF139" w14:textId="0FAA61E7" w:rsidR="00923FBC" w:rsidRPr="00923FBC" w:rsidRDefault="00923FBC" w:rsidP="00D8760E">
      <w:pPr>
        <w:spacing w:before="120" w:after="120"/>
        <w:rPr>
          <w:rFonts w:ascii="Arial" w:hAnsi="Arial" w:cs="Arial"/>
        </w:rPr>
      </w:pPr>
      <w:r w:rsidRPr="00923FBC">
        <w:rPr>
          <w:rFonts w:ascii="Arial" w:hAnsi="Arial" w:cs="Arial"/>
        </w:rPr>
        <w:t>None</w:t>
      </w:r>
    </w:p>
    <w:sectPr w:rsidR="00923FBC" w:rsidRPr="00923FBC">
      <w:headerReference w:type="default" r:id="rId15"/>
      <w:footerReference w:type="even" r:id="rId16"/>
      <w:footerReference w:type="defaul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7F22" w14:textId="77777777" w:rsidR="00E34C0F" w:rsidRDefault="00E34C0F">
      <w:r>
        <w:separator/>
      </w:r>
    </w:p>
  </w:endnote>
  <w:endnote w:type="continuationSeparator" w:id="0">
    <w:p w14:paraId="38D8B0AF" w14:textId="77777777" w:rsidR="00E34C0F" w:rsidRDefault="00E3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1CE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F128" w14:textId="54ACD2D3" w:rsidR="00D176CF" w:rsidRDefault="002D684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128</w:t>
    </w:r>
    <w:r w:rsidRPr="001F4B64">
      <w:rPr>
        <w:rFonts w:ascii="Arial" w:hAnsi="Arial" w:cs="Arial"/>
        <w:sz w:val="18"/>
        <w:szCs w:val="18"/>
      </w:rPr>
      <w:t>PGRR</w:t>
    </w:r>
    <w:r w:rsidR="00BE1689">
      <w:rPr>
        <w:rFonts w:ascii="Arial" w:hAnsi="Arial" w:cs="Arial"/>
        <w:sz w:val="18"/>
        <w:szCs w:val="18"/>
      </w:rPr>
      <w:t>-0</w:t>
    </w:r>
    <w:r w:rsidR="00D26588">
      <w:rPr>
        <w:rFonts w:ascii="Arial" w:hAnsi="Arial" w:cs="Arial"/>
        <w:sz w:val="18"/>
        <w:szCs w:val="18"/>
      </w:rPr>
      <w:t>8</w:t>
    </w:r>
    <w:r w:rsidRPr="001F4B64">
      <w:rPr>
        <w:rFonts w:ascii="Arial" w:hAnsi="Arial" w:cs="Arial"/>
        <w:sz w:val="18"/>
        <w:szCs w:val="18"/>
      </w:rPr>
      <w:t xml:space="preserve"> </w:t>
    </w:r>
    <w:r w:rsidR="00D26588">
      <w:rPr>
        <w:rFonts w:ascii="Arial" w:hAnsi="Arial" w:cs="Arial"/>
        <w:sz w:val="18"/>
        <w:szCs w:val="18"/>
      </w:rPr>
      <w:t>Joint Commenters</w:t>
    </w:r>
    <w:r w:rsidR="00BE1689">
      <w:rPr>
        <w:rFonts w:ascii="Arial" w:hAnsi="Arial" w:cs="Arial"/>
        <w:sz w:val="18"/>
        <w:szCs w:val="18"/>
      </w:rPr>
      <w:t xml:space="preserve"> Comments</w:t>
    </w:r>
    <w:r w:rsidR="001F4B64" w:rsidRPr="001F4B64" w:rsidDel="001F4B64">
      <w:rPr>
        <w:rFonts w:ascii="Arial" w:hAnsi="Arial" w:cs="Arial"/>
        <w:sz w:val="18"/>
        <w:szCs w:val="18"/>
      </w:rPr>
      <w:t xml:space="preserve"> </w:t>
    </w:r>
    <w:r w:rsidR="00D26588">
      <w:rPr>
        <w:rFonts w:ascii="Arial" w:hAnsi="Arial" w:cs="Arial"/>
        <w:sz w:val="18"/>
        <w:szCs w:val="18"/>
      </w:rPr>
      <w:t>1015</w:t>
    </w:r>
    <w:r w:rsidR="00D26588" w:rsidRPr="001F4B64">
      <w:rPr>
        <w:rFonts w:ascii="Arial" w:hAnsi="Arial" w:cs="Arial"/>
        <w:sz w:val="18"/>
        <w:szCs w:val="18"/>
      </w:rPr>
      <w:t>25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44E39327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C266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62CD" w14:textId="77777777" w:rsidR="00E34C0F" w:rsidRDefault="00E34C0F">
      <w:r>
        <w:separator/>
      </w:r>
    </w:p>
  </w:footnote>
  <w:footnote w:type="continuationSeparator" w:id="0">
    <w:p w14:paraId="64698427" w14:textId="77777777" w:rsidR="00E34C0F" w:rsidRDefault="00E3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4BD" w14:textId="2D766F69" w:rsidR="00D176CF" w:rsidRDefault="00E1665D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237D"/>
    <w:multiLevelType w:val="hybridMultilevel"/>
    <w:tmpl w:val="3C02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28232">
    <w:abstractNumId w:val="0"/>
  </w:num>
  <w:num w:numId="2" w16cid:durableId="1208838684">
    <w:abstractNumId w:val="11"/>
  </w:num>
  <w:num w:numId="3" w16cid:durableId="1230267587">
    <w:abstractNumId w:val="12"/>
  </w:num>
  <w:num w:numId="4" w16cid:durableId="137966620">
    <w:abstractNumId w:val="1"/>
  </w:num>
  <w:num w:numId="5" w16cid:durableId="1915968762">
    <w:abstractNumId w:val="7"/>
  </w:num>
  <w:num w:numId="6" w16cid:durableId="241063861">
    <w:abstractNumId w:val="7"/>
  </w:num>
  <w:num w:numId="7" w16cid:durableId="1592010686">
    <w:abstractNumId w:val="7"/>
  </w:num>
  <w:num w:numId="8" w16cid:durableId="2036466780">
    <w:abstractNumId w:val="7"/>
  </w:num>
  <w:num w:numId="9" w16cid:durableId="1214002037">
    <w:abstractNumId w:val="7"/>
  </w:num>
  <w:num w:numId="10" w16cid:durableId="983435160">
    <w:abstractNumId w:val="7"/>
  </w:num>
  <w:num w:numId="11" w16cid:durableId="829373413">
    <w:abstractNumId w:val="7"/>
  </w:num>
  <w:num w:numId="12" w16cid:durableId="797265045">
    <w:abstractNumId w:val="7"/>
  </w:num>
  <w:num w:numId="13" w16cid:durableId="890503294">
    <w:abstractNumId w:val="7"/>
  </w:num>
  <w:num w:numId="14" w16cid:durableId="349647872">
    <w:abstractNumId w:val="3"/>
  </w:num>
  <w:num w:numId="15" w16cid:durableId="1699820253">
    <w:abstractNumId w:val="6"/>
  </w:num>
  <w:num w:numId="16" w16cid:durableId="1814561996">
    <w:abstractNumId w:val="9"/>
  </w:num>
  <w:num w:numId="17" w16cid:durableId="1877696085">
    <w:abstractNumId w:val="10"/>
  </w:num>
  <w:num w:numId="18" w16cid:durableId="816456341">
    <w:abstractNumId w:val="4"/>
  </w:num>
  <w:num w:numId="19" w16cid:durableId="1396077249">
    <w:abstractNumId w:val="8"/>
  </w:num>
  <w:num w:numId="20" w16cid:durableId="1422528045">
    <w:abstractNumId w:val="2"/>
  </w:num>
  <w:num w:numId="21" w16cid:durableId="799802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1CA9"/>
    <w:rsid w:val="00012C3B"/>
    <w:rsid w:val="00013178"/>
    <w:rsid w:val="00060A5A"/>
    <w:rsid w:val="00064B44"/>
    <w:rsid w:val="00067FE2"/>
    <w:rsid w:val="0007682E"/>
    <w:rsid w:val="0008583F"/>
    <w:rsid w:val="00090332"/>
    <w:rsid w:val="00091E02"/>
    <w:rsid w:val="000A13DA"/>
    <w:rsid w:val="000A2DAB"/>
    <w:rsid w:val="000D1AEB"/>
    <w:rsid w:val="000D3E64"/>
    <w:rsid w:val="000E0ACA"/>
    <w:rsid w:val="000F13C5"/>
    <w:rsid w:val="0010177A"/>
    <w:rsid w:val="00105A36"/>
    <w:rsid w:val="001229FA"/>
    <w:rsid w:val="001279B6"/>
    <w:rsid w:val="001313B4"/>
    <w:rsid w:val="001359DB"/>
    <w:rsid w:val="0014546D"/>
    <w:rsid w:val="001500D9"/>
    <w:rsid w:val="001564B1"/>
    <w:rsid w:val="00156DB7"/>
    <w:rsid w:val="00157228"/>
    <w:rsid w:val="00160C3C"/>
    <w:rsid w:val="0017025A"/>
    <w:rsid w:val="00177461"/>
    <w:rsid w:val="0017783C"/>
    <w:rsid w:val="0018300A"/>
    <w:rsid w:val="001876A5"/>
    <w:rsid w:val="0019314C"/>
    <w:rsid w:val="0019659A"/>
    <w:rsid w:val="001B6365"/>
    <w:rsid w:val="001C7E22"/>
    <w:rsid w:val="001D65C4"/>
    <w:rsid w:val="001D6A32"/>
    <w:rsid w:val="001E00B0"/>
    <w:rsid w:val="001E10BC"/>
    <w:rsid w:val="001E52A2"/>
    <w:rsid w:val="001F1080"/>
    <w:rsid w:val="001F38F0"/>
    <w:rsid w:val="001F4B64"/>
    <w:rsid w:val="00237430"/>
    <w:rsid w:val="0024193F"/>
    <w:rsid w:val="00257607"/>
    <w:rsid w:val="00260139"/>
    <w:rsid w:val="00276A99"/>
    <w:rsid w:val="0028411D"/>
    <w:rsid w:val="00284157"/>
    <w:rsid w:val="00286AD9"/>
    <w:rsid w:val="002966F3"/>
    <w:rsid w:val="002B2C56"/>
    <w:rsid w:val="002B588F"/>
    <w:rsid w:val="002B69F3"/>
    <w:rsid w:val="002B763A"/>
    <w:rsid w:val="002C3868"/>
    <w:rsid w:val="002C65E5"/>
    <w:rsid w:val="002D382A"/>
    <w:rsid w:val="002D5E13"/>
    <w:rsid w:val="002D6849"/>
    <w:rsid w:val="002F1EDD"/>
    <w:rsid w:val="003013F2"/>
    <w:rsid w:val="0030232A"/>
    <w:rsid w:val="003065AF"/>
    <w:rsid w:val="0030694A"/>
    <w:rsid w:val="003069F4"/>
    <w:rsid w:val="00330E62"/>
    <w:rsid w:val="00336B37"/>
    <w:rsid w:val="00340C41"/>
    <w:rsid w:val="00342163"/>
    <w:rsid w:val="00360920"/>
    <w:rsid w:val="00372D46"/>
    <w:rsid w:val="00383DD8"/>
    <w:rsid w:val="00384709"/>
    <w:rsid w:val="00386C35"/>
    <w:rsid w:val="003A3D77"/>
    <w:rsid w:val="003B5AED"/>
    <w:rsid w:val="003C4C40"/>
    <w:rsid w:val="003C6B7B"/>
    <w:rsid w:val="003D5732"/>
    <w:rsid w:val="003F17CC"/>
    <w:rsid w:val="00413527"/>
    <w:rsid w:val="004135BD"/>
    <w:rsid w:val="004302A4"/>
    <w:rsid w:val="00431374"/>
    <w:rsid w:val="00435F2E"/>
    <w:rsid w:val="004463BA"/>
    <w:rsid w:val="00447355"/>
    <w:rsid w:val="00450DED"/>
    <w:rsid w:val="004552F1"/>
    <w:rsid w:val="00462F06"/>
    <w:rsid w:val="00466EC3"/>
    <w:rsid w:val="00473326"/>
    <w:rsid w:val="004822D4"/>
    <w:rsid w:val="0049290B"/>
    <w:rsid w:val="004A4451"/>
    <w:rsid w:val="004A4F79"/>
    <w:rsid w:val="004C6110"/>
    <w:rsid w:val="004D3958"/>
    <w:rsid w:val="004E1E41"/>
    <w:rsid w:val="005008DF"/>
    <w:rsid w:val="005045D0"/>
    <w:rsid w:val="00534C6C"/>
    <w:rsid w:val="00535661"/>
    <w:rsid w:val="00546BDD"/>
    <w:rsid w:val="0056042E"/>
    <w:rsid w:val="00564751"/>
    <w:rsid w:val="00571CE1"/>
    <w:rsid w:val="00583484"/>
    <w:rsid w:val="005841C0"/>
    <w:rsid w:val="00590D4E"/>
    <w:rsid w:val="0059260F"/>
    <w:rsid w:val="00592CA3"/>
    <w:rsid w:val="00594418"/>
    <w:rsid w:val="005C4A85"/>
    <w:rsid w:val="005E1113"/>
    <w:rsid w:val="005E5074"/>
    <w:rsid w:val="006021B0"/>
    <w:rsid w:val="00612E4F"/>
    <w:rsid w:val="00613CCA"/>
    <w:rsid w:val="00615D5E"/>
    <w:rsid w:val="00622E99"/>
    <w:rsid w:val="00625E5D"/>
    <w:rsid w:val="00635F54"/>
    <w:rsid w:val="006517F7"/>
    <w:rsid w:val="006525A3"/>
    <w:rsid w:val="00661C34"/>
    <w:rsid w:val="0066370F"/>
    <w:rsid w:val="00675892"/>
    <w:rsid w:val="006964DD"/>
    <w:rsid w:val="006A0784"/>
    <w:rsid w:val="006A264F"/>
    <w:rsid w:val="006A697B"/>
    <w:rsid w:val="006B121B"/>
    <w:rsid w:val="006B4DDE"/>
    <w:rsid w:val="006C798F"/>
    <w:rsid w:val="006D5019"/>
    <w:rsid w:val="006F3E67"/>
    <w:rsid w:val="00720E9E"/>
    <w:rsid w:val="007219FC"/>
    <w:rsid w:val="00736A5D"/>
    <w:rsid w:val="00737787"/>
    <w:rsid w:val="0074239E"/>
    <w:rsid w:val="00743968"/>
    <w:rsid w:val="00762D82"/>
    <w:rsid w:val="007675A3"/>
    <w:rsid w:val="007717F2"/>
    <w:rsid w:val="00773C5B"/>
    <w:rsid w:val="0078240C"/>
    <w:rsid w:val="00785415"/>
    <w:rsid w:val="00787B97"/>
    <w:rsid w:val="00791CB9"/>
    <w:rsid w:val="00793130"/>
    <w:rsid w:val="007A0DF3"/>
    <w:rsid w:val="007A2FC9"/>
    <w:rsid w:val="007A57B0"/>
    <w:rsid w:val="007B3233"/>
    <w:rsid w:val="007B5A42"/>
    <w:rsid w:val="007C199B"/>
    <w:rsid w:val="007C1E98"/>
    <w:rsid w:val="007D3073"/>
    <w:rsid w:val="007D64B9"/>
    <w:rsid w:val="007D72D4"/>
    <w:rsid w:val="007D7E44"/>
    <w:rsid w:val="007E0452"/>
    <w:rsid w:val="007F3E85"/>
    <w:rsid w:val="00803D48"/>
    <w:rsid w:val="008070C0"/>
    <w:rsid w:val="0080796A"/>
    <w:rsid w:val="00810FE0"/>
    <w:rsid w:val="00811C12"/>
    <w:rsid w:val="00817157"/>
    <w:rsid w:val="00826A07"/>
    <w:rsid w:val="00845373"/>
    <w:rsid w:val="00845778"/>
    <w:rsid w:val="008672CF"/>
    <w:rsid w:val="008715EF"/>
    <w:rsid w:val="00887E28"/>
    <w:rsid w:val="008C08AC"/>
    <w:rsid w:val="008D5C3A"/>
    <w:rsid w:val="008E6DA2"/>
    <w:rsid w:val="0090580B"/>
    <w:rsid w:val="00907B1E"/>
    <w:rsid w:val="00916857"/>
    <w:rsid w:val="009206E7"/>
    <w:rsid w:val="00923724"/>
    <w:rsid w:val="00923FBC"/>
    <w:rsid w:val="00943AFD"/>
    <w:rsid w:val="00957C3A"/>
    <w:rsid w:val="00963A51"/>
    <w:rsid w:val="00983B6E"/>
    <w:rsid w:val="009936F8"/>
    <w:rsid w:val="009A0494"/>
    <w:rsid w:val="009A3772"/>
    <w:rsid w:val="009B159A"/>
    <w:rsid w:val="009D17F0"/>
    <w:rsid w:val="00A13BEF"/>
    <w:rsid w:val="00A16D9C"/>
    <w:rsid w:val="00A302CC"/>
    <w:rsid w:val="00A34A52"/>
    <w:rsid w:val="00A412D9"/>
    <w:rsid w:val="00A41A69"/>
    <w:rsid w:val="00A42796"/>
    <w:rsid w:val="00A5311D"/>
    <w:rsid w:val="00A57069"/>
    <w:rsid w:val="00A86E41"/>
    <w:rsid w:val="00A96385"/>
    <w:rsid w:val="00AA7D19"/>
    <w:rsid w:val="00AB7AAB"/>
    <w:rsid w:val="00AD3B58"/>
    <w:rsid w:val="00AF19E3"/>
    <w:rsid w:val="00AF56C6"/>
    <w:rsid w:val="00B01A73"/>
    <w:rsid w:val="00B032E8"/>
    <w:rsid w:val="00B121A8"/>
    <w:rsid w:val="00B143FE"/>
    <w:rsid w:val="00B46EFC"/>
    <w:rsid w:val="00B47E27"/>
    <w:rsid w:val="00B51D98"/>
    <w:rsid w:val="00B57F96"/>
    <w:rsid w:val="00B67892"/>
    <w:rsid w:val="00B9453F"/>
    <w:rsid w:val="00BA0B96"/>
    <w:rsid w:val="00BA4D33"/>
    <w:rsid w:val="00BA5648"/>
    <w:rsid w:val="00BA668F"/>
    <w:rsid w:val="00BA7FE0"/>
    <w:rsid w:val="00BC2D06"/>
    <w:rsid w:val="00BC7E9D"/>
    <w:rsid w:val="00BE1689"/>
    <w:rsid w:val="00BE1DD9"/>
    <w:rsid w:val="00BF6113"/>
    <w:rsid w:val="00C41027"/>
    <w:rsid w:val="00C67ED1"/>
    <w:rsid w:val="00C744EB"/>
    <w:rsid w:val="00C76A2C"/>
    <w:rsid w:val="00C842AF"/>
    <w:rsid w:val="00C9030A"/>
    <w:rsid w:val="00C90702"/>
    <w:rsid w:val="00C917FF"/>
    <w:rsid w:val="00C9766A"/>
    <w:rsid w:val="00CA2439"/>
    <w:rsid w:val="00CA699C"/>
    <w:rsid w:val="00CB3C45"/>
    <w:rsid w:val="00CC4F39"/>
    <w:rsid w:val="00CD165D"/>
    <w:rsid w:val="00CD544C"/>
    <w:rsid w:val="00CE3400"/>
    <w:rsid w:val="00CE7096"/>
    <w:rsid w:val="00CE7E9D"/>
    <w:rsid w:val="00CF4256"/>
    <w:rsid w:val="00D04FE8"/>
    <w:rsid w:val="00D115AA"/>
    <w:rsid w:val="00D176CF"/>
    <w:rsid w:val="00D26588"/>
    <w:rsid w:val="00D27171"/>
    <w:rsid w:val="00D271E3"/>
    <w:rsid w:val="00D30F69"/>
    <w:rsid w:val="00D342C8"/>
    <w:rsid w:val="00D449BD"/>
    <w:rsid w:val="00D47A80"/>
    <w:rsid w:val="00D53577"/>
    <w:rsid w:val="00D61F38"/>
    <w:rsid w:val="00D85807"/>
    <w:rsid w:val="00D87349"/>
    <w:rsid w:val="00D8760E"/>
    <w:rsid w:val="00D91EE9"/>
    <w:rsid w:val="00D97220"/>
    <w:rsid w:val="00DE09C8"/>
    <w:rsid w:val="00E14D47"/>
    <w:rsid w:val="00E1641C"/>
    <w:rsid w:val="00E1665D"/>
    <w:rsid w:val="00E26708"/>
    <w:rsid w:val="00E34958"/>
    <w:rsid w:val="00E34C0F"/>
    <w:rsid w:val="00E363E2"/>
    <w:rsid w:val="00E37AB0"/>
    <w:rsid w:val="00E44735"/>
    <w:rsid w:val="00E50459"/>
    <w:rsid w:val="00E55C94"/>
    <w:rsid w:val="00E71C39"/>
    <w:rsid w:val="00E9030C"/>
    <w:rsid w:val="00EA1767"/>
    <w:rsid w:val="00EA56E6"/>
    <w:rsid w:val="00EC335F"/>
    <w:rsid w:val="00EC48FB"/>
    <w:rsid w:val="00EC59F2"/>
    <w:rsid w:val="00EF232A"/>
    <w:rsid w:val="00F007EF"/>
    <w:rsid w:val="00F05859"/>
    <w:rsid w:val="00F05A69"/>
    <w:rsid w:val="00F23926"/>
    <w:rsid w:val="00F43FFD"/>
    <w:rsid w:val="00F44236"/>
    <w:rsid w:val="00F443BE"/>
    <w:rsid w:val="00F46CE3"/>
    <w:rsid w:val="00F52517"/>
    <w:rsid w:val="00F7289C"/>
    <w:rsid w:val="00F80941"/>
    <w:rsid w:val="00F81041"/>
    <w:rsid w:val="00F94D68"/>
    <w:rsid w:val="00FA57B2"/>
    <w:rsid w:val="00FA7840"/>
    <w:rsid w:val="00FB404C"/>
    <w:rsid w:val="00FB509B"/>
    <w:rsid w:val="00FC3D4B"/>
    <w:rsid w:val="00FC4595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9AC99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12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esley.woitt@centerpointenergy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jrasmussen@aep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lsmith1@aep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rcot.com/mktrules/issues/PGRR12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im.Lee@centerpoint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userSelected">
  <element uid="c5f8eb12-5b27-439d-aaa6-3402af626fa3" value=""/>
  <element uid="d14f5c36-f44a-4315-b438-005cfe8f069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+PC9zaXNsPjxVc2VyTmFtZT5DT1JQXGR0c29hMjM8L1VzZXJOYW1lPjxEYXRlVGltZT4xMC84LzIwMjUgNzoxNTozMyBQTTwvRGF0ZVRpbWU+PExhYmVsU3RyaW5nPkFFUCBQdWJsaWM8L0xhYmVsU3RyaW5nPjwvaXRlbT48L2xhYmVsSGlzdG9yeT4=</Value>
</WrappedLabelHistory>
</file>

<file path=customXml/itemProps1.xml><?xml version="1.0" encoding="utf-8"?>
<ds:datastoreItem xmlns:ds="http://schemas.openxmlformats.org/officeDocument/2006/customXml" ds:itemID="{5F18C834-3634-4E4E-9093-BCE054A0C0E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67D02-8A5C-434A-875C-E39B3C61D888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3431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Oncor 101525</cp:lastModifiedBy>
  <cp:revision>4</cp:revision>
  <cp:lastPrinted>2013-11-15T22:11:00Z</cp:lastPrinted>
  <dcterms:created xsi:type="dcterms:W3CDTF">2025-10-15T17:42:00Z</dcterms:created>
  <dcterms:modified xsi:type="dcterms:W3CDTF">2025-10-15T17:43:00Z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docIndexRef">
    <vt:lpwstr>05af6e5d-bf07-4db2-827d-cd7f8d9693ac</vt:lpwstr>
  </property>
  <property fmtid="{D5CDD505-2E9C-101B-9397-08002B2CF9AE}" pid="10" name="bjSaver">
    <vt:lpwstr>3qtA003UrYNliLaaNVOLQFGmCbE1DNdr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policy="e9c0b8d7-bdb4-4fd3-b62a-f50327aaefce" origin="userSelected" xmlns="http://www.boldonj</vt:lpwstr>
  </property>
  <property fmtid="{D5CDD505-2E9C-101B-9397-08002B2CF9AE}" pid="12" name="bjDocumentLabelXML-0">
    <vt:lpwstr>ames.com/2008/01/sie/internal/label"&gt;&lt;element uid="c5f8eb12-5b27-439d-aaa6-3402af626fa3" value="" /&gt;&lt;element uid="d14f5c36-f44a-4315-b438-005cfe8f069f" value="" /&gt;&lt;/sisl&gt;</vt:lpwstr>
  </property>
  <property fmtid="{D5CDD505-2E9C-101B-9397-08002B2CF9AE}" pid="13" name="bjDocumentSecurityLabel">
    <vt:lpwstr>AEP Public</vt:lpwstr>
  </property>
  <property fmtid="{D5CDD505-2E9C-101B-9397-08002B2CF9AE}" pid="14" name="MSIP_Label_5c34e43d-0b77-4b2c-b224-1b46981ccfdb_SiteId">
    <vt:lpwstr>15f3c881-6b03-4ff6-8559-77bf5177818f</vt:lpwstr>
  </property>
  <property fmtid="{D5CDD505-2E9C-101B-9397-08002B2CF9AE}" pid="15" name="MSIP_Label_5c34e43d-0b77-4b2c-b224-1b46981ccfdb_Name">
    <vt:lpwstr>AEP Public</vt:lpwstr>
  </property>
  <property fmtid="{D5CDD505-2E9C-101B-9397-08002B2CF9AE}" pid="16" name="MSIP_Label_5c34e43d-0b77-4b2c-b224-1b46981ccfdb_Enabled">
    <vt:lpwstr>true</vt:lpwstr>
  </property>
  <property fmtid="{D5CDD505-2E9C-101B-9397-08002B2CF9AE}" pid="17" name="bjClsUserRVM">
    <vt:lpwstr>[]</vt:lpwstr>
  </property>
  <property fmtid="{D5CDD505-2E9C-101B-9397-08002B2CF9AE}" pid="18" name="bjLabelHistoryID">
    <vt:lpwstr>{40C67D02-8A5C-434A-875C-E39B3C61D888}</vt:lpwstr>
  </property>
  <property fmtid="{D5CDD505-2E9C-101B-9397-08002B2CF9AE}" pid="19" name="MSIP_Label_e3ac3a1a-de19-428b-b395-6d250d7743fb_Enabled">
    <vt:lpwstr>true</vt:lpwstr>
  </property>
  <property fmtid="{D5CDD505-2E9C-101B-9397-08002B2CF9AE}" pid="20" name="MSIP_Label_e3ac3a1a-de19-428b-b395-6d250d7743fb_SetDate">
    <vt:lpwstr>2025-10-14T19:19:05Z</vt:lpwstr>
  </property>
  <property fmtid="{D5CDD505-2E9C-101B-9397-08002B2CF9AE}" pid="21" name="MSIP_Label_e3ac3a1a-de19-428b-b395-6d250d7743fb_Method">
    <vt:lpwstr>Standard</vt:lpwstr>
  </property>
  <property fmtid="{D5CDD505-2E9C-101B-9397-08002B2CF9AE}" pid="22" name="MSIP_Label_e3ac3a1a-de19-428b-b395-6d250d7743fb_Name">
    <vt:lpwstr>Internal Use Only</vt:lpwstr>
  </property>
  <property fmtid="{D5CDD505-2E9C-101B-9397-08002B2CF9AE}" pid="23" name="MSIP_Label_e3ac3a1a-de19-428b-b395-6d250d7743fb_SiteId">
    <vt:lpwstr>88cc5fd7-fd78-44b6-ad75-b6915088974f</vt:lpwstr>
  </property>
  <property fmtid="{D5CDD505-2E9C-101B-9397-08002B2CF9AE}" pid="24" name="MSIP_Label_e3ac3a1a-de19-428b-b395-6d250d7743fb_ActionId">
    <vt:lpwstr>99cb08ac-012e-4312-9ff6-c0c0ade5875a</vt:lpwstr>
  </property>
  <property fmtid="{D5CDD505-2E9C-101B-9397-08002B2CF9AE}" pid="25" name="MSIP_Label_e3ac3a1a-de19-428b-b395-6d250d7743fb_ContentBits">
    <vt:lpwstr>0</vt:lpwstr>
  </property>
  <property fmtid="{D5CDD505-2E9C-101B-9397-08002B2CF9AE}" pid="26" name="MSIP_Label_e3ac3a1a-de19-428b-b395-6d250d7743fb_Tag">
    <vt:lpwstr>10, 3, 0, 1</vt:lpwstr>
  </property>
</Properties>
</file>