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260"/>
        <w:gridCol w:w="900"/>
        <w:gridCol w:w="6660"/>
      </w:tblGrid>
      <w:tr w:rsidR="00152993" w14:paraId="490DF14C" w14:textId="77777777"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5845A7" w14:textId="77777777" w:rsidR="00152993" w:rsidRDefault="00EE6681">
            <w:pPr>
              <w:pStyle w:val="Header"/>
              <w:rPr>
                <w:rFonts w:ascii="Verdana" w:hAnsi="Verdana"/>
                <w:sz w:val="22"/>
              </w:rPr>
            </w:pPr>
            <w:r>
              <w:t>N</w:t>
            </w:r>
            <w:r w:rsidR="00152993">
              <w:t>PRR Number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074EAEA" w14:textId="6B39CA19" w:rsidR="00152993" w:rsidRDefault="00B812A2">
            <w:pPr>
              <w:pStyle w:val="Header"/>
            </w:pPr>
            <w:hyperlink r:id="rId8" w:history="1">
              <w:r w:rsidR="007018D4" w:rsidRPr="00B812A2">
                <w:rPr>
                  <w:rStyle w:val="Hyperlink"/>
                </w:rPr>
                <w:t>12</w:t>
              </w:r>
              <w:r w:rsidR="001C24B4" w:rsidRPr="00B812A2">
                <w:rPr>
                  <w:rStyle w:val="Hyperlink"/>
                </w:rPr>
                <w:t>96</w:t>
              </w:r>
            </w:hyperlink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64E548" w14:textId="77777777" w:rsidR="00152993" w:rsidRDefault="00EE6681">
            <w:pPr>
              <w:pStyle w:val="Header"/>
            </w:pPr>
            <w:r>
              <w:t>N</w:t>
            </w:r>
            <w:r w:rsidR="00152993">
              <w:t>PRR Title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29BCBF91" w14:textId="140FC5D5" w:rsidR="00152993" w:rsidRDefault="00DA789F">
            <w:pPr>
              <w:pStyle w:val="Header"/>
            </w:pPr>
            <w:r w:rsidRPr="00DA789F">
              <w:t>Residential Demand Response Program</w:t>
            </w:r>
          </w:p>
        </w:tc>
      </w:tr>
      <w:tr w:rsidR="00152993" w14:paraId="4CE03059" w14:textId="77777777">
        <w:trPr>
          <w:trHeight w:val="413"/>
        </w:trPr>
        <w:tc>
          <w:tcPr>
            <w:tcW w:w="28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EEBF5C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00298" w14:textId="77777777" w:rsidR="00152993" w:rsidRDefault="00152993">
            <w:pPr>
              <w:pStyle w:val="NormalArial"/>
            </w:pPr>
          </w:p>
        </w:tc>
      </w:tr>
      <w:tr w:rsidR="00152993" w14:paraId="094D0E7D" w14:textId="77777777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A9D6" w14:textId="77777777" w:rsidR="00152993" w:rsidRDefault="00152993">
            <w:pPr>
              <w:pStyle w:val="Header"/>
            </w:pPr>
            <w:r>
              <w:t>Date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675D" w14:textId="4A760DD6" w:rsidR="00152993" w:rsidRDefault="0032739F">
            <w:pPr>
              <w:pStyle w:val="NormalArial"/>
            </w:pPr>
            <w:r>
              <w:t xml:space="preserve">September 26, </w:t>
            </w:r>
            <w:r w:rsidR="004E65BA">
              <w:t>202</w:t>
            </w:r>
            <w:r w:rsidR="00DA789F">
              <w:t>5</w:t>
            </w:r>
          </w:p>
        </w:tc>
      </w:tr>
      <w:tr w:rsidR="00152993" w14:paraId="26F0CB85" w14:textId="77777777">
        <w:trPr>
          <w:trHeight w:val="467"/>
        </w:trPr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31919F" w14:textId="77777777" w:rsidR="00152993" w:rsidRDefault="00152993">
            <w:pPr>
              <w:pStyle w:val="NormalArial"/>
            </w:pPr>
          </w:p>
        </w:tc>
        <w:tc>
          <w:tcPr>
            <w:tcW w:w="7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C7427" w14:textId="77777777" w:rsidR="00152993" w:rsidRDefault="00152993">
            <w:pPr>
              <w:pStyle w:val="NormalArial"/>
            </w:pPr>
          </w:p>
        </w:tc>
      </w:tr>
      <w:tr w:rsidR="00152993" w14:paraId="1DE825C1" w14:textId="77777777">
        <w:trPr>
          <w:trHeight w:val="440"/>
        </w:trPr>
        <w:tc>
          <w:tcPr>
            <w:tcW w:w="10440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BC6E80" w14:textId="77777777" w:rsidR="00152993" w:rsidRDefault="00152993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152993" w14:paraId="15315FD9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6DFD1D53" w14:textId="77777777" w:rsidR="00152993" w:rsidRPr="00EC55B3" w:rsidRDefault="00152993" w:rsidP="00EC55B3">
            <w:pPr>
              <w:pStyle w:val="Header"/>
            </w:pPr>
            <w:r w:rsidRPr="00EC55B3">
              <w:t>Name</w:t>
            </w:r>
          </w:p>
        </w:tc>
        <w:tc>
          <w:tcPr>
            <w:tcW w:w="7560" w:type="dxa"/>
            <w:gridSpan w:val="2"/>
            <w:vAlign w:val="center"/>
          </w:tcPr>
          <w:p w14:paraId="225AEC8B" w14:textId="102EE321" w:rsidR="00152993" w:rsidRDefault="004E65BA">
            <w:pPr>
              <w:pStyle w:val="NormalArial"/>
            </w:pPr>
            <w:r>
              <w:t>Bill Barnes</w:t>
            </w:r>
          </w:p>
        </w:tc>
      </w:tr>
      <w:tr w:rsidR="00152993" w14:paraId="3A5DA2E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236C906" w14:textId="77777777" w:rsidR="00152993" w:rsidRPr="00EC55B3" w:rsidRDefault="00152993" w:rsidP="00EC55B3">
            <w:pPr>
              <w:pStyle w:val="Header"/>
            </w:pPr>
            <w:r w:rsidRPr="00EC55B3">
              <w:t>E-mail Address</w:t>
            </w:r>
          </w:p>
        </w:tc>
        <w:tc>
          <w:tcPr>
            <w:tcW w:w="7560" w:type="dxa"/>
            <w:gridSpan w:val="2"/>
            <w:vAlign w:val="center"/>
          </w:tcPr>
          <w:p w14:paraId="2ACA9FB5" w14:textId="61F276DD" w:rsidR="00152993" w:rsidRDefault="003F059D">
            <w:pPr>
              <w:pStyle w:val="NormalArial"/>
            </w:pPr>
            <w:hyperlink r:id="rId9" w:history="1">
              <w:r w:rsidRPr="00A55F57">
                <w:rPr>
                  <w:rStyle w:val="Hyperlink"/>
                </w:rPr>
                <w:t>bill.barnes@nrg.com</w:t>
              </w:r>
            </w:hyperlink>
          </w:p>
        </w:tc>
      </w:tr>
      <w:tr w:rsidR="00152993" w14:paraId="5B613505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353EF140" w14:textId="77777777" w:rsidR="00152993" w:rsidRPr="00EC55B3" w:rsidRDefault="00152993" w:rsidP="00EC55B3">
            <w:pPr>
              <w:pStyle w:val="Header"/>
            </w:pPr>
            <w:r w:rsidRPr="00EC55B3">
              <w:t>Company</w:t>
            </w:r>
          </w:p>
        </w:tc>
        <w:tc>
          <w:tcPr>
            <w:tcW w:w="7560" w:type="dxa"/>
            <w:gridSpan w:val="2"/>
            <w:vAlign w:val="center"/>
          </w:tcPr>
          <w:p w14:paraId="4AB9F7B8" w14:textId="408D52F5" w:rsidR="00152993" w:rsidRDefault="004E65BA">
            <w:pPr>
              <w:pStyle w:val="NormalArial"/>
            </w:pPr>
            <w:r>
              <w:t>Reliant Energy Retail Services LLC (Reliant)</w:t>
            </w:r>
          </w:p>
        </w:tc>
      </w:tr>
      <w:tr w:rsidR="00152993" w14:paraId="3A607E1C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B3BDF3A" w14:textId="77777777" w:rsidR="00152993" w:rsidRPr="00EC55B3" w:rsidRDefault="00152993" w:rsidP="00EC55B3">
            <w:pPr>
              <w:pStyle w:val="Header"/>
            </w:pPr>
            <w:r w:rsidRPr="00EC55B3">
              <w:t>Phone Number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02EF88D1" w14:textId="77777777" w:rsidR="00152993" w:rsidRDefault="004E65BA">
            <w:pPr>
              <w:pStyle w:val="NormalArial"/>
            </w:pPr>
            <w:r>
              <w:t>512-691-6137</w:t>
            </w:r>
          </w:p>
        </w:tc>
      </w:tr>
      <w:tr w:rsidR="00152993" w14:paraId="32592C20" w14:textId="77777777">
        <w:trPr>
          <w:trHeight w:val="350"/>
        </w:trPr>
        <w:tc>
          <w:tcPr>
            <w:tcW w:w="2880" w:type="dxa"/>
            <w:gridSpan w:val="2"/>
            <w:shd w:val="clear" w:color="auto" w:fill="FFFFFF"/>
            <w:vAlign w:val="center"/>
          </w:tcPr>
          <w:p w14:paraId="22D2DD41" w14:textId="77777777" w:rsidR="00152993" w:rsidRPr="00EC55B3" w:rsidRDefault="00075A94" w:rsidP="00EC55B3">
            <w:pPr>
              <w:pStyle w:val="Header"/>
            </w:pPr>
            <w:r>
              <w:t>Cell</w:t>
            </w:r>
            <w:r w:rsidRPr="00EC55B3">
              <w:t xml:space="preserve"> </w:t>
            </w:r>
            <w:r w:rsidR="00152993" w:rsidRPr="00EC55B3">
              <w:t>Number</w:t>
            </w:r>
          </w:p>
        </w:tc>
        <w:tc>
          <w:tcPr>
            <w:tcW w:w="7560" w:type="dxa"/>
            <w:gridSpan w:val="2"/>
            <w:vAlign w:val="center"/>
          </w:tcPr>
          <w:p w14:paraId="0E7ED25E" w14:textId="77777777" w:rsidR="00152993" w:rsidRDefault="004E65BA">
            <w:pPr>
              <w:pStyle w:val="NormalArial"/>
            </w:pPr>
            <w:r>
              <w:t>315-885-5925</w:t>
            </w:r>
          </w:p>
        </w:tc>
      </w:tr>
      <w:tr w:rsidR="00075A94" w14:paraId="4C9A1008" w14:textId="77777777">
        <w:trPr>
          <w:trHeight w:val="350"/>
        </w:trPr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1FEA882" w14:textId="77777777" w:rsidR="00075A94" w:rsidRPr="00EC55B3" w:rsidDel="00075A94" w:rsidRDefault="00075A94" w:rsidP="00EC55B3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gridSpan w:val="2"/>
            <w:tcBorders>
              <w:bottom w:val="single" w:sz="4" w:space="0" w:color="auto"/>
            </w:tcBorders>
            <w:vAlign w:val="center"/>
          </w:tcPr>
          <w:p w14:paraId="419357BF" w14:textId="6E7BDD01" w:rsidR="00075A94" w:rsidRDefault="004E65BA">
            <w:pPr>
              <w:pStyle w:val="NormalArial"/>
            </w:pPr>
            <w:r>
              <w:t>I</w:t>
            </w:r>
            <w:r w:rsidR="00DA789F">
              <w:t>ndependent Retail Electric Provider (IREP)</w:t>
            </w:r>
          </w:p>
        </w:tc>
      </w:tr>
    </w:tbl>
    <w:p w14:paraId="559C1689" w14:textId="77777777" w:rsidR="00075A94" w:rsidRDefault="00075A94">
      <w:pPr>
        <w:pStyle w:val="NormalArial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5A94" w:rsidRPr="00B5080A" w14:paraId="49530B63" w14:textId="77777777" w:rsidTr="0032739F">
        <w:trPr>
          <w:trHeight w:val="422"/>
          <w:jc w:val="center"/>
        </w:trPr>
        <w:tc>
          <w:tcPr>
            <w:tcW w:w="10440" w:type="dxa"/>
            <w:vAlign w:val="center"/>
          </w:tcPr>
          <w:p w14:paraId="60196560" w14:textId="77777777" w:rsidR="00075A94" w:rsidRPr="00075A94" w:rsidRDefault="00075A94" w:rsidP="00B5080A">
            <w:pPr>
              <w:pStyle w:val="Header"/>
              <w:jc w:val="center"/>
            </w:pPr>
            <w:r w:rsidRPr="00075A94">
              <w:t>Comments</w:t>
            </w:r>
          </w:p>
        </w:tc>
      </w:tr>
    </w:tbl>
    <w:p w14:paraId="18F87E20" w14:textId="006D24DE" w:rsidR="00521D38" w:rsidRDefault="00521D38" w:rsidP="0032739F">
      <w:pPr>
        <w:pStyle w:val="NormalArial"/>
        <w:spacing w:before="120" w:after="120"/>
      </w:pPr>
      <w:r>
        <w:t>Reliant appreciate</w:t>
      </w:r>
      <w:r w:rsidR="004A1433">
        <w:t>s</w:t>
      </w:r>
      <w:r>
        <w:t xml:space="preserve"> </w:t>
      </w:r>
      <w:r w:rsidR="00C60568">
        <w:t>the</w:t>
      </w:r>
      <w:r>
        <w:t xml:space="preserve"> opportunity to provide </w:t>
      </w:r>
      <w:r w:rsidR="00AC025B">
        <w:t>these comments</w:t>
      </w:r>
      <w:r>
        <w:t xml:space="preserve"> on </w:t>
      </w:r>
      <w:r w:rsidR="008C3D8B">
        <w:t>Nodal Protocol Revision Request (NPRR</w:t>
      </w:r>
      <w:r w:rsidR="00B812A2">
        <w:t xml:space="preserve">) </w:t>
      </w:r>
      <w:r w:rsidR="00FB286E">
        <w:t>1296</w:t>
      </w:r>
      <w:r w:rsidR="00ED2809">
        <w:t>,</w:t>
      </w:r>
      <w:r w:rsidR="008C3D8B">
        <w:t xml:space="preserve"> </w:t>
      </w:r>
      <w:r w:rsidR="00FB286E">
        <w:t>which implements</w:t>
      </w:r>
      <w:r w:rsidR="003C4812">
        <w:t xml:space="preserve"> </w:t>
      </w:r>
      <w:r>
        <w:t>ERCOT’s proposed Residential Demand Response Program</w:t>
      </w:r>
      <w:r w:rsidR="00C5401B">
        <w:t>.</w:t>
      </w:r>
      <w:r w:rsidR="00FB286E">
        <w:t xml:space="preserve"> </w:t>
      </w:r>
      <w:r w:rsidR="00B812A2">
        <w:t xml:space="preserve"> </w:t>
      </w:r>
      <w:r w:rsidR="00C60A57">
        <w:t>ERCOT held two different workshops in May and June of 2025</w:t>
      </w:r>
      <w:r w:rsidR="00CE7018">
        <w:t xml:space="preserve"> to </w:t>
      </w:r>
      <w:proofErr w:type="gramStart"/>
      <w:r w:rsidR="00CE7018">
        <w:t>take</w:t>
      </w:r>
      <w:proofErr w:type="gramEnd"/>
      <w:r w:rsidR="00CE7018">
        <w:t xml:space="preserve"> feedback from stakeholders</w:t>
      </w:r>
      <w:r w:rsidR="0095202E">
        <w:t>. T</w:t>
      </w:r>
      <w:r w:rsidR="00CE7018">
        <w:t>hese comments</w:t>
      </w:r>
      <w:r w:rsidR="003A5C5F">
        <w:t xml:space="preserve"> reiterate some of the points </w:t>
      </w:r>
      <w:r w:rsidR="00E721AD">
        <w:t>discussed</w:t>
      </w:r>
      <w:r w:rsidR="003A5C5F">
        <w:t xml:space="preserve"> during those</w:t>
      </w:r>
      <w:r w:rsidR="00573AA9">
        <w:t xml:space="preserve"> workshops</w:t>
      </w:r>
      <w:r w:rsidR="00E65CA7">
        <w:t>, suggest potential modifications to the program structure to address concerns voiced b</w:t>
      </w:r>
      <w:r w:rsidR="0095202E">
        <w:t>y stakeholders, and</w:t>
      </w:r>
      <w:r w:rsidR="00D14869">
        <w:t xml:space="preserve"> pre</w:t>
      </w:r>
      <w:r w:rsidR="00B72A38">
        <w:t>view</w:t>
      </w:r>
      <w:r w:rsidR="00C05D2C">
        <w:t xml:space="preserve"> a study by the Brattle Group</w:t>
      </w:r>
      <w:r w:rsidR="004765E1">
        <w:t xml:space="preserve"> sp</w:t>
      </w:r>
      <w:r w:rsidR="008809FA">
        <w:t>onsored by Google and Reliant</w:t>
      </w:r>
      <w:r w:rsidR="00C05D2C">
        <w:t xml:space="preserve"> outlining the benefits of </w:t>
      </w:r>
      <w:r w:rsidR="007708CB">
        <w:t xml:space="preserve">growing residential </w:t>
      </w:r>
      <w:r w:rsidR="00B812A2">
        <w:t>D</w:t>
      </w:r>
      <w:r w:rsidR="007708CB">
        <w:t xml:space="preserve">emand response </w:t>
      </w:r>
      <w:r w:rsidR="00C05D2C">
        <w:t>th</w:t>
      </w:r>
      <w:r w:rsidR="007708CB">
        <w:t>rough</w:t>
      </w:r>
      <w:r w:rsidR="00C05D2C">
        <w:t xml:space="preserve"> program</w:t>
      </w:r>
      <w:r w:rsidR="007708CB">
        <w:t>s such as this</w:t>
      </w:r>
      <w:r w:rsidR="00573AA9">
        <w:t>.</w:t>
      </w:r>
      <w:r>
        <w:t xml:space="preserve"> </w:t>
      </w:r>
      <w:r w:rsidR="00B812A2">
        <w:t xml:space="preserve"> </w:t>
      </w:r>
      <w:r w:rsidR="00770425">
        <w:t>Reliant</w:t>
      </w:r>
      <w:r>
        <w:t xml:space="preserve"> strongly support</w:t>
      </w:r>
      <w:r w:rsidR="00770425">
        <w:t>s</w:t>
      </w:r>
      <w:r>
        <w:t xml:space="preserve"> ERCOT’s efforts to develop </w:t>
      </w:r>
      <w:r w:rsidR="00083D37">
        <w:t xml:space="preserve">a </w:t>
      </w:r>
      <w:r w:rsidR="00154511">
        <w:t>program</w:t>
      </w:r>
      <w:r w:rsidR="00083D37">
        <w:t xml:space="preserve"> to</w:t>
      </w:r>
      <w:r w:rsidR="00E72217">
        <w:t xml:space="preserve"> </w:t>
      </w:r>
      <w:r w:rsidR="001F1168">
        <w:t xml:space="preserve">support </w:t>
      </w:r>
      <w:r w:rsidR="00B812A2">
        <w:t>D</w:t>
      </w:r>
      <w:r w:rsidR="001F1168">
        <w:t>emand</w:t>
      </w:r>
      <w:r>
        <w:t xml:space="preserve"> response </w:t>
      </w:r>
      <w:r w:rsidR="000303A0">
        <w:t>products</w:t>
      </w:r>
      <w:r w:rsidR="00CE231A">
        <w:t xml:space="preserve"> and services</w:t>
      </w:r>
      <w:r w:rsidR="000303A0">
        <w:t xml:space="preserve"> </w:t>
      </w:r>
      <w:r>
        <w:t>for residential customers</w:t>
      </w:r>
      <w:r w:rsidR="0058426D">
        <w:t xml:space="preserve"> </w:t>
      </w:r>
      <w:r w:rsidR="005D6DB0">
        <w:t xml:space="preserve">offered </w:t>
      </w:r>
      <w:r w:rsidR="0058426D">
        <w:t xml:space="preserve">by their </w:t>
      </w:r>
      <w:r w:rsidR="0055685E">
        <w:t>R</w:t>
      </w:r>
      <w:r w:rsidR="0058426D">
        <w:t xml:space="preserve">etail </w:t>
      </w:r>
      <w:r w:rsidR="0055685E">
        <w:t>E</w:t>
      </w:r>
      <w:r w:rsidR="0058426D">
        <w:t xml:space="preserve">lectric </w:t>
      </w:r>
      <w:r w:rsidR="0055685E">
        <w:t>P</w:t>
      </w:r>
      <w:r w:rsidR="0058426D">
        <w:t>roviders (REPs)</w:t>
      </w:r>
      <w:r>
        <w:t>.</w:t>
      </w:r>
      <w:r w:rsidR="007A734D">
        <w:t xml:space="preserve"> </w:t>
      </w:r>
      <w:r w:rsidR="00B812A2">
        <w:t xml:space="preserve"> </w:t>
      </w:r>
      <w:r>
        <w:t xml:space="preserve">The competitive retail market holds the most potential to increase residential </w:t>
      </w:r>
      <w:r w:rsidR="00B812A2">
        <w:t>D</w:t>
      </w:r>
      <w:r>
        <w:t>emand response capability, and REP administered programs</w:t>
      </w:r>
      <w:r w:rsidR="00BF3290">
        <w:t xml:space="preserve"> partnering with </w:t>
      </w:r>
      <w:r w:rsidR="00D17B85">
        <w:t xml:space="preserve">home energy </w:t>
      </w:r>
      <w:r w:rsidR="00397DDA">
        <w:t>technology companies</w:t>
      </w:r>
      <w:r>
        <w:t xml:space="preserve"> </w:t>
      </w:r>
      <w:r w:rsidR="00397DDA">
        <w:t>will</w:t>
      </w:r>
      <w:r>
        <w:t xml:space="preserve"> </w:t>
      </w:r>
      <w:r w:rsidR="00801E4E">
        <w:t xml:space="preserve">harness and </w:t>
      </w:r>
      <w:r>
        <w:t xml:space="preserve">maximize this potential </w:t>
      </w:r>
      <w:r w:rsidR="00D26E23">
        <w:t xml:space="preserve">and </w:t>
      </w:r>
      <w:r>
        <w:t xml:space="preserve">should be the </w:t>
      </w:r>
      <w:r w:rsidR="00D26E23">
        <w:t>model</w:t>
      </w:r>
      <w:r>
        <w:t xml:space="preserve"> </w:t>
      </w:r>
      <w:r w:rsidR="0087653B">
        <w:t>for</w:t>
      </w:r>
      <w:r>
        <w:t xml:space="preserve"> how to grow demand response in ERCOT. </w:t>
      </w:r>
      <w:r w:rsidR="00B812A2">
        <w:t xml:space="preserve"> </w:t>
      </w:r>
      <w:r>
        <w:t>REPs are certificated and regulated by the Public Utility Commission of Texas (PUCT), which ensures sufficient customer protection</w:t>
      </w:r>
      <w:r w:rsidR="00193C19">
        <w:t xml:space="preserve"> and </w:t>
      </w:r>
      <w:r w:rsidR="00F44FE3">
        <w:t xml:space="preserve">product </w:t>
      </w:r>
      <w:r w:rsidR="00193C19">
        <w:t>disclosure</w:t>
      </w:r>
      <w:r w:rsidR="003D667C">
        <w:t xml:space="preserve"> requirements</w:t>
      </w:r>
      <w:r>
        <w:t xml:space="preserve"> will be followed in implementing ERCOT’s program.</w:t>
      </w:r>
    </w:p>
    <w:p w14:paraId="658FE2CC" w14:textId="25F77D96" w:rsidR="00430DF4" w:rsidRDefault="00C60E01" w:rsidP="0032739F">
      <w:pPr>
        <w:pStyle w:val="NormalArial"/>
        <w:spacing w:before="120" w:after="120"/>
      </w:pPr>
      <w:r>
        <w:t>T</w:t>
      </w:r>
      <w:r w:rsidR="00521D38">
        <w:t xml:space="preserve">he focus of </w:t>
      </w:r>
      <w:r w:rsidR="00B812A2">
        <w:t>D</w:t>
      </w:r>
      <w:r w:rsidR="00521D38">
        <w:t xml:space="preserve">emand response </w:t>
      </w:r>
      <w:r w:rsidR="00FC51AB">
        <w:t xml:space="preserve">products and </w:t>
      </w:r>
      <w:r w:rsidR="004D0E77">
        <w:t xml:space="preserve">services </w:t>
      </w:r>
      <w:r w:rsidR="00521D38">
        <w:t>developed at ERCOT historically ha</w:t>
      </w:r>
      <w:r w:rsidR="00FC51AB">
        <w:t>ve</w:t>
      </w:r>
      <w:r w:rsidR="00521D38">
        <w:t xml:space="preserve"> been to the benefit of mid-to-large commercial and industrial consumers with </w:t>
      </w:r>
      <w:r w:rsidR="00B34DE9">
        <w:t xml:space="preserve">services </w:t>
      </w:r>
      <w:r w:rsidR="00521D38">
        <w:t>such as Emergency Response Service (ERS)</w:t>
      </w:r>
      <w:r w:rsidR="00833A83">
        <w:rPr>
          <w:rStyle w:val="FootnoteReference"/>
        </w:rPr>
        <w:footnoteReference w:id="1"/>
      </w:r>
      <w:r w:rsidR="00521D38">
        <w:t xml:space="preserve"> and participation in </w:t>
      </w:r>
      <w:r w:rsidR="00B812A2">
        <w:t>A</w:t>
      </w:r>
      <w:r w:rsidR="00521D38">
        <w:t xml:space="preserve">ncillary </w:t>
      </w:r>
      <w:r w:rsidR="00B812A2">
        <w:t>S</w:t>
      </w:r>
      <w:r w:rsidR="00521D38">
        <w:t>ervice products for Load Resources</w:t>
      </w:r>
      <w:r w:rsidR="00A75C5C">
        <w:t xml:space="preserve"> th</w:t>
      </w:r>
      <w:r w:rsidR="00946F27">
        <w:t>r</w:t>
      </w:r>
      <w:r w:rsidR="00A75C5C">
        <w:t>ough both</w:t>
      </w:r>
      <w:r w:rsidR="006A34CF">
        <w:t xml:space="preserve"> </w:t>
      </w:r>
      <w:r w:rsidR="00B812A2">
        <w:t>n</w:t>
      </w:r>
      <w:r w:rsidR="006A34CF">
        <w:t>on-Controllable Load Resources (</w:t>
      </w:r>
      <w:r w:rsidR="00B812A2">
        <w:t>“</w:t>
      </w:r>
      <w:r w:rsidR="006A34CF">
        <w:t>NCLRs</w:t>
      </w:r>
      <w:r w:rsidR="00B812A2">
        <w:t>”</w:t>
      </w:r>
      <w:r w:rsidR="006A34CF">
        <w:t>) and Controllable Load Resources (CLRs)</w:t>
      </w:r>
      <w:r w:rsidR="00521D38">
        <w:t xml:space="preserve">. </w:t>
      </w:r>
      <w:r w:rsidR="00B812A2">
        <w:t xml:space="preserve"> </w:t>
      </w:r>
      <w:r w:rsidR="00521D38">
        <w:t xml:space="preserve">Load Resources can now provide </w:t>
      </w:r>
      <w:r w:rsidR="00C05358">
        <w:lastRenderedPageBreak/>
        <w:t>Regulation Service (CLRs</w:t>
      </w:r>
      <w:r w:rsidR="00994A89">
        <w:t xml:space="preserve"> only</w:t>
      </w:r>
      <w:r w:rsidR="00C05358">
        <w:t xml:space="preserve">), </w:t>
      </w:r>
      <w:r w:rsidR="00521D38">
        <w:t xml:space="preserve">Responsive Reserve </w:t>
      </w:r>
      <w:r w:rsidR="00EC41EB">
        <w:t>(RRS),</w:t>
      </w:r>
      <w:r w:rsidR="00521D38">
        <w:t xml:space="preserve"> ERCOT Contingency Reserve Service</w:t>
      </w:r>
      <w:r w:rsidR="00EC41EB">
        <w:t xml:space="preserve"> (ECRS)</w:t>
      </w:r>
      <w:r w:rsidR="00521D38">
        <w:t xml:space="preserve">, and Non-Spinning Reserve </w:t>
      </w:r>
      <w:r w:rsidR="00EC41EB">
        <w:t>(Non-Spin)</w:t>
      </w:r>
      <w:r w:rsidR="00521D38">
        <w:t xml:space="preserve">. </w:t>
      </w:r>
      <w:r w:rsidR="00EC41EB">
        <w:t xml:space="preserve"> </w:t>
      </w:r>
      <w:r w:rsidR="0006726B">
        <w:t>Along similar lines, the</w:t>
      </w:r>
      <w:r w:rsidR="00521D38">
        <w:t xml:space="preserve"> largest driver for </w:t>
      </w:r>
      <w:r w:rsidR="00EC41EB">
        <w:t>D</w:t>
      </w:r>
      <w:r w:rsidR="00521D38">
        <w:t xml:space="preserve">emand response in the ERCOT region </w:t>
      </w:r>
      <w:r w:rsidR="00FC6A16">
        <w:t>has historically been</w:t>
      </w:r>
      <w:r w:rsidR="00521D38">
        <w:t xml:space="preserve"> the 4</w:t>
      </w:r>
      <w:r w:rsidR="00EC41EB">
        <w:t>-</w:t>
      </w:r>
      <w:r w:rsidR="00521D38">
        <w:t>Coincident Peak (4</w:t>
      </w:r>
      <w:r w:rsidR="00EC41EB">
        <w:t>-</w:t>
      </w:r>
      <w:r w:rsidR="00521D38">
        <w:t>CP) transmission cost allocation mechanism, which</w:t>
      </w:r>
      <w:r w:rsidR="00EB5A0B">
        <w:t xml:space="preserve"> </w:t>
      </w:r>
      <w:r w:rsidR="00D94897">
        <w:t>provides strong economic incentives</w:t>
      </w:r>
      <w:r w:rsidR="00521D38">
        <w:t xml:space="preserve"> to larger commercial and industrial consumers in the competitive service territories </w:t>
      </w:r>
      <w:r w:rsidR="00A157C7">
        <w:t>and</w:t>
      </w:r>
      <w:r w:rsidR="00521D38">
        <w:t xml:space="preserve"> Non-Opt-In Entities (NOIEs).</w:t>
      </w:r>
      <w:r w:rsidR="00EC41EB">
        <w:t xml:space="preserve"> </w:t>
      </w:r>
      <w:r w:rsidR="00764646">
        <w:t xml:space="preserve"> While the PUCT is currently </w:t>
      </w:r>
      <w:r w:rsidR="00420A10">
        <w:t>evaluating the merits of</w:t>
      </w:r>
      <w:r w:rsidR="00262AD2">
        <w:t xml:space="preserve"> 4</w:t>
      </w:r>
      <w:r w:rsidR="00EC41EB">
        <w:t>-</w:t>
      </w:r>
      <w:r w:rsidR="00262AD2">
        <w:t>CP, it is not clear</w:t>
      </w:r>
      <w:r w:rsidR="0011479C">
        <w:t xml:space="preserve"> what the outcome of that evaluation will be.</w:t>
      </w:r>
      <w:r w:rsidR="00420A10">
        <w:rPr>
          <w:rStyle w:val="FootnoteReference"/>
        </w:rPr>
        <w:footnoteReference w:id="2"/>
      </w:r>
      <w:r w:rsidR="00257D46">
        <w:t xml:space="preserve"> </w:t>
      </w:r>
      <w:r w:rsidR="00EC41EB">
        <w:t xml:space="preserve"> </w:t>
      </w:r>
      <w:r w:rsidR="005C77FE">
        <w:t>And m</w:t>
      </w:r>
      <w:r w:rsidR="00257D46">
        <w:t>id</w:t>
      </w:r>
      <w:r w:rsidR="00C665FF">
        <w:t>-</w:t>
      </w:r>
      <w:r w:rsidR="00A02BD7">
        <w:t xml:space="preserve">sized commercial and industrial customers </w:t>
      </w:r>
      <w:r w:rsidR="004A035B">
        <w:t>have</w:t>
      </w:r>
      <w:r w:rsidR="00A02BD7">
        <w:t xml:space="preserve"> also </w:t>
      </w:r>
      <w:r w:rsidR="004A035B">
        <w:t xml:space="preserve">received most of the </w:t>
      </w:r>
      <w:r w:rsidR="00C80A6A">
        <w:t>incentives</w:t>
      </w:r>
      <w:r w:rsidR="002E1CB3">
        <w:t xml:space="preserve"> in the TDU load management programs.</w:t>
      </w:r>
      <w:r w:rsidR="007A2993">
        <w:rPr>
          <w:rStyle w:val="FootnoteReference"/>
        </w:rPr>
        <w:footnoteReference w:id="3"/>
      </w:r>
      <w:r w:rsidR="00521D38">
        <w:t xml:space="preserve"> </w:t>
      </w:r>
    </w:p>
    <w:p w14:paraId="100B3DC3" w14:textId="7D0A2E2E" w:rsidR="00521D38" w:rsidRDefault="00521D38" w:rsidP="0032739F">
      <w:pPr>
        <w:pStyle w:val="NormalArial"/>
        <w:spacing w:before="120" w:after="120"/>
      </w:pPr>
      <w:r>
        <w:t xml:space="preserve">It is therefore long overdue to </w:t>
      </w:r>
      <w:r w:rsidR="00F17EC1">
        <w:t>implement</w:t>
      </w:r>
      <w:r>
        <w:t xml:space="preserve"> </w:t>
      </w:r>
      <w:r w:rsidR="000B6FF3">
        <w:t xml:space="preserve">an ERCOT </w:t>
      </w:r>
      <w:r w:rsidR="00E85967">
        <w:t>program</w:t>
      </w:r>
      <w:r w:rsidR="000B6FF3">
        <w:t xml:space="preserve"> </w:t>
      </w:r>
      <w:r w:rsidR="00271922">
        <w:t xml:space="preserve">focused on </w:t>
      </w:r>
      <w:r w:rsidR="000E5955">
        <w:t xml:space="preserve">residential </w:t>
      </w:r>
      <w:r w:rsidR="00EC41EB">
        <w:t>D</w:t>
      </w:r>
      <w:r w:rsidR="00271922">
        <w:t>emand response in the competitive market</w:t>
      </w:r>
      <w:r>
        <w:t>. Given increased adoption of smart energy devices in the home such as smart thermostats</w:t>
      </w:r>
      <w:r w:rsidR="0039061F">
        <w:t xml:space="preserve"> and home battery systems</w:t>
      </w:r>
      <w:r>
        <w:t>, aggregations of residential customers</w:t>
      </w:r>
      <w:r w:rsidR="003260B3">
        <w:t xml:space="preserve"> through their REPs</w:t>
      </w:r>
      <w:r>
        <w:t xml:space="preserve"> </w:t>
      </w:r>
      <w:r w:rsidR="008767C5">
        <w:t>could</w:t>
      </w:r>
      <w:r>
        <w:t xml:space="preserve"> be meaningful and readily accessible resource</w:t>
      </w:r>
      <w:r w:rsidR="00D72F5B">
        <w:t>s</w:t>
      </w:r>
      <w:r>
        <w:t xml:space="preserve"> in the near term to help address </w:t>
      </w:r>
      <w:r w:rsidR="008767C5">
        <w:t>future</w:t>
      </w:r>
      <w:r w:rsidR="00D72F5B">
        <w:t xml:space="preserve"> </w:t>
      </w:r>
      <w:r>
        <w:t>resource adequacy</w:t>
      </w:r>
      <w:r w:rsidR="00F3650E">
        <w:t xml:space="preserve"> issues</w:t>
      </w:r>
      <w:r>
        <w:t>.</w:t>
      </w:r>
    </w:p>
    <w:p w14:paraId="1A4D14CB" w14:textId="1B3F15A1" w:rsidR="00521D38" w:rsidRDefault="008920DE" w:rsidP="0032739F">
      <w:pPr>
        <w:pStyle w:val="NormalArial"/>
        <w:spacing w:before="120" w:after="120"/>
      </w:pPr>
      <w:r>
        <w:t>Reliant</w:t>
      </w:r>
      <w:r w:rsidR="00521D38">
        <w:t xml:space="preserve"> support</w:t>
      </w:r>
      <w:r>
        <w:t>s</w:t>
      </w:r>
      <w:r w:rsidR="00521D38">
        <w:t xml:space="preserve"> the framework proposed by ERCOT </w:t>
      </w:r>
      <w:r w:rsidR="007F086D">
        <w:t xml:space="preserve">in NPRR1296 </w:t>
      </w:r>
      <w:r w:rsidR="00521D38">
        <w:t>given the desired expediency in implementation</w:t>
      </w:r>
      <w:r w:rsidR="00A918FB">
        <w:t xml:space="preserve">. In particular, </w:t>
      </w:r>
      <w:r w:rsidR="00521D38">
        <w:t xml:space="preserve">the following design </w:t>
      </w:r>
      <w:r w:rsidR="003A0E49">
        <w:t>principles ensure REPs</w:t>
      </w:r>
      <w:r w:rsidR="009D2710">
        <w:t xml:space="preserve"> can maximize participation</w:t>
      </w:r>
      <w:r w:rsidR="00B324EF">
        <w:t>:</w:t>
      </w:r>
    </w:p>
    <w:p w14:paraId="1A237701" w14:textId="78CC4C3A" w:rsidR="00521D38" w:rsidRDefault="00B324EF" w:rsidP="0032739F">
      <w:pPr>
        <w:pStyle w:val="NormalArial"/>
        <w:numPr>
          <w:ilvl w:val="0"/>
          <w:numId w:val="3"/>
        </w:numPr>
        <w:spacing w:before="120" w:after="120"/>
      </w:pPr>
      <w:r w:rsidRPr="00D75A57">
        <w:rPr>
          <w:u w:val="single"/>
        </w:rPr>
        <w:t>Simpl</w:t>
      </w:r>
      <w:r w:rsidR="00E7249F">
        <w:rPr>
          <w:u w:val="single"/>
        </w:rPr>
        <w:t>e</w:t>
      </w:r>
      <w:r w:rsidRPr="00D75A57">
        <w:rPr>
          <w:u w:val="single"/>
        </w:rPr>
        <w:t xml:space="preserve"> and Flexib</w:t>
      </w:r>
      <w:r w:rsidR="00E7249F">
        <w:rPr>
          <w:u w:val="single"/>
        </w:rPr>
        <w:t>le Program Structure</w:t>
      </w:r>
      <w:r>
        <w:t xml:space="preserve"> –</w:t>
      </w:r>
      <w:r w:rsidR="002017D0" w:rsidRPr="002017D0">
        <w:t xml:space="preserve"> </w:t>
      </w:r>
      <w:r w:rsidR="002017D0">
        <w:t xml:space="preserve">To scale up participation as quickly as possible, the program must be simple and flexible to allow REPs to design and market retail products to customers to encourage their participation. </w:t>
      </w:r>
      <w:r w:rsidR="00521D38">
        <w:t xml:space="preserve"> </w:t>
      </w:r>
    </w:p>
    <w:p w14:paraId="5D99313C" w14:textId="0413A59D" w:rsidR="00521D38" w:rsidRDefault="004A4EA8" w:rsidP="0032739F">
      <w:pPr>
        <w:pStyle w:val="NormalArial"/>
        <w:numPr>
          <w:ilvl w:val="0"/>
          <w:numId w:val="3"/>
        </w:numPr>
        <w:spacing w:before="120" w:after="120"/>
      </w:pPr>
      <w:r w:rsidRPr="00AF4A68">
        <w:rPr>
          <w:u w:val="single"/>
        </w:rPr>
        <w:t>Minim</w:t>
      </w:r>
      <w:r w:rsidR="00586C52" w:rsidRPr="00AF4A68">
        <w:rPr>
          <w:u w:val="single"/>
        </w:rPr>
        <w:t>al</w:t>
      </w:r>
      <w:r w:rsidR="00521D38" w:rsidRPr="00AF4A68">
        <w:rPr>
          <w:u w:val="single"/>
        </w:rPr>
        <w:t xml:space="preserve"> </w:t>
      </w:r>
      <w:r w:rsidR="00BE5C6B" w:rsidRPr="00AF4A68">
        <w:rPr>
          <w:u w:val="single"/>
        </w:rPr>
        <w:t>T</w:t>
      </w:r>
      <w:r w:rsidR="00521D38" w:rsidRPr="00AF4A68">
        <w:rPr>
          <w:u w:val="single"/>
        </w:rPr>
        <w:t xml:space="preserve">echnical </w:t>
      </w:r>
      <w:r w:rsidR="00D20684" w:rsidRPr="00AF4A68">
        <w:rPr>
          <w:u w:val="single"/>
        </w:rPr>
        <w:t>C</w:t>
      </w:r>
      <w:r w:rsidR="00521D38" w:rsidRPr="00AF4A68">
        <w:rPr>
          <w:u w:val="single"/>
        </w:rPr>
        <w:t>omplexity</w:t>
      </w:r>
      <w:r w:rsidR="00521D38">
        <w:t xml:space="preserve"> </w:t>
      </w:r>
      <w:r w:rsidR="00D20684">
        <w:t>–</w:t>
      </w:r>
      <w:r w:rsidR="00893AEB">
        <w:t xml:space="preserve"> </w:t>
      </w:r>
      <w:r w:rsidR="006F2AB2">
        <w:t xml:space="preserve">The program design should minimize technical complexity (such as use of telemetry). </w:t>
      </w:r>
    </w:p>
    <w:p w14:paraId="5902BCC3" w14:textId="48F97B2E" w:rsidR="00521D38" w:rsidRDefault="00986C6E" w:rsidP="0032739F">
      <w:pPr>
        <w:pStyle w:val="NormalArial"/>
        <w:numPr>
          <w:ilvl w:val="0"/>
          <w:numId w:val="3"/>
        </w:numPr>
        <w:spacing w:before="120" w:after="120"/>
      </w:pPr>
      <w:r w:rsidRPr="0078173A">
        <w:rPr>
          <w:u w:val="single"/>
        </w:rPr>
        <w:t>Alignment with Times of Greatest Need</w:t>
      </w:r>
      <w:r>
        <w:t xml:space="preserve"> – </w:t>
      </w:r>
      <w:r w:rsidR="00E9538E">
        <w:t xml:space="preserve">Program incentives should be aligned with times of the greatest need to ensure deployment helps address actual </w:t>
      </w:r>
      <w:r w:rsidR="00EC41EB">
        <w:t>R</w:t>
      </w:r>
      <w:r w:rsidR="00E9538E">
        <w:t>esource adequacy needs.</w:t>
      </w:r>
    </w:p>
    <w:p w14:paraId="65A258A5" w14:textId="5D2BE4D4" w:rsidR="00521D38" w:rsidRDefault="008A4D12" w:rsidP="0032739F">
      <w:pPr>
        <w:pStyle w:val="NormalArial"/>
        <w:numPr>
          <w:ilvl w:val="0"/>
          <w:numId w:val="3"/>
        </w:numPr>
        <w:spacing w:before="120" w:after="120"/>
      </w:pPr>
      <w:r w:rsidRPr="0078173A">
        <w:rPr>
          <w:u w:val="single"/>
        </w:rPr>
        <w:t>Reasonable and Equitable Allocation of C</w:t>
      </w:r>
      <w:r w:rsidR="00521D38" w:rsidRPr="0078173A">
        <w:rPr>
          <w:u w:val="single"/>
        </w:rPr>
        <w:t>osts</w:t>
      </w:r>
      <w:r w:rsidR="00521D38">
        <w:t xml:space="preserve"> </w:t>
      </w:r>
      <w:r w:rsidR="00D45757">
        <w:t xml:space="preserve">– </w:t>
      </w:r>
      <w:r w:rsidR="00F1270E">
        <w:t>A</w:t>
      </w:r>
      <w:r w:rsidR="00D45757">
        <w:t xml:space="preserve">llocating </w:t>
      </w:r>
      <w:r w:rsidR="00521D38">
        <w:t xml:space="preserve">costs based on </w:t>
      </w:r>
      <w:r w:rsidR="00EC41EB">
        <w:t>L</w:t>
      </w:r>
      <w:r w:rsidR="00521D38">
        <w:t xml:space="preserve">oad </w:t>
      </w:r>
      <w:r w:rsidR="00EC41EB">
        <w:t>R</w:t>
      </w:r>
      <w:r w:rsidR="00521D38">
        <w:t>atio</w:t>
      </w:r>
      <w:r w:rsidR="00FA1C55">
        <w:t xml:space="preserve"> </w:t>
      </w:r>
      <w:r w:rsidR="00EC41EB">
        <w:t>S</w:t>
      </w:r>
      <w:r w:rsidR="00FA1C55">
        <w:t>hare</w:t>
      </w:r>
      <w:r w:rsidR="00EC41EB">
        <w:t xml:space="preserve"> (LRS)</w:t>
      </w:r>
      <w:r w:rsidR="00D45757">
        <w:t>, as proposed by ERCOT,</w:t>
      </w:r>
      <w:r w:rsidR="00521D38">
        <w:t xml:space="preserve"> </w:t>
      </w:r>
      <w:r w:rsidR="00630CA8">
        <w:t>will result in</w:t>
      </w:r>
      <w:r w:rsidR="00521D38">
        <w:t xml:space="preserve"> reasonable and equitable</w:t>
      </w:r>
      <w:r w:rsidR="009B161E">
        <w:t xml:space="preserve"> </w:t>
      </w:r>
      <w:r w:rsidR="00630CA8">
        <w:t xml:space="preserve">allocation </w:t>
      </w:r>
      <w:r w:rsidR="009B161E">
        <w:t xml:space="preserve">because the program will benefit the ERCOT </w:t>
      </w:r>
      <w:proofErr w:type="gramStart"/>
      <w:r w:rsidR="009B161E">
        <w:t>grid as a whole</w:t>
      </w:r>
      <w:proofErr w:type="gramEnd"/>
      <w:r w:rsidR="00521D38">
        <w:t xml:space="preserve">. </w:t>
      </w:r>
    </w:p>
    <w:p w14:paraId="2B68290E" w14:textId="26553145" w:rsidR="00A63811" w:rsidRDefault="008767C5" w:rsidP="0032739F">
      <w:pPr>
        <w:pStyle w:val="NormalArial"/>
        <w:spacing w:before="120" w:after="120"/>
      </w:pPr>
      <w:r>
        <w:t>Reliant</w:t>
      </w:r>
      <w:r w:rsidR="00521D38">
        <w:t xml:space="preserve"> acknowledge</w:t>
      </w:r>
      <w:r>
        <w:t>s</w:t>
      </w:r>
      <w:r w:rsidR="00521D38">
        <w:t xml:space="preserve"> the concerns expressed at both workshops and in written comments regarding the potential conflict of this program design with the energy-only market and price formation.</w:t>
      </w:r>
      <w:r w:rsidR="00EC41EB">
        <w:t xml:space="preserve"> </w:t>
      </w:r>
      <w:r w:rsidR="00521D38">
        <w:t xml:space="preserve"> As experience has shown since the implementation of the competitive wholesale market in ERCOT, crafting a </w:t>
      </w:r>
      <w:r w:rsidR="00521D38" w:rsidRPr="00C847A1">
        <w:rPr>
          <w:u w:val="single"/>
        </w:rPr>
        <w:t>market solution</w:t>
      </w:r>
      <w:r w:rsidR="00521D38">
        <w:t xml:space="preserve"> that </w:t>
      </w:r>
      <w:r w:rsidR="00454401">
        <w:t xml:space="preserve">solely </w:t>
      </w:r>
      <w:r w:rsidR="00521D38">
        <w:t xml:space="preserve">utilizes energy price formation to </w:t>
      </w:r>
      <w:r w:rsidR="00521D38" w:rsidRPr="00F81911">
        <w:rPr>
          <w:u w:val="single"/>
        </w:rPr>
        <w:t xml:space="preserve">successfully attract </w:t>
      </w:r>
      <w:r w:rsidR="007C3BAA" w:rsidRPr="00F81911">
        <w:rPr>
          <w:u w:val="single"/>
        </w:rPr>
        <w:t xml:space="preserve">sufficient </w:t>
      </w:r>
      <w:r w:rsidR="00521D38" w:rsidRPr="00F81911">
        <w:rPr>
          <w:u w:val="single"/>
        </w:rPr>
        <w:t xml:space="preserve">new </w:t>
      </w:r>
      <w:r w:rsidR="00EC41EB">
        <w:rPr>
          <w:u w:val="single"/>
        </w:rPr>
        <w:t>R</w:t>
      </w:r>
      <w:r w:rsidR="00521D38" w:rsidRPr="00F81911">
        <w:rPr>
          <w:u w:val="single"/>
        </w:rPr>
        <w:t>esou</w:t>
      </w:r>
      <w:r w:rsidR="00521D38" w:rsidRPr="000178BE">
        <w:rPr>
          <w:u w:val="single"/>
        </w:rPr>
        <w:t>rces</w:t>
      </w:r>
      <w:r w:rsidR="00521D38">
        <w:t xml:space="preserve">, including </w:t>
      </w:r>
      <w:r w:rsidR="00EC41EB">
        <w:t>D</w:t>
      </w:r>
      <w:r w:rsidR="00521D38">
        <w:t xml:space="preserve">emand response, on a timeline necessary to avoid grid emergencies (which meets the public’s expectations for reliability) has proven difficult to say the least. </w:t>
      </w:r>
      <w:r w:rsidR="00EC41EB">
        <w:t xml:space="preserve"> </w:t>
      </w:r>
      <w:r w:rsidR="00521D38">
        <w:t xml:space="preserve">Considering the </w:t>
      </w:r>
      <w:r w:rsidR="00521D38">
        <w:lastRenderedPageBreak/>
        <w:t xml:space="preserve">prevalence of price suppressive policies and factors that </w:t>
      </w:r>
      <w:proofErr w:type="gramStart"/>
      <w:r w:rsidR="006B7EB3">
        <w:t>already impact</w:t>
      </w:r>
      <w:proofErr w:type="gramEnd"/>
      <w:r w:rsidR="006B7EB3">
        <w:t xml:space="preserve"> </w:t>
      </w:r>
      <w:r w:rsidR="00521D38">
        <w:t>the ERCOT market</w:t>
      </w:r>
      <w:r w:rsidR="00F01115">
        <w:rPr>
          <w:rStyle w:val="FootnoteReference"/>
        </w:rPr>
        <w:footnoteReference w:id="4"/>
      </w:r>
      <w:r w:rsidR="00F81911">
        <w:t xml:space="preserve"> and </w:t>
      </w:r>
      <w:r w:rsidR="007B1A81">
        <w:t xml:space="preserve">the magnitude of </w:t>
      </w:r>
      <w:r w:rsidR="00EC41EB">
        <w:t>L</w:t>
      </w:r>
      <w:r w:rsidR="007B1A81">
        <w:t>oad growth expected over the next 5 to 10 years</w:t>
      </w:r>
      <w:r w:rsidR="00521D38">
        <w:t xml:space="preserve">, it is time to look </w:t>
      </w:r>
      <w:proofErr w:type="gramStart"/>
      <w:r w:rsidR="00521D38">
        <w:t>to</w:t>
      </w:r>
      <w:proofErr w:type="gramEnd"/>
      <w:r w:rsidR="00521D38">
        <w:t xml:space="preserve"> other options that are more likely to succeed. </w:t>
      </w:r>
      <w:r w:rsidR="00EC41EB">
        <w:t xml:space="preserve"> </w:t>
      </w:r>
      <w:r w:rsidR="00521D38">
        <w:t>That said, further evolution of the program design should be considered to</w:t>
      </w:r>
      <w:r w:rsidR="00234392">
        <w:t xml:space="preserve"> </w:t>
      </w:r>
      <w:r w:rsidR="00521D38">
        <w:t>inc</w:t>
      </w:r>
      <w:r w:rsidR="00DF3308">
        <w:t>lude</w:t>
      </w:r>
      <w:r w:rsidR="00521D38">
        <w:t xml:space="preserve"> market pricing adjustments or </w:t>
      </w:r>
      <w:r w:rsidR="00984E1D">
        <w:t xml:space="preserve">implement </w:t>
      </w:r>
      <w:r w:rsidR="00521D38">
        <w:t xml:space="preserve">other market design improvements to offset price formation impacts from this program and the many others that exist. </w:t>
      </w:r>
      <w:r w:rsidR="00EC41EB">
        <w:t xml:space="preserve"> </w:t>
      </w:r>
      <w:r w:rsidR="003575E8">
        <w:t xml:space="preserve">Reliant suggests </w:t>
      </w:r>
      <w:r w:rsidR="00DF3308">
        <w:t>incorporation</w:t>
      </w:r>
      <w:r w:rsidR="00F76404">
        <w:t xml:space="preserve"> of an ERS-style price adjustment mechanism or transition</w:t>
      </w:r>
      <w:r w:rsidR="003575E8">
        <w:t xml:space="preserve"> of th</w:t>
      </w:r>
      <w:r w:rsidR="004917C6">
        <w:t xml:space="preserve">is program into ERS as </w:t>
      </w:r>
      <w:r w:rsidR="00F55959">
        <w:t>potential long-term solution for</w:t>
      </w:r>
      <w:r w:rsidR="004917C6">
        <w:t xml:space="preserve"> stakeholders to consider.</w:t>
      </w:r>
      <w:r w:rsidR="00EC41EB">
        <w:t xml:space="preserve"> </w:t>
      </w:r>
      <w:r w:rsidR="004917C6">
        <w:t xml:space="preserve"> </w:t>
      </w:r>
      <w:r w:rsidR="008E25D0">
        <w:t>T</w:t>
      </w:r>
      <w:r w:rsidR="007135F1">
        <w:t xml:space="preserve">o address </w:t>
      </w:r>
      <w:r w:rsidR="00F5228C">
        <w:t xml:space="preserve">immediate </w:t>
      </w:r>
      <w:r w:rsidR="007135F1">
        <w:t>concerns with market impacts</w:t>
      </w:r>
      <w:r w:rsidR="00216BFA">
        <w:t xml:space="preserve"> during this initial implementation of the program</w:t>
      </w:r>
      <w:r w:rsidR="007135F1">
        <w:t xml:space="preserve">, </w:t>
      </w:r>
      <w:r w:rsidR="00521D38">
        <w:t>ERCOT included a 500</w:t>
      </w:r>
      <w:r w:rsidR="00EC41EB">
        <w:t xml:space="preserve"> </w:t>
      </w:r>
      <w:r w:rsidR="00521D38">
        <w:t>MW</w:t>
      </w:r>
      <w:r w:rsidR="00E92C91">
        <w:t xml:space="preserve"> (9,000</w:t>
      </w:r>
      <w:r w:rsidR="00EC41EB">
        <w:t xml:space="preserve"> </w:t>
      </w:r>
      <w:r w:rsidR="00E92C91">
        <w:t>MWh</w:t>
      </w:r>
      <w:r w:rsidR="00EC41EB">
        <w:t xml:space="preserve"> </w:t>
      </w:r>
      <w:r w:rsidR="009B18EE">
        <w:t>/</w:t>
      </w:r>
      <w:r w:rsidR="00EC41EB">
        <w:t xml:space="preserve"> </w:t>
      </w:r>
      <w:r w:rsidR="009B18EE">
        <w:t>18</w:t>
      </w:r>
      <w:r w:rsidR="00EC41EB">
        <w:t xml:space="preserve"> </w:t>
      </w:r>
      <w:r w:rsidR="009B18EE">
        <w:t>hr)</w:t>
      </w:r>
      <w:r w:rsidR="008E25D0">
        <w:t xml:space="preserve"> cap</w:t>
      </w:r>
      <w:r w:rsidR="00521D38">
        <w:t xml:space="preserve"> on the compensation mechanism.</w:t>
      </w:r>
      <w:r w:rsidR="00A63811">
        <w:rPr>
          <w:rStyle w:val="FootnoteReference"/>
        </w:rPr>
        <w:footnoteReference w:id="5"/>
      </w:r>
      <w:r w:rsidR="00521D38">
        <w:t xml:space="preserve"> </w:t>
      </w:r>
    </w:p>
    <w:p w14:paraId="5FE93196" w14:textId="7FDDC7F4" w:rsidR="00521D38" w:rsidRDefault="00521D38" w:rsidP="0032739F">
      <w:pPr>
        <w:pStyle w:val="NormalArial"/>
        <w:spacing w:before="120" w:after="120"/>
      </w:pPr>
      <w:r>
        <w:t xml:space="preserve">ERCOT </w:t>
      </w:r>
      <w:r w:rsidR="00A54EEE">
        <w:t xml:space="preserve">and stakeholders </w:t>
      </w:r>
      <w:r>
        <w:t xml:space="preserve">should be more concerned about the </w:t>
      </w:r>
      <w:r w:rsidR="006103FE">
        <w:t xml:space="preserve">potential for </w:t>
      </w:r>
      <w:r w:rsidR="00D51C33">
        <w:t>significant</w:t>
      </w:r>
      <w:r w:rsidR="00F0616F">
        <w:t xml:space="preserve"> </w:t>
      </w:r>
      <w:r w:rsidR="00EC41EB">
        <w:t>L</w:t>
      </w:r>
      <w:r>
        <w:t>oad growth in the coming years than pricing impacts from this program.</w:t>
      </w:r>
      <w:r w:rsidR="0003403C">
        <w:t xml:space="preserve"> </w:t>
      </w:r>
      <w:r w:rsidR="00EC41EB">
        <w:t xml:space="preserve"> </w:t>
      </w:r>
      <w:r>
        <w:t xml:space="preserve">ERCOT’s </w:t>
      </w:r>
      <w:r w:rsidR="00EC41EB">
        <w:t>a</w:t>
      </w:r>
      <w:r>
        <w:t xml:space="preserve">djusted Load </w:t>
      </w:r>
      <w:r w:rsidR="00EC41EB">
        <w:t>f</w:t>
      </w:r>
      <w:r>
        <w:t xml:space="preserve">orecast recently approved by the Commission estimates a peak </w:t>
      </w:r>
      <w:r w:rsidR="00927543">
        <w:t>D</w:t>
      </w:r>
      <w:r>
        <w:t>emand of 150</w:t>
      </w:r>
      <w:r w:rsidR="00927543">
        <w:t xml:space="preserve"> </w:t>
      </w:r>
      <w:r>
        <w:t>GW in 2031</w:t>
      </w:r>
      <w:r w:rsidR="00325523">
        <w:t>,</w:t>
      </w:r>
      <w:r w:rsidR="00325523">
        <w:rPr>
          <w:rStyle w:val="FootnoteReference"/>
        </w:rPr>
        <w:footnoteReference w:id="6"/>
      </w:r>
      <w:r>
        <w:t xml:space="preserve"> which equates to over 64</w:t>
      </w:r>
      <w:r w:rsidR="00927543">
        <w:t xml:space="preserve"> </w:t>
      </w:r>
      <w:r>
        <w:t xml:space="preserve">GW of </w:t>
      </w:r>
      <w:r w:rsidR="00927543">
        <w:t>L</w:t>
      </w:r>
      <w:r>
        <w:t xml:space="preserve">oad growth compared to the current peak </w:t>
      </w:r>
      <w:r w:rsidR="00927543">
        <w:t>D</w:t>
      </w:r>
      <w:r>
        <w:t>emand record (85.5</w:t>
      </w:r>
      <w:r w:rsidR="00927543">
        <w:t xml:space="preserve"> </w:t>
      </w:r>
      <w:r>
        <w:t>GW),</w:t>
      </w:r>
      <w:r w:rsidR="00355BB7">
        <w:rPr>
          <w:rStyle w:val="FootnoteReference"/>
        </w:rPr>
        <w:footnoteReference w:id="7"/>
      </w:r>
      <w:r>
        <w:t xml:space="preserve"> or </w:t>
      </w:r>
      <w:r w:rsidR="0093214B">
        <w:t xml:space="preserve">over </w:t>
      </w:r>
      <w:r w:rsidR="008C7B3E">
        <w:t>10</w:t>
      </w:r>
      <w:r>
        <w:t>,000</w:t>
      </w:r>
      <w:r w:rsidR="00927543">
        <w:t xml:space="preserve"> </w:t>
      </w:r>
      <w:r>
        <w:t xml:space="preserve">MW of </w:t>
      </w:r>
      <w:r w:rsidR="00927543">
        <w:t>L</w:t>
      </w:r>
      <w:r>
        <w:t xml:space="preserve">oad growth per year through 2031. </w:t>
      </w:r>
      <w:r w:rsidR="00927543">
        <w:t xml:space="preserve"> </w:t>
      </w:r>
      <w:r w:rsidR="009B7E73">
        <w:t xml:space="preserve">A conservative estimate of </w:t>
      </w:r>
      <w:r w:rsidR="00927543">
        <w:t>L</w:t>
      </w:r>
      <w:r w:rsidR="009B7E73">
        <w:t xml:space="preserve">oad growth </w:t>
      </w:r>
      <w:r w:rsidR="0024137A">
        <w:t>consider</w:t>
      </w:r>
      <w:r w:rsidR="00DA74C5">
        <w:t>ing</w:t>
      </w:r>
      <w:r w:rsidR="0024137A">
        <w:t xml:space="preserve"> only the </w:t>
      </w:r>
      <w:r w:rsidR="00927543">
        <w:t>L</w:t>
      </w:r>
      <w:r w:rsidR="0024137A">
        <w:t xml:space="preserve">arge </w:t>
      </w:r>
      <w:r w:rsidR="00927543">
        <w:t>L</w:t>
      </w:r>
      <w:r w:rsidR="0024137A">
        <w:t>oads that have approved</w:t>
      </w:r>
      <w:r w:rsidR="00F62B74">
        <w:t xml:space="preserve"> planning studies</w:t>
      </w:r>
      <w:r w:rsidR="00226416">
        <w:t xml:space="preserve"> </w:t>
      </w:r>
      <w:r w:rsidR="008D46B8">
        <w:t>plus those that</w:t>
      </w:r>
      <w:r w:rsidR="00226416">
        <w:t xml:space="preserve"> </w:t>
      </w:r>
      <w:r w:rsidR="00BC52FA">
        <w:t xml:space="preserve">have been </w:t>
      </w:r>
      <w:r w:rsidR="00226416">
        <w:t>approved to energize</w:t>
      </w:r>
      <w:r w:rsidR="00F62B74">
        <w:t xml:space="preserve"> </w:t>
      </w:r>
      <w:r w:rsidR="00C2170D">
        <w:t>represent</w:t>
      </w:r>
      <w:r w:rsidR="00D41208">
        <w:t>s</w:t>
      </w:r>
      <w:r w:rsidR="004B6FDD">
        <w:t xml:space="preserve"> gr</w:t>
      </w:r>
      <w:r w:rsidR="009B0702">
        <w:t>owth of over 20</w:t>
      </w:r>
      <w:r w:rsidR="00927543">
        <w:t xml:space="preserve"> </w:t>
      </w:r>
      <w:r w:rsidR="009B0702">
        <w:t>GW through 2030 or</w:t>
      </w:r>
      <w:r w:rsidR="00C2170D">
        <w:t xml:space="preserve"> 4,000</w:t>
      </w:r>
      <w:r w:rsidR="00927543">
        <w:t xml:space="preserve"> </w:t>
      </w:r>
      <w:r w:rsidR="00C2170D">
        <w:t>MW per year.</w:t>
      </w:r>
      <w:r w:rsidR="00B76E5C">
        <w:rPr>
          <w:rStyle w:val="FootnoteReference"/>
        </w:rPr>
        <w:footnoteReference w:id="8"/>
      </w:r>
      <w:r w:rsidR="009B0702">
        <w:t xml:space="preserve"> </w:t>
      </w:r>
      <w:r w:rsidR="00927543">
        <w:t xml:space="preserve"> </w:t>
      </w:r>
      <w:r>
        <w:t xml:space="preserve">When facing this amount of </w:t>
      </w:r>
      <w:r w:rsidR="00927543">
        <w:t>L</w:t>
      </w:r>
      <w:r>
        <w:t xml:space="preserve">oad growth </w:t>
      </w:r>
      <w:r w:rsidR="00627171">
        <w:t>(</w:t>
      </w:r>
      <w:r>
        <w:t>or even a fraction of it</w:t>
      </w:r>
      <w:r w:rsidR="00627171">
        <w:t>)</w:t>
      </w:r>
      <w:r>
        <w:t xml:space="preserve">, worrying about energy price impacts from a </w:t>
      </w:r>
      <w:r w:rsidR="000F33C2">
        <w:t>very</w:t>
      </w:r>
      <w:r>
        <w:t xml:space="preserve"> modest amount of residential </w:t>
      </w:r>
      <w:r w:rsidR="00927543">
        <w:t>D</w:t>
      </w:r>
      <w:r>
        <w:t>emand response</w:t>
      </w:r>
      <w:r w:rsidR="00113108">
        <w:t>, while ignoring</w:t>
      </w:r>
      <w:r w:rsidR="00666B32">
        <w:t xml:space="preserve"> </w:t>
      </w:r>
      <w:r w:rsidR="00DA4AFA">
        <w:t>the long list of other factors that</w:t>
      </w:r>
      <w:r w:rsidR="00627171">
        <w:t xml:space="preserve"> undermine price formation in the energy market,</w:t>
      </w:r>
      <w:r>
        <w:t xml:space="preserve"> is misguided. </w:t>
      </w:r>
      <w:r w:rsidR="00927543">
        <w:t xml:space="preserve"> </w:t>
      </w:r>
      <w:r w:rsidR="009F61CF">
        <w:t>T</w:t>
      </w:r>
      <w:r w:rsidR="00352161">
        <w:t>here are very few resources available to the ERCOT market</w:t>
      </w:r>
      <w:r w:rsidR="00C5179D">
        <w:t xml:space="preserve"> that can respond in this </w:t>
      </w:r>
      <w:r w:rsidR="003731D0">
        <w:t>near term (</w:t>
      </w:r>
      <w:r w:rsidR="00C5179D">
        <w:t>3</w:t>
      </w:r>
      <w:r w:rsidR="00EB5F07">
        <w:t xml:space="preserve"> </w:t>
      </w:r>
      <w:r w:rsidR="00C5179D">
        <w:t>to</w:t>
      </w:r>
      <w:r w:rsidR="00EB5F07">
        <w:t xml:space="preserve"> </w:t>
      </w:r>
      <w:r w:rsidR="009228AB">
        <w:t>5</w:t>
      </w:r>
      <w:r w:rsidR="00EB5F07">
        <w:t xml:space="preserve"> </w:t>
      </w:r>
      <w:r w:rsidR="009228AB">
        <w:t>year</w:t>
      </w:r>
      <w:r w:rsidR="003731D0">
        <w:t>)</w:t>
      </w:r>
      <w:r w:rsidR="00C5179D">
        <w:t xml:space="preserve"> horizon</w:t>
      </w:r>
      <w:r w:rsidR="0004638E">
        <w:t xml:space="preserve">, other than residential </w:t>
      </w:r>
      <w:r w:rsidR="00927543">
        <w:t>D</w:t>
      </w:r>
      <w:r w:rsidR="0004638E">
        <w:t>emand response,</w:t>
      </w:r>
      <w:r w:rsidR="009F61CF">
        <w:t xml:space="preserve"> and Reliant would rather have tools in place</w:t>
      </w:r>
      <w:r w:rsidR="0038660B">
        <w:t xml:space="preserve"> when they are needed</w:t>
      </w:r>
      <w:r w:rsidR="00401817">
        <w:t xml:space="preserve"> than wait for a reliability crisis to occur</w:t>
      </w:r>
      <w:r w:rsidR="0038660B">
        <w:t>.</w:t>
      </w:r>
    </w:p>
    <w:p w14:paraId="7787E8EC" w14:textId="04D56329" w:rsidR="000A5401" w:rsidRDefault="00521D38" w:rsidP="0032739F">
      <w:pPr>
        <w:pStyle w:val="NormalArial"/>
        <w:spacing w:before="120" w:after="120"/>
      </w:pPr>
      <w:r>
        <w:t xml:space="preserve">When facing this </w:t>
      </w:r>
      <w:r w:rsidR="00D2493D">
        <w:t xml:space="preserve">new </w:t>
      </w:r>
      <w:r>
        <w:t>reality</w:t>
      </w:r>
      <w:r w:rsidR="005110F3">
        <w:t xml:space="preserve"> of </w:t>
      </w:r>
      <w:r w:rsidR="00D2493D">
        <w:t xml:space="preserve">historically </w:t>
      </w:r>
      <w:r w:rsidR="00F43A43">
        <w:t xml:space="preserve">significant </w:t>
      </w:r>
      <w:r w:rsidR="00927543">
        <w:t>L</w:t>
      </w:r>
      <w:r w:rsidR="00D2493D">
        <w:t>oad growth</w:t>
      </w:r>
      <w:r>
        <w:t xml:space="preserve">, </w:t>
      </w:r>
      <w:r w:rsidR="00F43A43">
        <w:t>Reliant</w:t>
      </w:r>
      <w:r>
        <w:t xml:space="preserve"> prefer</w:t>
      </w:r>
      <w:r w:rsidR="00F43A43">
        <w:t>s</w:t>
      </w:r>
      <w:r>
        <w:t xml:space="preserve"> to be pragmatic and </w:t>
      </w:r>
      <w:proofErr w:type="gramStart"/>
      <w:r>
        <w:t>support</w:t>
      </w:r>
      <w:proofErr w:type="gramEnd"/>
      <w:r>
        <w:t xml:space="preserve"> the implementation of ERCOT’s </w:t>
      </w:r>
      <w:r w:rsidR="00927543">
        <w:t>R</w:t>
      </w:r>
      <w:r>
        <w:t xml:space="preserve">esidential </w:t>
      </w:r>
      <w:r w:rsidR="00927543">
        <w:t>D</w:t>
      </w:r>
      <w:r>
        <w:t xml:space="preserve">emand </w:t>
      </w:r>
      <w:r w:rsidR="00927543">
        <w:t>R</w:t>
      </w:r>
      <w:r>
        <w:t>esponse</w:t>
      </w:r>
      <w:r w:rsidR="00927543">
        <w:t xml:space="preserve"> (RDR)</w:t>
      </w:r>
      <w:r>
        <w:t xml:space="preserve"> </w:t>
      </w:r>
      <w:r w:rsidR="00927543">
        <w:t>P</w:t>
      </w:r>
      <w:r>
        <w:t xml:space="preserve">rogram to help address the reliability challenge coming to the ERCOT market. </w:t>
      </w:r>
      <w:r w:rsidR="00927543">
        <w:t xml:space="preserve"> </w:t>
      </w:r>
      <w:r w:rsidR="00C77935">
        <w:t xml:space="preserve">To contribute </w:t>
      </w:r>
      <w:r w:rsidR="00291516">
        <w:t>to a thorough evaluation of the program and its corresponding ben</w:t>
      </w:r>
      <w:r w:rsidR="00826B43">
        <w:t xml:space="preserve">efits, Google and </w:t>
      </w:r>
      <w:r w:rsidR="002A27EE">
        <w:t>Reliant</w:t>
      </w:r>
      <w:r w:rsidR="003B4DC7">
        <w:t xml:space="preserve"> </w:t>
      </w:r>
      <w:r w:rsidR="00030A5C">
        <w:t xml:space="preserve">co-sponsored a study from the Brattle group </w:t>
      </w:r>
      <w:r w:rsidR="00A944D6">
        <w:t>outlining</w:t>
      </w:r>
      <w:r w:rsidR="00030A5C">
        <w:t xml:space="preserve"> the benefits of </w:t>
      </w:r>
      <w:r w:rsidR="00030A5C">
        <w:lastRenderedPageBreak/>
        <w:t xml:space="preserve">growing residential </w:t>
      </w:r>
      <w:r w:rsidR="00927543">
        <w:t>D</w:t>
      </w:r>
      <w:r w:rsidR="00030A5C">
        <w:t>emand response</w:t>
      </w:r>
      <w:r w:rsidR="00654C79">
        <w:t xml:space="preserve"> and how this program supports that goal. The full study is still in development </w:t>
      </w:r>
      <w:r w:rsidR="00BD5DC9">
        <w:t>and will be released in the coming weeks for stakeholder review</w:t>
      </w:r>
      <w:r w:rsidR="002D075C">
        <w:t>, however, a</w:t>
      </w:r>
      <w:r w:rsidR="000B09C0">
        <w:t xml:space="preserve"> summary of</w:t>
      </w:r>
      <w:r w:rsidR="00B559CF">
        <w:t xml:space="preserve"> the conclusions of the study is provided below as a preview.</w:t>
      </w:r>
      <w:r w:rsidR="002D075C">
        <w:t xml:space="preserve"> </w:t>
      </w:r>
      <w:r w:rsidR="000C706C">
        <w:t xml:space="preserve">In conclusion, </w:t>
      </w:r>
      <w:r w:rsidR="00FB7512">
        <w:t>Reliant</w:t>
      </w:r>
      <w:r>
        <w:t xml:space="preserve"> see</w:t>
      </w:r>
      <w:r w:rsidR="00FB7512">
        <w:t>s</w:t>
      </w:r>
      <w:r>
        <w:t xml:space="preserve"> great potential in residential </w:t>
      </w:r>
      <w:r w:rsidR="00927543">
        <w:t>D</w:t>
      </w:r>
      <w:r>
        <w:t>emand response and encourage</w:t>
      </w:r>
      <w:r w:rsidR="00264D70">
        <w:t>s</w:t>
      </w:r>
      <w:r>
        <w:t xml:space="preserve"> stakeholders to </w:t>
      </w:r>
      <w:r w:rsidR="00BE6784">
        <w:t xml:space="preserve">support this </w:t>
      </w:r>
      <w:r w:rsidR="00206E24">
        <w:t>program</w:t>
      </w:r>
      <w:r w:rsidR="007C1FE1">
        <w:t>, or modification of it,</w:t>
      </w:r>
      <w:r w:rsidR="00206E24">
        <w:t xml:space="preserve"> as an </w:t>
      </w:r>
      <w:r w:rsidR="00BE6784">
        <w:t>incremental step</w:t>
      </w:r>
      <w:r w:rsidR="00656DFD">
        <w:t xml:space="preserve"> forward</w:t>
      </w:r>
      <w:r w:rsidR="00BE6784">
        <w:t xml:space="preserve"> </w:t>
      </w:r>
      <w:r w:rsidR="00206E24">
        <w:t xml:space="preserve">in growing </w:t>
      </w:r>
      <w:r w:rsidR="00656DFD">
        <w:t xml:space="preserve">the </w:t>
      </w:r>
      <w:r w:rsidR="00206E24">
        <w:t xml:space="preserve">participation </w:t>
      </w:r>
      <w:r w:rsidR="00656DFD">
        <w:t>of</w:t>
      </w:r>
      <w:r w:rsidR="00206E24">
        <w:t xml:space="preserve"> residential consumers in the ERCOT market. </w:t>
      </w:r>
    </w:p>
    <w:p w14:paraId="72FAC995" w14:textId="071829EE" w:rsidR="000A5401" w:rsidRPr="002D075C" w:rsidRDefault="00283D9E" w:rsidP="0032739F">
      <w:pPr>
        <w:pStyle w:val="NormalArial"/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Preview</w:t>
      </w:r>
      <w:r w:rsidR="000A5401" w:rsidRPr="002D075C">
        <w:rPr>
          <w:b/>
          <w:bCs/>
          <w:u w:val="single"/>
        </w:rPr>
        <w:t xml:space="preserve"> of Brattle </w:t>
      </w:r>
      <w:r w:rsidR="007C1FE1" w:rsidRPr="002D075C">
        <w:rPr>
          <w:b/>
          <w:bCs/>
          <w:u w:val="single"/>
        </w:rPr>
        <w:t>Study on ERCOT Residential Demand Response Program</w:t>
      </w:r>
    </w:p>
    <w:p w14:paraId="4BDBBCDA" w14:textId="7CBFE0AB" w:rsidR="0032739F" w:rsidRDefault="004379D6" w:rsidP="0032739F">
      <w:pPr>
        <w:pStyle w:val="NormalArial"/>
        <w:spacing w:before="120" w:after="120"/>
      </w:pPr>
      <w:r>
        <w:t xml:space="preserve">The </w:t>
      </w:r>
      <w:r w:rsidR="00BA18F3" w:rsidRPr="00BA18F3">
        <w:t xml:space="preserve">Brattle study looks at the value that REPs will be able to realize if the RDR Program is implemented, and how that </w:t>
      </w:r>
      <w:r w:rsidR="00BB4E47">
        <w:t xml:space="preserve">could </w:t>
      </w:r>
      <w:r w:rsidR="00BA18F3" w:rsidRPr="00BA18F3">
        <w:t xml:space="preserve">affect customer adoption. </w:t>
      </w:r>
      <w:r w:rsidR="00927543">
        <w:t xml:space="preserve"> </w:t>
      </w:r>
      <w:r w:rsidR="00BA18F3" w:rsidRPr="00BA18F3">
        <w:t xml:space="preserve">Brattle preliminarily estimates that the RDR Program could </w:t>
      </w:r>
      <w:r w:rsidR="00EA44BD">
        <w:t>roughly double</w:t>
      </w:r>
      <w:r w:rsidR="00650DF6">
        <w:t xml:space="preserve"> the existing value</w:t>
      </w:r>
      <w:r w:rsidR="00B60242">
        <w:t xml:space="preserve"> </w:t>
      </w:r>
      <w:r w:rsidR="00BA18F3" w:rsidRPr="00BA18F3">
        <w:t>per year per customer.</w:t>
      </w:r>
      <w:r w:rsidR="00927543">
        <w:t xml:space="preserve"> </w:t>
      </w:r>
      <w:r w:rsidR="00CC52E5">
        <w:t xml:space="preserve"> </w:t>
      </w:r>
      <w:r w:rsidR="00BA18F3" w:rsidRPr="00BA18F3">
        <w:t>That increase would augment the business case for REPs to market and gain consent from their customers to install and actively manage smart thermostats during tight system conditions.</w:t>
      </w:r>
      <w:r w:rsidR="00472270">
        <w:t xml:space="preserve"> </w:t>
      </w:r>
      <w:r w:rsidR="00927543">
        <w:t xml:space="preserve"> </w:t>
      </w:r>
      <w:r w:rsidR="00BA18F3" w:rsidRPr="00BA18F3">
        <w:t xml:space="preserve">The same effects </w:t>
      </w:r>
      <w:proofErr w:type="gramStart"/>
      <w:r w:rsidR="00BA18F3" w:rsidRPr="00BA18F3">
        <w:t>would occur,</w:t>
      </w:r>
      <w:proofErr w:type="gramEnd"/>
      <w:r w:rsidR="00BA18F3" w:rsidRPr="00BA18F3">
        <w:t xml:space="preserve"> to varying degrees, for home batteries and electric vehicles as well.</w:t>
      </w:r>
      <w:r w:rsidR="00927543">
        <w:t xml:space="preserve"> </w:t>
      </w:r>
      <w:r w:rsidR="00BA18F3" w:rsidRPr="00BA18F3">
        <w:t xml:space="preserve"> If adopted, this would put the ERCOT REP market at the middle of the range nationally in terms of the compensation available for consumer-side technologies to be engaged in </w:t>
      </w:r>
      <w:r w:rsidR="00927543">
        <w:t>D</w:t>
      </w:r>
      <w:r w:rsidR="00BA18F3" w:rsidRPr="00BA18F3">
        <w:t>emand response, whereas today ERCOT lags substantially behind most other markets studied. As a result, Brattle estimates that the RDR Program would be effective in adding hundreds of megawatts of residential D</w:t>
      </w:r>
      <w:r w:rsidR="00927543">
        <w:t>emand response</w:t>
      </w:r>
      <w:r w:rsidR="00BA18F3" w:rsidRPr="00BA18F3">
        <w:t xml:space="preserve"> capacity to the ERCOT system, likely reaching the program’s proposed cap of 500 MW within a few years.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2739F" w14:paraId="478310A4" w14:textId="77777777" w:rsidTr="001C0FE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E8C2B9" w14:textId="77777777" w:rsidR="0032739F" w:rsidRDefault="0032739F" w:rsidP="001C0FE2">
            <w:pPr>
              <w:pStyle w:val="Header"/>
              <w:jc w:val="center"/>
            </w:pPr>
            <w:r>
              <w:t>Revised Cover Page Language</w:t>
            </w:r>
          </w:p>
        </w:tc>
      </w:tr>
    </w:tbl>
    <w:p w14:paraId="782A8C18" w14:textId="77777777" w:rsidR="0032739F" w:rsidRDefault="0032739F" w:rsidP="0032739F">
      <w:pPr>
        <w:pStyle w:val="NormalArial"/>
        <w:spacing w:before="120" w:after="120"/>
      </w:pPr>
      <w:r>
        <w:t>None</w:t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32739F" w14:paraId="2DA75FB3" w14:textId="77777777" w:rsidTr="001C0FE2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5915D6" w14:textId="77777777" w:rsidR="0032739F" w:rsidRDefault="0032739F" w:rsidP="001C0FE2">
            <w:pPr>
              <w:pStyle w:val="Header"/>
              <w:jc w:val="center"/>
            </w:pPr>
            <w:r>
              <w:t>Revised Proposed Protocol Language</w:t>
            </w:r>
          </w:p>
        </w:tc>
      </w:tr>
    </w:tbl>
    <w:p w14:paraId="3104408A" w14:textId="3FF569D7" w:rsidR="0032739F" w:rsidRDefault="0032739F" w:rsidP="0032739F">
      <w:pPr>
        <w:pStyle w:val="NormalArial"/>
        <w:spacing w:before="120" w:after="120"/>
      </w:pPr>
      <w:r>
        <w:t>None</w:t>
      </w:r>
    </w:p>
    <w:sectPr w:rsidR="0032739F" w:rsidSect="0074209E">
      <w:headerReference w:type="default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408A6" w14:textId="77777777" w:rsidR="00692B26" w:rsidRDefault="00692B26">
      <w:r>
        <w:separator/>
      </w:r>
    </w:p>
  </w:endnote>
  <w:endnote w:type="continuationSeparator" w:id="0">
    <w:p w14:paraId="2AD07022" w14:textId="77777777" w:rsidR="00692B26" w:rsidRDefault="0069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CCE9" w14:textId="000B38E3" w:rsidR="00EE6681" w:rsidRDefault="00604512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FILENAME   \* MERGEFORMAT </w:instrText>
    </w:r>
    <w:r>
      <w:rPr>
        <w:rFonts w:ascii="Arial" w:hAnsi="Arial"/>
        <w:sz w:val="18"/>
      </w:rPr>
      <w:fldChar w:fldCharType="separate"/>
    </w:r>
    <w:r w:rsidR="00B812A2">
      <w:rPr>
        <w:rFonts w:ascii="Arial" w:hAnsi="Arial"/>
        <w:noProof/>
        <w:sz w:val="18"/>
      </w:rPr>
      <w:t>1296NPRR-06 Reliant Comments 092625</w:t>
    </w:r>
    <w:r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ab/>
      <w:t xml:space="preserve">Page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PAGE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  <w:r w:rsidR="00EE6681">
      <w:rPr>
        <w:rFonts w:ascii="Arial" w:hAnsi="Arial"/>
        <w:sz w:val="18"/>
      </w:rPr>
      <w:t xml:space="preserve"> of </w:t>
    </w:r>
    <w:r w:rsidR="00EE6681">
      <w:rPr>
        <w:rFonts w:ascii="Arial" w:hAnsi="Arial"/>
        <w:sz w:val="18"/>
      </w:rPr>
      <w:fldChar w:fldCharType="begin"/>
    </w:r>
    <w:r w:rsidR="00EE6681">
      <w:rPr>
        <w:rFonts w:ascii="Arial" w:hAnsi="Arial"/>
        <w:sz w:val="18"/>
      </w:rPr>
      <w:instrText xml:space="preserve"> NUMPAGES </w:instrText>
    </w:r>
    <w:r w:rsidR="00EE6681">
      <w:rPr>
        <w:rFonts w:ascii="Arial" w:hAnsi="Arial"/>
        <w:sz w:val="18"/>
      </w:rPr>
      <w:fldChar w:fldCharType="separate"/>
    </w:r>
    <w:r>
      <w:rPr>
        <w:rFonts w:ascii="Arial" w:hAnsi="Arial"/>
        <w:noProof/>
        <w:sz w:val="18"/>
      </w:rPr>
      <w:t>1</w:t>
    </w:r>
    <w:r w:rsidR="00EE6681">
      <w:rPr>
        <w:rFonts w:ascii="Arial" w:hAnsi="Arial"/>
        <w:sz w:val="18"/>
      </w:rPr>
      <w:fldChar w:fldCharType="end"/>
    </w:r>
  </w:p>
  <w:p w14:paraId="6FECFF94" w14:textId="77777777" w:rsidR="00EE6681" w:rsidRDefault="00EE6681" w:rsidP="0074209E">
    <w:pPr>
      <w:pStyle w:val="Footer"/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1975B" w14:textId="77777777" w:rsidR="00692B26" w:rsidRDefault="00692B26">
      <w:r>
        <w:separator/>
      </w:r>
    </w:p>
  </w:footnote>
  <w:footnote w:type="continuationSeparator" w:id="0">
    <w:p w14:paraId="45437E95" w14:textId="77777777" w:rsidR="00692B26" w:rsidRDefault="00692B26">
      <w:r>
        <w:continuationSeparator/>
      </w:r>
    </w:p>
  </w:footnote>
  <w:footnote w:id="1">
    <w:p w14:paraId="653A2724" w14:textId="4B2EE0F0" w:rsidR="00833A83" w:rsidRPr="00954F55" w:rsidRDefault="00833A83">
      <w:pPr>
        <w:pStyle w:val="FootnoteText"/>
        <w:rPr>
          <w:rFonts w:ascii="Arial" w:hAnsi="Arial" w:cs="Arial"/>
        </w:rPr>
      </w:pPr>
      <w:r w:rsidRPr="00954F55">
        <w:rPr>
          <w:rStyle w:val="FootnoteReference"/>
          <w:rFonts w:ascii="Arial" w:hAnsi="Arial" w:cs="Arial"/>
        </w:rPr>
        <w:footnoteRef/>
      </w:r>
      <w:r w:rsidRPr="00954F55">
        <w:rPr>
          <w:rFonts w:ascii="Arial" w:hAnsi="Arial" w:cs="Arial"/>
        </w:rPr>
        <w:t xml:space="preserve"> While </w:t>
      </w:r>
      <w:r w:rsidR="00A335C0" w:rsidRPr="00954F55">
        <w:rPr>
          <w:rFonts w:ascii="Arial" w:hAnsi="Arial" w:cs="Arial"/>
        </w:rPr>
        <w:t xml:space="preserve">residential aggregations can participate in Weather Sensitive ERS, the participation has been </w:t>
      </w:r>
      <w:r w:rsidR="00857C4A" w:rsidRPr="00954F55">
        <w:rPr>
          <w:rFonts w:ascii="Arial" w:hAnsi="Arial" w:cs="Arial"/>
        </w:rPr>
        <w:t>low relative to the total ERS procurement amount because the design of the ERS program is not conducive for large</w:t>
      </w:r>
      <w:r w:rsidR="00BD706C" w:rsidRPr="00954F55">
        <w:rPr>
          <w:rFonts w:ascii="Arial" w:hAnsi="Arial" w:cs="Arial"/>
        </w:rPr>
        <w:t xml:space="preserve">r participation by residential aggregations </w:t>
      </w:r>
      <w:r w:rsidR="002D37BA" w:rsidRPr="00954F55">
        <w:rPr>
          <w:rFonts w:ascii="Arial" w:hAnsi="Arial" w:cs="Arial"/>
        </w:rPr>
        <w:t xml:space="preserve">since </w:t>
      </w:r>
      <w:r w:rsidR="003237E7" w:rsidRPr="00954F55">
        <w:rPr>
          <w:rFonts w:ascii="Arial" w:hAnsi="Arial" w:cs="Arial"/>
        </w:rPr>
        <w:t xml:space="preserve">it is difficult for REPs to manage </w:t>
      </w:r>
      <w:r w:rsidR="00416E6E" w:rsidRPr="00954F55">
        <w:rPr>
          <w:rFonts w:ascii="Arial" w:hAnsi="Arial" w:cs="Arial"/>
        </w:rPr>
        <w:t xml:space="preserve">customer enrollments and switching activity </w:t>
      </w:r>
      <w:r w:rsidR="00A4711B" w:rsidRPr="00954F55">
        <w:rPr>
          <w:rFonts w:ascii="Arial" w:hAnsi="Arial" w:cs="Arial"/>
        </w:rPr>
        <w:t>that occurs frequently in the competitive retail market.</w:t>
      </w:r>
    </w:p>
  </w:footnote>
  <w:footnote w:id="2">
    <w:p w14:paraId="3EFD2241" w14:textId="55B7A05C" w:rsidR="00420A10" w:rsidRPr="000D15CE" w:rsidRDefault="00420A10" w:rsidP="00420A10">
      <w:pPr>
        <w:pStyle w:val="FootnoteText"/>
        <w:rPr>
          <w:rFonts w:ascii="Arial" w:hAnsi="Arial" w:cs="Arial"/>
        </w:rPr>
      </w:pPr>
      <w:r w:rsidRPr="00D94897">
        <w:rPr>
          <w:rStyle w:val="FootnoteReference"/>
          <w:rFonts w:ascii="Arial" w:hAnsi="Arial" w:cs="Arial"/>
        </w:rPr>
        <w:footnoteRef/>
      </w:r>
      <w:r w:rsidRPr="000D15CE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Evaluation of Transmission Cost Recovery</w:t>
      </w:r>
      <w:r w:rsidR="004716C8">
        <w:rPr>
          <w:rFonts w:ascii="Arial" w:hAnsi="Arial" w:cs="Arial"/>
        </w:rPr>
        <w:t xml:space="preserve">, </w:t>
      </w:r>
      <w:r w:rsidR="004716C8" w:rsidRPr="000D15CE">
        <w:rPr>
          <w:rFonts w:ascii="Arial" w:hAnsi="Arial" w:cs="Arial"/>
        </w:rPr>
        <w:t>Project No. 58484</w:t>
      </w:r>
      <w:r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>(pending).</w:t>
      </w:r>
    </w:p>
  </w:footnote>
  <w:footnote w:id="3">
    <w:p w14:paraId="70AB6AAB" w14:textId="74C65425" w:rsidR="007A2993" w:rsidRDefault="007A299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7A2993">
          <w:rPr>
            <w:rStyle w:val="Hyperlink"/>
          </w:rPr>
          <w:t>Microsoft Word - 2024 CLM Program Manual 3-28-24</w:t>
        </w:r>
      </w:hyperlink>
      <w:r w:rsidR="00EF2F37">
        <w:t xml:space="preserve">, </w:t>
      </w:r>
      <w:hyperlink r:id="rId2" w:history="1">
        <w:r w:rsidR="00EF2F37" w:rsidRPr="00EF2F37">
          <w:rPr>
            <w:rStyle w:val="Hyperlink"/>
          </w:rPr>
          <w:t>Microsoft Word - PY2025 Summer Res. Load Mgmt Program Manual 3-21-25 jn .docx</w:t>
        </w:r>
      </w:hyperlink>
      <w:r w:rsidR="00DE2F0D">
        <w:t xml:space="preserve">, </w:t>
      </w:r>
      <w:hyperlink r:id="rId3" w:history="1">
        <w:r w:rsidR="00DE2F0D" w:rsidRPr="00DE2F0D">
          <w:rPr>
            <w:rStyle w:val="Hyperlink"/>
          </w:rPr>
          <w:t>2024_R</w:t>
        </w:r>
        <w:r w:rsidR="00DE2F0D" w:rsidRPr="00DE2F0D">
          <w:rPr>
            <w:rStyle w:val="Hyperlink"/>
          </w:rPr>
          <w:t>e</w:t>
        </w:r>
        <w:r w:rsidR="00DE2F0D" w:rsidRPr="00DE2F0D">
          <w:rPr>
            <w:rStyle w:val="Hyperlink"/>
          </w:rPr>
          <w:t>sidential_Load_Management_Guidelines.pdf</w:t>
        </w:r>
      </w:hyperlink>
      <w:r w:rsidR="00D8263A">
        <w:t xml:space="preserve">, </w:t>
      </w:r>
      <w:hyperlink r:id="rId4" w:history="1">
        <w:r w:rsidR="00D8263A" w:rsidRPr="00D8263A">
          <w:rPr>
            <w:rStyle w:val="Hyperlink"/>
          </w:rPr>
          <w:t>CenterPoint Energy AEDO Accreditation</w:t>
        </w:r>
      </w:hyperlink>
    </w:p>
  </w:footnote>
  <w:footnote w:id="4">
    <w:p w14:paraId="09B9372F" w14:textId="2A62AB39" w:rsidR="00F01115" w:rsidRPr="00AF7E1A" w:rsidRDefault="00F01115" w:rsidP="00AF7E1A">
      <w:pPr>
        <w:pStyle w:val="NormalArial"/>
        <w:rPr>
          <w:sz w:val="20"/>
          <w:szCs w:val="20"/>
        </w:rPr>
      </w:pPr>
      <w:r w:rsidRPr="00954F55">
        <w:rPr>
          <w:rStyle w:val="FootnoteReference"/>
          <w:sz w:val="20"/>
          <w:szCs w:val="20"/>
        </w:rPr>
        <w:footnoteRef/>
      </w:r>
      <w:r w:rsidRPr="00954F55">
        <w:rPr>
          <w:sz w:val="20"/>
          <w:szCs w:val="20"/>
        </w:rPr>
        <w:t xml:space="preserve"> Non-comprehensive list of “out of market actions” that impact price formation in ERCOT’s “energy-only” market: </w:t>
      </w:r>
      <w:r w:rsidR="00D101D9" w:rsidRPr="00954F55">
        <w:rPr>
          <w:sz w:val="20"/>
          <w:szCs w:val="20"/>
        </w:rPr>
        <w:t>t</w:t>
      </w:r>
      <w:r w:rsidRPr="00954F55">
        <w:rPr>
          <w:sz w:val="20"/>
          <w:szCs w:val="20"/>
        </w:rPr>
        <w:t xml:space="preserve">ransmission </w:t>
      </w:r>
      <w:r w:rsidR="00D101D9" w:rsidRPr="00954F55">
        <w:rPr>
          <w:sz w:val="20"/>
          <w:szCs w:val="20"/>
        </w:rPr>
        <w:t>c</w:t>
      </w:r>
      <w:r w:rsidRPr="00954F55">
        <w:rPr>
          <w:sz w:val="20"/>
          <w:szCs w:val="20"/>
        </w:rPr>
        <w:t xml:space="preserve">ost </w:t>
      </w:r>
      <w:r w:rsidR="00D101D9" w:rsidRPr="00954F55">
        <w:rPr>
          <w:sz w:val="20"/>
          <w:szCs w:val="20"/>
        </w:rPr>
        <w:t>a</w:t>
      </w:r>
      <w:r w:rsidRPr="00954F55">
        <w:rPr>
          <w:sz w:val="20"/>
          <w:szCs w:val="20"/>
        </w:rPr>
        <w:t xml:space="preserve">llocation and </w:t>
      </w:r>
      <w:r w:rsidR="00D101D9" w:rsidRPr="00954F55">
        <w:rPr>
          <w:sz w:val="20"/>
          <w:szCs w:val="20"/>
        </w:rPr>
        <w:t>r</w:t>
      </w:r>
      <w:r w:rsidRPr="00954F55">
        <w:rPr>
          <w:sz w:val="20"/>
          <w:szCs w:val="20"/>
        </w:rPr>
        <w:t xml:space="preserve">ate </w:t>
      </w:r>
      <w:r w:rsidR="00D101D9" w:rsidRPr="00954F55">
        <w:rPr>
          <w:sz w:val="20"/>
          <w:szCs w:val="20"/>
        </w:rPr>
        <w:t>d</w:t>
      </w:r>
      <w:r w:rsidRPr="00954F55">
        <w:rPr>
          <w:sz w:val="20"/>
          <w:szCs w:val="20"/>
        </w:rPr>
        <w:t xml:space="preserve">esign, </w:t>
      </w:r>
      <w:r w:rsidR="00D101D9" w:rsidRPr="00954F55">
        <w:rPr>
          <w:sz w:val="20"/>
          <w:szCs w:val="20"/>
        </w:rPr>
        <w:t>s</w:t>
      </w:r>
      <w:r w:rsidRPr="00954F55">
        <w:rPr>
          <w:sz w:val="20"/>
          <w:szCs w:val="20"/>
        </w:rPr>
        <w:t>ubs</w:t>
      </w:r>
      <w:r w:rsidR="001B4E0F">
        <w:rPr>
          <w:sz w:val="20"/>
          <w:szCs w:val="20"/>
        </w:rPr>
        <w:t>i</w:t>
      </w:r>
      <w:r w:rsidRPr="00954F55">
        <w:rPr>
          <w:sz w:val="20"/>
          <w:szCs w:val="20"/>
        </w:rPr>
        <w:t xml:space="preserve">dies for </w:t>
      </w:r>
      <w:r w:rsidR="00D101D9" w:rsidRPr="00954F55">
        <w:rPr>
          <w:sz w:val="20"/>
          <w:szCs w:val="20"/>
        </w:rPr>
        <w:t>r</w:t>
      </w:r>
      <w:r w:rsidRPr="00954F55">
        <w:rPr>
          <w:sz w:val="20"/>
          <w:szCs w:val="20"/>
        </w:rPr>
        <w:t xml:space="preserve">enewable </w:t>
      </w:r>
      <w:r w:rsidR="00D101D9" w:rsidRPr="00954F55">
        <w:rPr>
          <w:sz w:val="20"/>
          <w:szCs w:val="20"/>
        </w:rPr>
        <w:t>g</w:t>
      </w:r>
      <w:r w:rsidRPr="00954F55">
        <w:rPr>
          <w:sz w:val="20"/>
          <w:szCs w:val="20"/>
        </w:rPr>
        <w:t xml:space="preserve">eneration, </w:t>
      </w:r>
      <w:r w:rsidR="00D101D9" w:rsidRPr="00954F55">
        <w:rPr>
          <w:sz w:val="20"/>
          <w:szCs w:val="20"/>
        </w:rPr>
        <w:t>s</w:t>
      </w:r>
      <w:r w:rsidRPr="00954F55">
        <w:rPr>
          <w:sz w:val="20"/>
          <w:szCs w:val="20"/>
        </w:rPr>
        <w:t xml:space="preserve">ubsidies for </w:t>
      </w:r>
      <w:r w:rsidR="00D101D9" w:rsidRPr="00954F55">
        <w:rPr>
          <w:sz w:val="20"/>
          <w:szCs w:val="20"/>
        </w:rPr>
        <w:t>e</w:t>
      </w:r>
      <w:r w:rsidRPr="00954F55">
        <w:rPr>
          <w:sz w:val="20"/>
          <w:szCs w:val="20"/>
        </w:rPr>
        <w:t xml:space="preserve">nergy </w:t>
      </w:r>
      <w:r w:rsidR="00D101D9" w:rsidRPr="00954F55">
        <w:rPr>
          <w:sz w:val="20"/>
          <w:szCs w:val="20"/>
        </w:rPr>
        <w:t>s</w:t>
      </w:r>
      <w:r w:rsidRPr="00954F55">
        <w:rPr>
          <w:sz w:val="20"/>
          <w:szCs w:val="20"/>
        </w:rPr>
        <w:t xml:space="preserve">torage </w:t>
      </w:r>
      <w:r w:rsidR="00D101D9" w:rsidRPr="00954F55">
        <w:rPr>
          <w:sz w:val="20"/>
          <w:szCs w:val="20"/>
        </w:rPr>
        <w:t>g</w:t>
      </w:r>
      <w:r w:rsidRPr="00954F55">
        <w:rPr>
          <w:sz w:val="20"/>
          <w:szCs w:val="20"/>
        </w:rPr>
        <w:t>eneration</w:t>
      </w:r>
      <w:r w:rsidR="00524239" w:rsidRPr="00954F55">
        <w:rPr>
          <w:sz w:val="20"/>
          <w:szCs w:val="20"/>
        </w:rPr>
        <w:t xml:space="preserve">, </w:t>
      </w:r>
      <w:r w:rsidR="00D101D9" w:rsidRPr="00954F55">
        <w:rPr>
          <w:sz w:val="20"/>
          <w:szCs w:val="20"/>
        </w:rPr>
        <w:t>s</w:t>
      </w:r>
      <w:r w:rsidRPr="00954F55">
        <w:rPr>
          <w:sz w:val="20"/>
          <w:szCs w:val="20"/>
        </w:rPr>
        <w:t xml:space="preserve">ubsidies for </w:t>
      </w:r>
      <w:r w:rsidR="00D101D9" w:rsidRPr="00954F55">
        <w:rPr>
          <w:sz w:val="20"/>
          <w:szCs w:val="20"/>
        </w:rPr>
        <w:t>t</w:t>
      </w:r>
      <w:r w:rsidRPr="00954F55">
        <w:rPr>
          <w:sz w:val="20"/>
          <w:szCs w:val="20"/>
        </w:rPr>
        <w:t xml:space="preserve">hermal </w:t>
      </w:r>
      <w:r w:rsidR="00D101D9" w:rsidRPr="00954F55">
        <w:rPr>
          <w:sz w:val="20"/>
          <w:szCs w:val="20"/>
        </w:rPr>
        <w:t>g</w:t>
      </w:r>
      <w:r w:rsidRPr="00954F55">
        <w:rPr>
          <w:sz w:val="20"/>
          <w:szCs w:val="20"/>
        </w:rPr>
        <w:t>eneration</w:t>
      </w:r>
      <w:r w:rsidR="00524239" w:rsidRPr="00954F55">
        <w:rPr>
          <w:sz w:val="20"/>
          <w:szCs w:val="20"/>
        </w:rPr>
        <w:t xml:space="preserve">, </w:t>
      </w:r>
      <w:r w:rsidR="00D101D9" w:rsidRPr="00954F55">
        <w:rPr>
          <w:sz w:val="20"/>
          <w:szCs w:val="20"/>
        </w:rPr>
        <w:t>e</w:t>
      </w:r>
      <w:r w:rsidRPr="00954F55">
        <w:rPr>
          <w:sz w:val="20"/>
          <w:szCs w:val="20"/>
        </w:rPr>
        <w:t xml:space="preserve">nergy &amp; </w:t>
      </w:r>
      <w:r w:rsidR="00927543">
        <w:rPr>
          <w:sz w:val="20"/>
          <w:szCs w:val="20"/>
        </w:rPr>
        <w:t>A</w:t>
      </w:r>
      <w:r w:rsidRPr="00954F55">
        <w:rPr>
          <w:sz w:val="20"/>
          <w:szCs w:val="20"/>
        </w:rPr>
        <w:t xml:space="preserve">ncillary </w:t>
      </w:r>
      <w:r w:rsidR="00927543">
        <w:rPr>
          <w:sz w:val="20"/>
          <w:szCs w:val="20"/>
        </w:rPr>
        <w:t>S</w:t>
      </w:r>
      <w:r w:rsidRPr="00954F55">
        <w:rPr>
          <w:sz w:val="20"/>
          <w:szCs w:val="20"/>
        </w:rPr>
        <w:t xml:space="preserve">ervice </w:t>
      </w:r>
      <w:r w:rsidR="00D101D9" w:rsidRPr="00954F55">
        <w:rPr>
          <w:sz w:val="20"/>
          <w:szCs w:val="20"/>
        </w:rPr>
        <w:t>o</w:t>
      </w:r>
      <w:r w:rsidRPr="00954F55">
        <w:rPr>
          <w:sz w:val="20"/>
          <w:szCs w:val="20"/>
        </w:rPr>
        <w:t xml:space="preserve">ffer </w:t>
      </w:r>
      <w:r w:rsidR="00D101D9" w:rsidRPr="00954F55">
        <w:rPr>
          <w:sz w:val="20"/>
          <w:szCs w:val="20"/>
        </w:rPr>
        <w:t>c</w:t>
      </w:r>
      <w:r w:rsidRPr="00954F55">
        <w:rPr>
          <w:sz w:val="20"/>
          <w:szCs w:val="20"/>
        </w:rPr>
        <w:t xml:space="preserve">aps below </w:t>
      </w:r>
      <w:r w:rsidR="00927543">
        <w:rPr>
          <w:sz w:val="20"/>
          <w:szCs w:val="20"/>
        </w:rPr>
        <w:t>V</w:t>
      </w:r>
      <w:r w:rsidR="003F3E8B">
        <w:rPr>
          <w:sz w:val="20"/>
          <w:szCs w:val="20"/>
        </w:rPr>
        <w:t xml:space="preserve">alue of </w:t>
      </w:r>
      <w:r w:rsidR="00927543">
        <w:rPr>
          <w:sz w:val="20"/>
          <w:szCs w:val="20"/>
        </w:rPr>
        <w:t>L</w:t>
      </w:r>
      <w:r w:rsidR="003F3E8B">
        <w:rPr>
          <w:sz w:val="20"/>
          <w:szCs w:val="20"/>
        </w:rPr>
        <w:t xml:space="preserve">ost </w:t>
      </w:r>
      <w:r w:rsidR="00927543">
        <w:rPr>
          <w:sz w:val="20"/>
          <w:szCs w:val="20"/>
        </w:rPr>
        <w:t>L</w:t>
      </w:r>
      <w:r w:rsidR="003F3E8B">
        <w:rPr>
          <w:sz w:val="20"/>
          <w:szCs w:val="20"/>
        </w:rPr>
        <w:t>oad (</w:t>
      </w:r>
      <w:r w:rsidRPr="00954F55">
        <w:rPr>
          <w:sz w:val="20"/>
          <w:szCs w:val="20"/>
        </w:rPr>
        <w:t>VOLL</w:t>
      </w:r>
      <w:r w:rsidR="003F3E8B">
        <w:rPr>
          <w:sz w:val="20"/>
          <w:szCs w:val="20"/>
        </w:rPr>
        <w:t>)</w:t>
      </w:r>
      <w:r w:rsidR="00524239" w:rsidRPr="00954F55">
        <w:rPr>
          <w:sz w:val="20"/>
          <w:szCs w:val="20"/>
        </w:rPr>
        <w:t xml:space="preserve">, </w:t>
      </w:r>
      <w:r w:rsidR="00D101D9" w:rsidRPr="00954F55">
        <w:rPr>
          <w:sz w:val="20"/>
          <w:szCs w:val="20"/>
        </w:rPr>
        <w:t>e</w:t>
      </w:r>
      <w:r w:rsidRPr="00954F55">
        <w:rPr>
          <w:sz w:val="20"/>
          <w:szCs w:val="20"/>
        </w:rPr>
        <w:t xml:space="preserve">nergy </w:t>
      </w:r>
      <w:r w:rsidR="00D101D9" w:rsidRPr="00954F55">
        <w:rPr>
          <w:sz w:val="20"/>
          <w:szCs w:val="20"/>
        </w:rPr>
        <w:t>o</w:t>
      </w:r>
      <w:r w:rsidRPr="00954F55">
        <w:rPr>
          <w:sz w:val="20"/>
          <w:szCs w:val="20"/>
        </w:rPr>
        <w:t xml:space="preserve">ffer </w:t>
      </w:r>
      <w:r w:rsidR="00D101D9" w:rsidRPr="00954F55">
        <w:rPr>
          <w:sz w:val="20"/>
          <w:szCs w:val="20"/>
        </w:rPr>
        <w:t>m</w:t>
      </w:r>
      <w:r w:rsidRPr="00954F55">
        <w:rPr>
          <w:sz w:val="20"/>
          <w:szCs w:val="20"/>
        </w:rPr>
        <w:t>itigation below VOLL</w:t>
      </w:r>
      <w:r w:rsidR="00524239" w:rsidRPr="00954F55">
        <w:rPr>
          <w:sz w:val="20"/>
          <w:szCs w:val="20"/>
        </w:rPr>
        <w:t xml:space="preserve">, </w:t>
      </w:r>
      <w:r w:rsidR="00AB48EC">
        <w:rPr>
          <w:sz w:val="20"/>
          <w:szCs w:val="20"/>
        </w:rPr>
        <w:t xml:space="preserve">socialized line losses, </w:t>
      </w:r>
      <w:r w:rsidR="00D101D9" w:rsidRPr="00954F55">
        <w:rPr>
          <w:sz w:val="20"/>
          <w:szCs w:val="20"/>
        </w:rPr>
        <w:t>s</w:t>
      </w:r>
      <w:r w:rsidRPr="00954F55">
        <w:rPr>
          <w:sz w:val="20"/>
          <w:szCs w:val="20"/>
        </w:rPr>
        <w:t xml:space="preserve">ubsidized </w:t>
      </w:r>
      <w:r w:rsidR="00D101D9" w:rsidRPr="00954F55">
        <w:rPr>
          <w:sz w:val="20"/>
          <w:szCs w:val="20"/>
        </w:rPr>
        <w:t>e</w:t>
      </w:r>
      <w:r w:rsidRPr="00954F55">
        <w:rPr>
          <w:sz w:val="20"/>
          <w:szCs w:val="20"/>
        </w:rPr>
        <w:t xml:space="preserve">nergy </w:t>
      </w:r>
      <w:r w:rsidR="00D101D9" w:rsidRPr="00954F55">
        <w:rPr>
          <w:sz w:val="20"/>
          <w:szCs w:val="20"/>
        </w:rPr>
        <w:t>e</w:t>
      </w:r>
      <w:r w:rsidRPr="00954F55">
        <w:rPr>
          <w:sz w:val="20"/>
          <w:szCs w:val="20"/>
        </w:rPr>
        <w:t xml:space="preserve">fficiency </w:t>
      </w:r>
      <w:r w:rsidR="00D101D9" w:rsidRPr="00954F55">
        <w:rPr>
          <w:sz w:val="20"/>
          <w:szCs w:val="20"/>
        </w:rPr>
        <w:t>p</w:t>
      </w:r>
      <w:r w:rsidRPr="00954F55">
        <w:rPr>
          <w:sz w:val="20"/>
          <w:szCs w:val="20"/>
        </w:rPr>
        <w:t>rograms (TDU, Muni, Coop)</w:t>
      </w:r>
      <w:r w:rsidR="00D101D9" w:rsidRPr="00954F55">
        <w:rPr>
          <w:sz w:val="20"/>
          <w:szCs w:val="20"/>
        </w:rPr>
        <w:t>, s</w:t>
      </w:r>
      <w:r w:rsidRPr="00954F55">
        <w:rPr>
          <w:sz w:val="20"/>
          <w:szCs w:val="20"/>
        </w:rPr>
        <w:t xml:space="preserve">tate and local rebates for HVAC system upgrades (peak </w:t>
      </w:r>
      <w:r w:rsidR="00927543">
        <w:rPr>
          <w:sz w:val="20"/>
          <w:szCs w:val="20"/>
        </w:rPr>
        <w:t>D</w:t>
      </w:r>
      <w:r w:rsidRPr="00954F55">
        <w:rPr>
          <w:sz w:val="20"/>
          <w:szCs w:val="20"/>
        </w:rPr>
        <w:t>emand reduction)</w:t>
      </w:r>
      <w:r w:rsidR="00D101D9" w:rsidRPr="00954F55">
        <w:rPr>
          <w:sz w:val="20"/>
          <w:szCs w:val="20"/>
        </w:rPr>
        <w:t>, c</w:t>
      </w:r>
      <w:r w:rsidRPr="00954F55">
        <w:rPr>
          <w:sz w:val="20"/>
          <w:szCs w:val="20"/>
        </w:rPr>
        <w:t xml:space="preserve">onservation </w:t>
      </w:r>
      <w:r w:rsidR="00D101D9" w:rsidRPr="00954F55">
        <w:rPr>
          <w:sz w:val="20"/>
          <w:szCs w:val="20"/>
        </w:rPr>
        <w:t>a</w:t>
      </w:r>
      <w:r w:rsidRPr="00954F55">
        <w:rPr>
          <w:sz w:val="20"/>
          <w:szCs w:val="20"/>
        </w:rPr>
        <w:t>ppeals</w:t>
      </w:r>
      <w:r w:rsidR="00765A84">
        <w:rPr>
          <w:sz w:val="20"/>
          <w:szCs w:val="20"/>
        </w:rPr>
        <w:t xml:space="preserve">, </w:t>
      </w:r>
      <w:r w:rsidR="003F3E8B">
        <w:rPr>
          <w:sz w:val="20"/>
          <w:szCs w:val="20"/>
        </w:rPr>
        <w:t xml:space="preserve">firm </w:t>
      </w:r>
      <w:r w:rsidR="00927543">
        <w:rPr>
          <w:sz w:val="20"/>
          <w:szCs w:val="20"/>
        </w:rPr>
        <w:t>L</w:t>
      </w:r>
      <w:r w:rsidR="003F3E8B">
        <w:rPr>
          <w:sz w:val="20"/>
          <w:szCs w:val="20"/>
        </w:rPr>
        <w:t xml:space="preserve">oad shed priced below VOLL, </w:t>
      </w:r>
      <w:r w:rsidR="00765A84">
        <w:rPr>
          <w:sz w:val="20"/>
          <w:szCs w:val="20"/>
        </w:rPr>
        <w:t>etc.</w:t>
      </w:r>
      <w:r w:rsidRPr="00954F55">
        <w:rPr>
          <w:sz w:val="20"/>
          <w:szCs w:val="20"/>
        </w:rPr>
        <w:t xml:space="preserve"> </w:t>
      </w:r>
    </w:p>
  </w:footnote>
  <w:footnote w:id="5">
    <w:p w14:paraId="2486D0A6" w14:textId="264F6461" w:rsidR="00A63811" w:rsidRPr="005A1101" w:rsidRDefault="00A63811">
      <w:pPr>
        <w:pStyle w:val="FootnoteText"/>
        <w:rPr>
          <w:rFonts w:ascii="Arial" w:hAnsi="Arial" w:cs="Arial"/>
        </w:rPr>
      </w:pPr>
      <w:r w:rsidRPr="005A1101">
        <w:rPr>
          <w:rStyle w:val="FootnoteReference"/>
          <w:rFonts w:ascii="Arial" w:hAnsi="Arial" w:cs="Arial"/>
        </w:rPr>
        <w:footnoteRef/>
      </w:r>
      <w:r w:rsidRPr="005A1101">
        <w:rPr>
          <w:rFonts w:ascii="Arial" w:hAnsi="Arial" w:cs="Arial"/>
        </w:rPr>
        <w:t xml:space="preserve"> To encourage more robust participation, Reliant recommends a higher cap of 1,000</w:t>
      </w:r>
      <w:r w:rsidR="00927543">
        <w:rPr>
          <w:rFonts w:ascii="Arial" w:hAnsi="Arial" w:cs="Arial"/>
        </w:rPr>
        <w:t xml:space="preserve"> </w:t>
      </w:r>
      <w:r w:rsidRPr="005A1101">
        <w:rPr>
          <w:rFonts w:ascii="Arial" w:hAnsi="Arial" w:cs="Arial"/>
        </w:rPr>
        <w:t>MW in the initial implementation, or an alternative figure based on a cost-benefit analysis with a phased-in approach to a higher cap as the program grows.</w:t>
      </w:r>
    </w:p>
  </w:footnote>
  <w:footnote w:id="6">
    <w:p w14:paraId="40795F81" w14:textId="77777777" w:rsidR="00325523" w:rsidRPr="00A276A0" w:rsidRDefault="00325523" w:rsidP="00325523">
      <w:pPr>
        <w:pStyle w:val="FootnoteText"/>
        <w:rPr>
          <w:rFonts w:ascii="Arial" w:hAnsi="Arial" w:cs="Arial"/>
        </w:rPr>
      </w:pPr>
      <w:r w:rsidRPr="005A1101">
        <w:rPr>
          <w:rStyle w:val="FootnoteReference"/>
          <w:rFonts w:ascii="Arial" w:hAnsi="Arial" w:cs="Arial"/>
        </w:rPr>
        <w:footnoteRef/>
      </w:r>
      <w:r w:rsidRPr="005A1101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Reports of the Electric Reliability Council of Texas</w:t>
      </w:r>
      <w:r>
        <w:rPr>
          <w:rFonts w:ascii="Arial" w:hAnsi="Arial" w:cs="Arial"/>
        </w:rPr>
        <w:t xml:space="preserve">, Project No. 55999, ERCOT’s Revisions to Adjusted Load Forecasts and Amended Draft Proposed Order (Jun. 4, 2025), </w:t>
      </w:r>
      <w:r>
        <w:rPr>
          <w:rFonts w:ascii="Arial" w:hAnsi="Arial" w:cs="Arial"/>
          <w:i/>
          <w:iCs/>
        </w:rPr>
        <w:t xml:space="preserve">available at: </w:t>
      </w:r>
      <w:hyperlink r:id="rId5" w:history="1">
        <w:r w:rsidRPr="005A1101">
          <w:rPr>
            <w:rStyle w:val="Hyperlink"/>
            <w:rFonts w:ascii="Arial" w:hAnsi="Arial" w:cs="Arial"/>
          </w:rPr>
          <w:t>55999_140_1504530.PDF</w:t>
        </w:r>
      </w:hyperlink>
      <w:r w:rsidRPr="00963610">
        <w:rPr>
          <w:rFonts w:ascii="Arial" w:hAnsi="Arial" w:cs="Arial"/>
        </w:rPr>
        <w:t xml:space="preserve">, and Order Granting Good Cause Exception (Jun. 5, 2025), </w:t>
      </w:r>
      <w:r w:rsidRPr="00963610">
        <w:rPr>
          <w:rFonts w:ascii="Arial" w:hAnsi="Arial" w:cs="Arial"/>
          <w:i/>
          <w:iCs/>
        </w:rPr>
        <w:t>available at</w:t>
      </w:r>
      <w:r w:rsidRPr="00963610">
        <w:rPr>
          <w:rFonts w:ascii="Arial" w:hAnsi="Arial" w:cs="Arial"/>
        </w:rPr>
        <w:t xml:space="preserve">: </w:t>
      </w:r>
      <w:hyperlink r:id="rId6" w:history="1">
        <w:r w:rsidRPr="00B43474">
          <w:rPr>
            <w:rStyle w:val="Hyperlink"/>
            <w:rFonts w:ascii="Arial" w:hAnsi="Arial" w:cs="Arial"/>
          </w:rPr>
          <w:t>55999_142_1505244.PDF</w:t>
        </w:r>
      </w:hyperlink>
      <w:r>
        <w:rPr>
          <w:rFonts w:ascii="Arial" w:hAnsi="Arial" w:cs="Arial"/>
        </w:rPr>
        <w:t>.</w:t>
      </w:r>
    </w:p>
  </w:footnote>
  <w:footnote w:id="7">
    <w:p w14:paraId="7198EFDC" w14:textId="4ED59B35" w:rsidR="00355BB7" w:rsidRDefault="00355B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7" w:history="1">
        <w:r w:rsidRPr="00076A34">
          <w:rPr>
            <w:rStyle w:val="Hyperlink"/>
            <w:rFonts w:ascii="Arial" w:hAnsi="Arial" w:cs="Arial"/>
          </w:rPr>
          <w:t>https://www.ercot.com/static-assets/data/news/content/a-peak-demand/records-yearly-archive.htm</w:t>
        </w:r>
      </w:hyperlink>
      <w:r>
        <w:rPr>
          <w:rFonts w:ascii="Arial" w:hAnsi="Arial" w:cs="Arial"/>
        </w:rPr>
        <w:t xml:space="preserve">. </w:t>
      </w:r>
    </w:p>
  </w:footnote>
  <w:footnote w:id="8">
    <w:p w14:paraId="77E625C3" w14:textId="62EE8F40" w:rsidR="00B76E5C" w:rsidRDefault="00B76E5C">
      <w:pPr>
        <w:pStyle w:val="FootnoteText"/>
      </w:pPr>
      <w:r w:rsidRPr="005A1101">
        <w:rPr>
          <w:rStyle w:val="FootnoteReference"/>
          <w:rFonts w:ascii="Arial" w:hAnsi="Arial" w:cs="Arial"/>
        </w:rPr>
        <w:footnoteRef/>
      </w:r>
      <w:r w:rsidRPr="005A1101">
        <w:rPr>
          <w:rFonts w:ascii="Arial" w:hAnsi="Arial" w:cs="Arial"/>
        </w:rPr>
        <w:t xml:space="preserve"> Large Load Interconnection </w:t>
      </w:r>
      <w:r w:rsidR="001B1B8D" w:rsidRPr="005A1101">
        <w:rPr>
          <w:rFonts w:ascii="Arial" w:hAnsi="Arial" w:cs="Arial"/>
        </w:rPr>
        <w:t>Status Update to the August 27</w:t>
      </w:r>
      <w:r w:rsidR="001B1B8D" w:rsidRPr="005A1101">
        <w:rPr>
          <w:rFonts w:ascii="Arial" w:hAnsi="Arial" w:cs="Arial"/>
          <w:vertAlign w:val="superscript"/>
        </w:rPr>
        <w:t>th</w:t>
      </w:r>
      <w:r w:rsidR="001B1B8D" w:rsidRPr="005A1101">
        <w:rPr>
          <w:rFonts w:ascii="Arial" w:hAnsi="Arial" w:cs="Arial"/>
        </w:rPr>
        <w:t>, 2025 Technical Advisory Committee</w:t>
      </w:r>
      <w:r w:rsidR="005A1101" w:rsidRPr="005A1101">
        <w:rPr>
          <w:rFonts w:ascii="Arial" w:hAnsi="Arial" w:cs="Arial"/>
        </w:rPr>
        <w:t xml:space="preserve"> found at: </w:t>
      </w:r>
      <w:hyperlink r:id="rId8" w:history="1">
        <w:r w:rsidR="005A1101" w:rsidRPr="005A1101">
          <w:rPr>
            <w:rStyle w:val="Hyperlink"/>
            <w:rFonts w:ascii="Arial" w:hAnsi="Arial" w:cs="Arial"/>
          </w:rPr>
          <w:t>https://www.ercot.com/files/docs/2025/08/26/13.-LLWG-Report.zip</w:t>
        </w:r>
      </w:hyperlink>
      <w:r w:rsidR="005A1101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4D8A" w14:textId="77777777" w:rsidR="00EE6681" w:rsidRDefault="00EE6681">
    <w:pPr>
      <w:pStyle w:val="Header"/>
      <w:jc w:val="center"/>
      <w:rPr>
        <w:sz w:val="32"/>
      </w:rPr>
    </w:pPr>
    <w:r>
      <w:rPr>
        <w:sz w:val="32"/>
      </w:rPr>
      <w:t>NPRR Comments</w:t>
    </w:r>
  </w:p>
  <w:p w14:paraId="53F48983" w14:textId="77777777" w:rsidR="00EE6681" w:rsidRDefault="00EE6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5C26B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0387EE7"/>
    <w:multiLevelType w:val="hybridMultilevel"/>
    <w:tmpl w:val="1A1E7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60C90"/>
    <w:multiLevelType w:val="hybridMultilevel"/>
    <w:tmpl w:val="246208DE"/>
    <w:lvl w:ilvl="0" w:tplc="9434FC1A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7035650">
    <w:abstractNumId w:val="0"/>
  </w:num>
  <w:num w:numId="2" w16cid:durableId="1438912830">
    <w:abstractNumId w:val="2"/>
  </w:num>
  <w:num w:numId="3" w16cid:durableId="794714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7D"/>
    <w:rsid w:val="0000594D"/>
    <w:rsid w:val="000117D9"/>
    <w:rsid w:val="00014D54"/>
    <w:rsid w:val="000178BE"/>
    <w:rsid w:val="000303A0"/>
    <w:rsid w:val="00030A5C"/>
    <w:rsid w:val="0003403C"/>
    <w:rsid w:val="00037668"/>
    <w:rsid w:val="0004638E"/>
    <w:rsid w:val="00047F68"/>
    <w:rsid w:val="0006726B"/>
    <w:rsid w:val="00073458"/>
    <w:rsid w:val="00075A94"/>
    <w:rsid w:val="00076A34"/>
    <w:rsid w:val="00083D37"/>
    <w:rsid w:val="00087E65"/>
    <w:rsid w:val="00092875"/>
    <w:rsid w:val="000A5401"/>
    <w:rsid w:val="000B09C0"/>
    <w:rsid w:val="000B4353"/>
    <w:rsid w:val="000B6A41"/>
    <w:rsid w:val="000B6FF3"/>
    <w:rsid w:val="000C3B29"/>
    <w:rsid w:val="000C706C"/>
    <w:rsid w:val="000E5955"/>
    <w:rsid w:val="000E7D08"/>
    <w:rsid w:val="000F33C2"/>
    <w:rsid w:val="00105B64"/>
    <w:rsid w:val="00113108"/>
    <w:rsid w:val="0011479C"/>
    <w:rsid w:val="00114A9D"/>
    <w:rsid w:val="00132855"/>
    <w:rsid w:val="00152993"/>
    <w:rsid w:val="00153B62"/>
    <w:rsid w:val="00154511"/>
    <w:rsid w:val="00170297"/>
    <w:rsid w:val="00177EBF"/>
    <w:rsid w:val="00193C19"/>
    <w:rsid w:val="00197FC8"/>
    <w:rsid w:val="001A227D"/>
    <w:rsid w:val="001B1B8D"/>
    <w:rsid w:val="001B3F68"/>
    <w:rsid w:val="001B4E0F"/>
    <w:rsid w:val="001C24B4"/>
    <w:rsid w:val="001C498E"/>
    <w:rsid w:val="001D4BBE"/>
    <w:rsid w:val="001E2032"/>
    <w:rsid w:val="001F1168"/>
    <w:rsid w:val="001F2ACB"/>
    <w:rsid w:val="001F6EA6"/>
    <w:rsid w:val="002017D0"/>
    <w:rsid w:val="00206E24"/>
    <w:rsid w:val="00216BFA"/>
    <w:rsid w:val="00216CB1"/>
    <w:rsid w:val="00226416"/>
    <w:rsid w:val="00234392"/>
    <w:rsid w:val="00237A1F"/>
    <w:rsid w:val="0024137A"/>
    <w:rsid w:val="00247330"/>
    <w:rsid w:val="00254891"/>
    <w:rsid w:val="00257D46"/>
    <w:rsid w:val="00262AD2"/>
    <w:rsid w:val="00263D2B"/>
    <w:rsid w:val="00264D70"/>
    <w:rsid w:val="00264E65"/>
    <w:rsid w:val="0026504D"/>
    <w:rsid w:val="00271922"/>
    <w:rsid w:val="00283D9E"/>
    <w:rsid w:val="00290218"/>
    <w:rsid w:val="00291516"/>
    <w:rsid w:val="00293991"/>
    <w:rsid w:val="002A27EE"/>
    <w:rsid w:val="002A7AC1"/>
    <w:rsid w:val="002D075C"/>
    <w:rsid w:val="002D1130"/>
    <w:rsid w:val="002D2A46"/>
    <w:rsid w:val="002D327D"/>
    <w:rsid w:val="002D37BA"/>
    <w:rsid w:val="002E0156"/>
    <w:rsid w:val="002E1CB3"/>
    <w:rsid w:val="002E3EF9"/>
    <w:rsid w:val="002F0FF5"/>
    <w:rsid w:val="003010C0"/>
    <w:rsid w:val="003025B6"/>
    <w:rsid w:val="003032AC"/>
    <w:rsid w:val="00307F5D"/>
    <w:rsid w:val="003237E7"/>
    <w:rsid w:val="00325523"/>
    <w:rsid w:val="003260B3"/>
    <w:rsid w:val="0032739F"/>
    <w:rsid w:val="00331F18"/>
    <w:rsid w:val="00332A97"/>
    <w:rsid w:val="003433CA"/>
    <w:rsid w:val="00350C00"/>
    <w:rsid w:val="00352161"/>
    <w:rsid w:val="00355BB7"/>
    <w:rsid w:val="003575E8"/>
    <w:rsid w:val="00365B99"/>
    <w:rsid w:val="00366113"/>
    <w:rsid w:val="003731D0"/>
    <w:rsid w:val="0038660B"/>
    <w:rsid w:val="0039061F"/>
    <w:rsid w:val="00393111"/>
    <w:rsid w:val="00397DDA"/>
    <w:rsid w:val="003A0E49"/>
    <w:rsid w:val="003A5C5F"/>
    <w:rsid w:val="003B37B2"/>
    <w:rsid w:val="003B4DC7"/>
    <w:rsid w:val="003C270C"/>
    <w:rsid w:val="003C4812"/>
    <w:rsid w:val="003D0994"/>
    <w:rsid w:val="003D5E73"/>
    <w:rsid w:val="003D667C"/>
    <w:rsid w:val="003E41B8"/>
    <w:rsid w:val="003F059D"/>
    <w:rsid w:val="003F07FB"/>
    <w:rsid w:val="003F3E8B"/>
    <w:rsid w:val="00401817"/>
    <w:rsid w:val="004143E5"/>
    <w:rsid w:val="00416E6E"/>
    <w:rsid w:val="00420A10"/>
    <w:rsid w:val="00423712"/>
    <w:rsid w:val="00423824"/>
    <w:rsid w:val="00430DF4"/>
    <w:rsid w:val="0043567D"/>
    <w:rsid w:val="004379D6"/>
    <w:rsid w:val="004441B4"/>
    <w:rsid w:val="00454012"/>
    <w:rsid w:val="00454401"/>
    <w:rsid w:val="004716C8"/>
    <w:rsid w:val="00472270"/>
    <w:rsid w:val="004765E1"/>
    <w:rsid w:val="00487465"/>
    <w:rsid w:val="004912C1"/>
    <w:rsid w:val="004917C6"/>
    <w:rsid w:val="004A035B"/>
    <w:rsid w:val="004A1433"/>
    <w:rsid w:val="004A4EA8"/>
    <w:rsid w:val="004A5726"/>
    <w:rsid w:val="004B6FDD"/>
    <w:rsid w:val="004B7B90"/>
    <w:rsid w:val="004C757E"/>
    <w:rsid w:val="004D0E77"/>
    <w:rsid w:val="004D4D10"/>
    <w:rsid w:val="004D518C"/>
    <w:rsid w:val="004E0D5B"/>
    <w:rsid w:val="004E2C19"/>
    <w:rsid w:val="004E65BA"/>
    <w:rsid w:val="004E74EE"/>
    <w:rsid w:val="005110F3"/>
    <w:rsid w:val="00521A04"/>
    <w:rsid w:val="00521D38"/>
    <w:rsid w:val="00524239"/>
    <w:rsid w:val="005254A9"/>
    <w:rsid w:val="00535F9D"/>
    <w:rsid w:val="005463BF"/>
    <w:rsid w:val="0055685E"/>
    <w:rsid w:val="005623D5"/>
    <w:rsid w:val="005673BA"/>
    <w:rsid w:val="00572442"/>
    <w:rsid w:val="00573AA9"/>
    <w:rsid w:val="00574036"/>
    <w:rsid w:val="0058426D"/>
    <w:rsid w:val="00586C52"/>
    <w:rsid w:val="005905A1"/>
    <w:rsid w:val="005A1101"/>
    <w:rsid w:val="005A4C5A"/>
    <w:rsid w:val="005C6F7A"/>
    <w:rsid w:val="005C77FE"/>
    <w:rsid w:val="005D284C"/>
    <w:rsid w:val="005D3682"/>
    <w:rsid w:val="005D6DB0"/>
    <w:rsid w:val="00604512"/>
    <w:rsid w:val="0060784C"/>
    <w:rsid w:val="006103FE"/>
    <w:rsid w:val="00621324"/>
    <w:rsid w:val="006232D3"/>
    <w:rsid w:val="00627171"/>
    <w:rsid w:val="00630CA8"/>
    <w:rsid w:val="00633E23"/>
    <w:rsid w:val="00634F93"/>
    <w:rsid w:val="006362DC"/>
    <w:rsid w:val="006438BF"/>
    <w:rsid w:val="00650DF6"/>
    <w:rsid w:val="006510FD"/>
    <w:rsid w:val="00654C79"/>
    <w:rsid w:val="00656DFD"/>
    <w:rsid w:val="00665FAE"/>
    <w:rsid w:val="006662D5"/>
    <w:rsid w:val="00666B32"/>
    <w:rsid w:val="00670918"/>
    <w:rsid w:val="00673B94"/>
    <w:rsid w:val="00680AC6"/>
    <w:rsid w:val="006835D8"/>
    <w:rsid w:val="00692B26"/>
    <w:rsid w:val="006A34CF"/>
    <w:rsid w:val="006B7EB3"/>
    <w:rsid w:val="006C2A47"/>
    <w:rsid w:val="006C316E"/>
    <w:rsid w:val="006D0F7C"/>
    <w:rsid w:val="006F25A1"/>
    <w:rsid w:val="006F2AB2"/>
    <w:rsid w:val="007018D4"/>
    <w:rsid w:val="007077D1"/>
    <w:rsid w:val="007135F1"/>
    <w:rsid w:val="007269C4"/>
    <w:rsid w:val="0074209E"/>
    <w:rsid w:val="00745349"/>
    <w:rsid w:val="00764646"/>
    <w:rsid w:val="007646FB"/>
    <w:rsid w:val="00765A84"/>
    <w:rsid w:val="00770425"/>
    <w:rsid w:val="007708CB"/>
    <w:rsid w:val="007806AD"/>
    <w:rsid w:val="0078173A"/>
    <w:rsid w:val="007836A3"/>
    <w:rsid w:val="0078714C"/>
    <w:rsid w:val="007A2993"/>
    <w:rsid w:val="007A734D"/>
    <w:rsid w:val="007B1A81"/>
    <w:rsid w:val="007C1FE1"/>
    <w:rsid w:val="007C3BAA"/>
    <w:rsid w:val="007E21CE"/>
    <w:rsid w:val="007E6B55"/>
    <w:rsid w:val="007E78EB"/>
    <w:rsid w:val="007F086D"/>
    <w:rsid w:val="007F2CA8"/>
    <w:rsid w:val="007F7161"/>
    <w:rsid w:val="00800200"/>
    <w:rsid w:val="00801E4E"/>
    <w:rsid w:val="0081448B"/>
    <w:rsid w:val="0082506C"/>
    <w:rsid w:val="00826B43"/>
    <w:rsid w:val="00827F9B"/>
    <w:rsid w:val="00833A83"/>
    <w:rsid w:val="008345F6"/>
    <w:rsid w:val="00843950"/>
    <w:rsid w:val="00852C92"/>
    <w:rsid w:val="00855513"/>
    <w:rsid w:val="0085559E"/>
    <w:rsid w:val="00856638"/>
    <w:rsid w:val="008567CE"/>
    <w:rsid w:val="00857C4A"/>
    <w:rsid w:val="008672A3"/>
    <w:rsid w:val="00871063"/>
    <w:rsid w:val="008711FC"/>
    <w:rsid w:val="0087653B"/>
    <w:rsid w:val="008767C5"/>
    <w:rsid w:val="008809FA"/>
    <w:rsid w:val="008920DE"/>
    <w:rsid w:val="0089301B"/>
    <w:rsid w:val="008939BB"/>
    <w:rsid w:val="00893AEB"/>
    <w:rsid w:val="00895724"/>
    <w:rsid w:val="00896B1B"/>
    <w:rsid w:val="008A1D5B"/>
    <w:rsid w:val="008A4D12"/>
    <w:rsid w:val="008B4F15"/>
    <w:rsid w:val="008B545F"/>
    <w:rsid w:val="008B681E"/>
    <w:rsid w:val="008C3D8B"/>
    <w:rsid w:val="008C4120"/>
    <w:rsid w:val="008C5552"/>
    <w:rsid w:val="008C7B3E"/>
    <w:rsid w:val="008D25E0"/>
    <w:rsid w:val="008D46B8"/>
    <w:rsid w:val="008D504A"/>
    <w:rsid w:val="008E25D0"/>
    <w:rsid w:val="008E559E"/>
    <w:rsid w:val="008E6581"/>
    <w:rsid w:val="008F340E"/>
    <w:rsid w:val="009038ED"/>
    <w:rsid w:val="00912A82"/>
    <w:rsid w:val="00916080"/>
    <w:rsid w:val="00921A68"/>
    <w:rsid w:val="009228AB"/>
    <w:rsid w:val="00927543"/>
    <w:rsid w:val="0093214B"/>
    <w:rsid w:val="00935301"/>
    <w:rsid w:val="00941C76"/>
    <w:rsid w:val="00944303"/>
    <w:rsid w:val="009454BA"/>
    <w:rsid w:val="00945C3D"/>
    <w:rsid w:val="00946F27"/>
    <w:rsid w:val="0095202E"/>
    <w:rsid w:val="00954F55"/>
    <w:rsid w:val="009633E0"/>
    <w:rsid w:val="009637AE"/>
    <w:rsid w:val="00984E1D"/>
    <w:rsid w:val="00986C6E"/>
    <w:rsid w:val="00994A89"/>
    <w:rsid w:val="009A1317"/>
    <w:rsid w:val="009B0702"/>
    <w:rsid w:val="009B161E"/>
    <w:rsid w:val="009B18EE"/>
    <w:rsid w:val="009B4B39"/>
    <w:rsid w:val="009B7E73"/>
    <w:rsid w:val="009C1038"/>
    <w:rsid w:val="009D077E"/>
    <w:rsid w:val="009D2710"/>
    <w:rsid w:val="009D54B6"/>
    <w:rsid w:val="009D70E0"/>
    <w:rsid w:val="009F2019"/>
    <w:rsid w:val="009F5313"/>
    <w:rsid w:val="009F61CF"/>
    <w:rsid w:val="009F74A3"/>
    <w:rsid w:val="00A015C4"/>
    <w:rsid w:val="00A02BD7"/>
    <w:rsid w:val="00A15172"/>
    <w:rsid w:val="00A157C7"/>
    <w:rsid w:val="00A22659"/>
    <w:rsid w:val="00A25F56"/>
    <w:rsid w:val="00A276A0"/>
    <w:rsid w:val="00A335C0"/>
    <w:rsid w:val="00A4711B"/>
    <w:rsid w:val="00A53BDD"/>
    <w:rsid w:val="00A54EEE"/>
    <w:rsid w:val="00A57BFF"/>
    <w:rsid w:val="00A63811"/>
    <w:rsid w:val="00A7236F"/>
    <w:rsid w:val="00A75A1D"/>
    <w:rsid w:val="00A75C5C"/>
    <w:rsid w:val="00A75EB9"/>
    <w:rsid w:val="00A918FB"/>
    <w:rsid w:val="00A944D6"/>
    <w:rsid w:val="00AA55EF"/>
    <w:rsid w:val="00AB2E79"/>
    <w:rsid w:val="00AB48EC"/>
    <w:rsid w:val="00AC025B"/>
    <w:rsid w:val="00AC0EE2"/>
    <w:rsid w:val="00AF4A68"/>
    <w:rsid w:val="00AF61F6"/>
    <w:rsid w:val="00AF7E1A"/>
    <w:rsid w:val="00B147EA"/>
    <w:rsid w:val="00B25902"/>
    <w:rsid w:val="00B31A9E"/>
    <w:rsid w:val="00B324EF"/>
    <w:rsid w:val="00B34DE9"/>
    <w:rsid w:val="00B43474"/>
    <w:rsid w:val="00B5080A"/>
    <w:rsid w:val="00B52EFC"/>
    <w:rsid w:val="00B5587B"/>
    <w:rsid w:val="00B559CF"/>
    <w:rsid w:val="00B60242"/>
    <w:rsid w:val="00B72A38"/>
    <w:rsid w:val="00B76E5C"/>
    <w:rsid w:val="00B812A2"/>
    <w:rsid w:val="00B943AE"/>
    <w:rsid w:val="00B950ED"/>
    <w:rsid w:val="00BA0332"/>
    <w:rsid w:val="00BA18F3"/>
    <w:rsid w:val="00BB4E47"/>
    <w:rsid w:val="00BC48F1"/>
    <w:rsid w:val="00BC52FA"/>
    <w:rsid w:val="00BD5655"/>
    <w:rsid w:val="00BD5DC9"/>
    <w:rsid w:val="00BD706C"/>
    <w:rsid w:val="00BD7258"/>
    <w:rsid w:val="00BE5C6B"/>
    <w:rsid w:val="00BE5D86"/>
    <w:rsid w:val="00BE6784"/>
    <w:rsid w:val="00BF3290"/>
    <w:rsid w:val="00C05358"/>
    <w:rsid w:val="00C0598D"/>
    <w:rsid w:val="00C05D2C"/>
    <w:rsid w:val="00C11956"/>
    <w:rsid w:val="00C16D0E"/>
    <w:rsid w:val="00C2170D"/>
    <w:rsid w:val="00C50EE3"/>
    <w:rsid w:val="00C5179D"/>
    <w:rsid w:val="00C5401B"/>
    <w:rsid w:val="00C602E5"/>
    <w:rsid w:val="00C60568"/>
    <w:rsid w:val="00C60A57"/>
    <w:rsid w:val="00C60E01"/>
    <w:rsid w:val="00C665FF"/>
    <w:rsid w:val="00C748FD"/>
    <w:rsid w:val="00C77935"/>
    <w:rsid w:val="00C80A6A"/>
    <w:rsid w:val="00C847A1"/>
    <w:rsid w:val="00C9243A"/>
    <w:rsid w:val="00CC1E57"/>
    <w:rsid w:val="00CC52E5"/>
    <w:rsid w:val="00CC729A"/>
    <w:rsid w:val="00CD13B7"/>
    <w:rsid w:val="00CD55D0"/>
    <w:rsid w:val="00CD7661"/>
    <w:rsid w:val="00CE231A"/>
    <w:rsid w:val="00CE7018"/>
    <w:rsid w:val="00D101D9"/>
    <w:rsid w:val="00D14869"/>
    <w:rsid w:val="00D14A9F"/>
    <w:rsid w:val="00D17B85"/>
    <w:rsid w:val="00D20684"/>
    <w:rsid w:val="00D2493D"/>
    <w:rsid w:val="00D26E23"/>
    <w:rsid w:val="00D324FF"/>
    <w:rsid w:val="00D37C8F"/>
    <w:rsid w:val="00D4046E"/>
    <w:rsid w:val="00D41208"/>
    <w:rsid w:val="00D4362F"/>
    <w:rsid w:val="00D45757"/>
    <w:rsid w:val="00D51C33"/>
    <w:rsid w:val="00D56EF8"/>
    <w:rsid w:val="00D71498"/>
    <w:rsid w:val="00D72F5B"/>
    <w:rsid w:val="00D75A57"/>
    <w:rsid w:val="00D8263A"/>
    <w:rsid w:val="00D82656"/>
    <w:rsid w:val="00D8744A"/>
    <w:rsid w:val="00D94897"/>
    <w:rsid w:val="00DA03BD"/>
    <w:rsid w:val="00DA0E8B"/>
    <w:rsid w:val="00DA4AFA"/>
    <w:rsid w:val="00DA74C5"/>
    <w:rsid w:val="00DA789F"/>
    <w:rsid w:val="00DC31CD"/>
    <w:rsid w:val="00DC3C11"/>
    <w:rsid w:val="00DC5BB2"/>
    <w:rsid w:val="00DD4739"/>
    <w:rsid w:val="00DE1556"/>
    <w:rsid w:val="00DE2F0D"/>
    <w:rsid w:val="00DE5F33"/>
    <w:rsid w:val="00DE7B55"/>
    <w:rsid w:val="00DF3308"/>
    <w:rsid w:val="00E01B93"/>
    <w:rsid w:val="00E07B54"/>
    <w:rsid w:val="00E11F78"/>
    <w:rsid w:val="00E37D15"/>
    <w:rsid w:val="00E621E1"/>
    <w:rsid w:val="00E65CA7"/>
    <w:rsid w:val="00E711D8"/>
    <w:rsid w:val="00E720E3"/>
    <w:rsid w:val="00E721AD"/>
    <w:rsid w:val="00E72217"/>
    <w:rsid w:val="00E7249F"/>
    <w:rsid w:val="00E830B7"/>
    <w:rsid w:val="00E85967"/>
    <w:rsid w:val="00E92C91"/>
    <w:rsid w:val="00E948BB"/>
    <w:rsid w:val="00E9538E"/>
    <w:rsid w:val="00E9596F"/>
    <w:rsid w:val="00EA44BD"/>
    <w:rsid w:val="00EB0B5C"/>
    <w:rsid w:val="00EB2E23"/>
    <w:rsid w:val="00EB5A0B"/>
    <w:rsid w:val="00EB5F07"/>
    <w:rsid w:val="00EC41EB"/>
    <w:rsid w:val="00EC55B3"/>
    <w:rsid w:val="00ED2809"/>
    <w:rsid w:val="00ED58BD"/>
    <w:rsid w:val="00EE6681"/>
    <w:rsid w:val="00EF2F37"/>
    <w:rsid w:val="00EF7F48"/>
    <w:rsid w:val="00F01115"/>
    <w:rsid w:val="00F0616F"/>
    <w:rsid w:val="00F1270E"/>
    <w:rsid w:val="00F17EC1"/>
    <w:rsid w:val="00F3650E"/>
    <w:rsid w:val="00F43A43"/>
    <w:rsid w:val="00F44FE3"/>
    <w:rsid w:val="00F47FD8"/>
    <w:rsid w:val="00F502F7"/>
    <w:rsid w:val="00F5228C"/>
    <w:rsid w:val="00F55959"/>
    <w:rsid w:val="00F61462"/>
    <w:rsid w:val="00F62B74"/>
    <w:rsid w:val="00F63BA5"/>
    <w:rsid w:val="00F76404"/>
    <w:rsid w:val="00F76C43"/>
    <w:rsid w:val="00F81911"/>
    <w:rsid w:val="00F96FB2"/>
    <w:rsid w:val="00FA1C55"/>
    <w:rsid w:val="00FB286E"/>
    <w:rsid w:val="00FB51D8"/>
    <w:rsid w:val="00FB7512"/>
    <w:rsid w:val="00FC51AB"/>
    <w:rsid w:val="00FC6A16"/>
    <w:rsid w:val="00FD08E8"/>
    <w:rsid w:val="00FF12A0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28843B"/>
  <w15:chartTrackingRefBased/>
  <w15:docId w15:val="{BE4E86A9-343E-490E-8358-5FDA100E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aliases w:val="h2"/>
    <w:basedOn w:val="Normal"/>
    <w:next w:val="Normal"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semiHidden/>
    <w:rsid w:val="00673B94"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rPr>
      <w:rFonts w:ascii="Arial" w:hAnsi="Arial"/>
    </w:rPr>
  </w:style>
  <w:style w:type="table" w:styleId="TableGrid">
    <w:name w:val="Table Grid"/>
    <w:basedOn w:val="TableNormal"/>
    <w:rsid w:val="00075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D47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473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D4739"/>
    <w:rPr>
      <w:b/>
      <w:bCs/>
    </w:rPr>
  </w:style>
  <w:style w:type="character" w:customStyle="1" w:styleId="BodyTextNumberedChar1">
    <w:name w:val="Body Text Numbered Char1"/>
    <w:link w:val="BodyTextNumbered"/>
    <w:rsid w:val="0060784C"/>
    <w:rPr>
      <w:iCs/>
      <w:sz w:val="24"/>
    </w:rPr>
  </w:style>
  <w:style w:type="paragraph" w:customStyle="1" w:styleId="BodyTextNumbered">
    <w:name w:val="Body Text Numbered"/>
    <w:basedOn w:val="BodyText"/>
    <w:link w:val="BodyTextNumberedChar1"/>
    <w:rsid w:val="0060784C"/>
    <w:pPr>
      <w:spacing w:before="0" w:after="240"/>
      <w:ind w:left="720" w:hanging="720"/>
    </w:pPr>
    <w:rPr>
      <w:iCs/>
      <w:szCs w:val="20"/>
    </w:rPr>
  </w:style>
  <w:style w:type="paragraph" w:customStyle="1" w:styleId="H3">
    <w:name w:val="H3"/>
    <w:basedOn w:val="Heading3"/>
    <w:next w:val="BodyText"/>
    <w:link w:val="H3Char"/>
    <w:rsid w:val="0060784C"/>
    <w:pPr>
      <w:numPr>
        <w:ilvl w:val="0"/>
        <w:numId w:val="0"/>
      </w:numPr>
      <w:tabs>
        <w:tab w:val="left" w:pos="1080"/>
      </w:tabs>
      <w:spacing w:before="240" w:after="240"/>
      <w:ind w:left="1080" w:hanging="1080"/>
    </w:pPr>
    <w:rPr>
      <w:iCs w:val="0"/>
    </w:rPr>
  </w:style>
  <w:style w:type="character" w:customStyle="1" w:styleId="CommentTextChar">
    <w:name w:val="Comment Text Char"/>
    <w:basedOn w:val="DefaultParagraphFont"/>
    <w:link w:val="CommentText"/>
    <w:rsid w:val="0060784C"/>
  </w:style>
  <w:style w:type="character" w:customStyle="1" w:styleId="H3Char">
    <w:name w:val="H3 Char"/>
    <w:link w:val="H3"/>
    <w:rsid w:val="0060784C"/>
    <w:rPr>
      <w:b/>
      <w:bCs/>
      <w:i/>
      <w:sz w:val="24"/>
    </w:rPr>
  </w:style>
  <w:style w:type="paragraph" w:styleId="Revision">
    <w:name w:val="Revision"/>
    <w:hidden/>
    <w:uiPriority w:val="99"/>
    <w:semiHidden/>
    <w:rsid w:val="0060784C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3F05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833A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33A83"/>
  </w:style>
  <w:style w:type="character" w:styleId="FootnoteReference">
    <w:name w:val="footnote reference"/>
    <w:rsid w:val="00833A83"/>
    <w:rPr>
      <w:vertAlign w:val="superscript"/>
    </w:rPr>
  </w:style>
  <w:style w:type="character" w:styleId="FollowedHyperlink">
    <w:name w:val="FollowedHyperlink"/>
    <w:basedOn w:val="DefaultParagraphFont"/>
    <w:rsid w:val="000B6A4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3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mktrules/issues/NPRR129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ll.barnes@nrg.com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cot.com/files/docs/2025/08/26/13.-LLWG-Report.zip" TargetMode="External"/><Relationship Id="rId3" Type="http://schemas.openxmlformats.org/officeDocument/2006/relationships/hyperlink" Target="https://visionelements.programprocessing.com/framework/CenterPointTX/2024_Residential_Load_Management_Guidelines.pdf" TargetMode="External"/><Relationship Id="rId7" Type="http://schemas.openxmlformats.org/officeDocument/2006/relationships/hyperlink" Target="https://www.ercot.com/static-assets/data/news/content/a-peak-demand/records-yearly-archive.htm" TargetMode="External"/><Relationship Id="rId2" Type="http://schemas.openxmlformats.org/officeDocument/2006/relationships/hyperlink" Target="https://www.oncor.com/content/dam/oncorwww/eepm/documents/residential-resources/2025/PY2025%20Res%20Load%20Mgmt%20Program%20Manual%20-%203-21-25%20JN.pdf.coredownload.pdf" TargetMode="External"/><Relationship Id="rId1" Type="http://schemas.openxmlformats.org/officeDocument/2006/relationships/hyperlink" Target="https://www.oncor.com/content/dam/oncorwww/eepm/documents/commercial-resources/2024/2024%20CLM%20Program%20Manual%203-28-24.pdf.coredownload.pdf" TargetMode="External"/><Relationship Id="rId6" Type="http://schemas.openxmlformats.org/officeDocument/2006/relationships/hyperlink" Target="https://interchange.puc.texas.gov/Documents/55999_142_1505244.PDF" TargetMode="External"/><Relationship Id="rId5" Type="http://schemas.openxmlformats.org/officeDocument/2006/relationships/hyperlink" Target="https://interchange.puc.texas.gov/Documents/55999_140_1504530.PDF" TargetMode="External"/><Relationship Id="rId4" Type="http://schemas.openxmlformats.org/officeDocument/2006/relationships/hyperlink" Target="https://visionelements.programprocessing.com/framework/CenterPointTX/Program_Manu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21EE0-9174-4829-83BB-0B44CCB9AE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f7157e-03dd-4df4-a10b-f59d8fe642d0}" enabled="0" method="" siteId="{f7f7157e-03dd-4df4-a10b-f59d8fe642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1333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Vistra 092625</cp:lastModifiedBy>
  <cp:revision>4</cp:revision>
  <cp:lastPrinted>2001-06-20T16:28:00Z</cp:lastPrinted>
  <dcterms:created xsi:type="dcterms:W3CDTF">2025-09-26T21:45:00Z</dcterms:created>
  <dcterms:modified xsi:type="dcterms:W3CDTF">2025-09-26T22:02:00Z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2025-09-26T21:45:51Z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2f1fed0e-943a-4747-ade7-18a82f446df2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