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3BDC" w14:textId="77777777" w:rsidR="00FC78FE" w:rsidRDefault="00FC78FE" w:rsidP="00B12D7A">
      <w:pPr>
        <w:shd w:val="clear" w:color="auto" w:fill="FFFFFF"/>
        <w:spacing w:after="150" w:line="420" w:lineRule="atLeast"/>
        <w:outlineLvl w:val="0"/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</w:pPr>
    </w:p>
    <w:p w14:paraId="26FF30E1" w14:textId="77777777" w:rsidR="00FC78FE" w:rsidRDefault="00FC78FE" w:rsidP="00B12D7A">
      <w:pPr>
        <w:shd w:val="clear" w:color="auto" w:fill="FFFFFF"/>
        <w:spacing w:after="150" w:line="420" w:lineRule="atLeast"/>
        <w:outlineLvl w:val="0"/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</w:pPr>
    </w:p>
    <w:p w14:paraId="2702E5EE" w14:textId="77777777" w:rsidR="00FC78FE" w:rsidRDefault="00FC78FE" w:rsidP="00B12D7A">
      <w:pPr>
        <w:shd w:val="clear" w:color="auto" w:fill="FFFFFF"/>
        <w:spacing w:after="150" w:line="420" w:lineRule="atLeast"/>
        <w:outlineLvl w:val="0"/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</w:pPr>
    </w:p>
    <w:p w14:paraId="353BAC29" w14:textId="77777777" w:rsidR="00B12D7A" w:rsidRPr="0040426D" w:rsidRDefault="00722A41" w:rsidP="00B12D7A">
      <w:pPr>
        <w:shd w:val="clear" w:color="auto" w:fill="FFFFFF"/>
        <w:spacing w:after="150" w:line="420" w:lineRule="atLeast"/>
        <w:outlineLvl w:val="0"/>
        <w:rPr>
          <w:rFonts w:ascii="Arial" w:eastAsia="Times New Roman" w:hAnsi="Arial" w:cs="Arial"/>
          <w:b/>
          <w:bCs/>
          <w:color w:val="5B6770"/>
          <w:kern w:val="36"/>
          <w:sz w:val="36"/>
          <w:szCs w:val="36"/>
        </w:rPr>
      </w:pPr>
      <w:r w:rsidRPr="0040426D">
        <w:rPr>
          <w:rFonts w:ascii="Arial" w:eastAsia="Times New Roman" w:hAnsi="Arial" w:cs="Arial"/>
          <w:b/>
          <w:bCs/>
          <w:color w:val="5B6770"/>
          <w:kern w:val="36"/>
          <w:sz w:val="36"/>
          <w:szCs w:val="36"/>
        </w:rPr>
        <w:t>Wholesale Market</w:t>
      </w:r>
      <w:r w:rsidR="00B12D7A" w:rsidRPr="0040426D">
        <w:rPr>
          <w:rFonts w:ascii="Arial" w:eastAsia="Times New Roman" w:hAnsi="Arial" w:cs="Arial"/>
          <w:b/>
          <w:bCs/>
          <w:color w:val="5B6770"/>
          <w:kern w:val="36"/>
          <w:sz w:val="36"/>
          <w:szCs w:val="36"/>
        </w:rPr>
        <w:t xml:space="preserve"> Working Group</w:t>
      </w:r>
      <w:r w:rsidR="0040426D" w:rsidRPr="0040426D">
        <w:rPr>
          <w:rFonts w:ascii="Arial" w:eastAsia="Times New Roman" w:hAnsi="Arial" w:cs="Arial"/>
          <w:b/>
          <w:bCs/>
          <w:color w:val="5B6770"/>
          <w:kern w:val="36"/>
          <w:sz w:val="36"/>
          <w:szCs w:val="36"/>
        </w:rPr>
        <w:t xml:space="preserve"> (WMWG) Charter </w:t>
      </w:r>
    </w:p>
    <w:p w14:paraId="4D486C6C" w14:textId="21E28451" w:rsidR="0040426D" w:rsidRPr="0040426D" w:rsidRDefault="0040426D" w:rsidP="0040426D">
      <w:pPr>
        <w:shd w:val="clear" w:color="auto" w:fill="FFFFFF"/>
        <w:spacing w:after="150" w:line="420" w:lineRule="atLeast"/>
        <w:jc w:val="center"/>
        <w:outlineLvl w:val="0"/>
        <w:rPr>
          <w:rFonts w:ascii="Arial" w:eastAsia="Times New Roman" w:hAnsi="Arial" w:cs="Arial"/>
          <w:b/>
          <w:bCs/>
          <w:color w:val="5B6770"/>
          <w:kern w:val="36"/>
          <w:sz w:val="28"/>
          <w:szCs w:val="28"/>
        </w:rPr>
      </w:pPr>
      <w:r w:rsidRPr="0040426D">
        <w:rPr>
          <w:rFonts w:ascii="Arial" w:eastAsia="Times New Roman" w:hAnsi="Arial" w:cs="Arial"/>
          <w:b/>
          <w:bCs/>
          <w:color w:val="5B6770"/>
          <w:kern w:val="36"/>
          <w:sz w:val="28"/>
          <w:szCs w:val="28"/>
        </w:rPr>
        <w:t xml:space="preserve">WMS approved </w:t>
      </w:r>
      <w:r w:rsidR="00CE71E5">
        <w:rPr>
          <w:rFonts w:ascii="Arial" w:eastAsia="Times New Roman" w:hAnsi="Arial" w:cs="Arial"/>
          <w:b/>
          <w:bCs/>
          <w:color w:val="5B6770"/>
          <w:kern w:val="36"/>
          <w:sz w:val="28"/>
          <w:szCs w:val="28"/>
        </w:rPr>
        <w:t>September 10</w:t>
      </w:r>
      <w:r w:rsidRPr="0040426D">
        <w:rPr>
          <w:rFonts w:ascii="Arial" w:eastAsia="Times New Roman" w:hAnsi="Arial" w:cs="Arial"/>
          <w:b/>
          <w:bCs/>
          <w:color w:val="5B6770"/>
          <w:kern w:val="36"/>
          <w:sz w:val="28"/>
          <w:szCs w:val="28"/>
        </w:rPr>
        <w:t>, 20</w:t>
      </w:r>
      <w:r w:rsidR="00CE71E5">
        <w:rPr>
          <w:rFonts w:ascii="Arial" w:eastAsia="Times New Roman" w:hAnsi="Arial" w:cs="Arial"/>
          <w:b/>
          <w:bCs/>
          <w:color w:val="5B6770"/>
          <w:kern w:val="36"/>
          <w:sz w:val="28"/>
          <w:szCs w:val="28"/>
        </w:rPr>
        <w:t>25</w:t>
      </w:r>
    </w:p>
    <w:p w14:paraId="6E7448AB" w14:textId="5E4A34CC" w:rsidR="00B12D7A" w:rsidRDefault="00B12D7A" w:rsidP="00B12D7A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sz w:val="21"/>
          <w:szCs w:val="21"/>
        </w:rPr>
      </w:pPr>
      <w:r w:rsidRPr="00B12D7A">
        <w:rPr>
          <w:rFonts w:ascii="Arial" w:eastAsia="Times New Roman" w:hAnsi="Arial" w:cs="Arial"/>
          <w:sz w:val="21"/>
          <w:szCs w:val="21"/>
        </w:rPr>
        <w:t xml:space="preserve">The </w:t>
      </w:r>
      <w:r>
        <w:rPr>
          <w:rFonts w:ascii="Arial" w:eastAsia="Times New Roman" w:hAnsi="Arial" w:cs="Arial"/>
          <w:sz w:val="21"/>
          <w:szCs w:val="21"/>
        </w:rPr>
        <w:t>Wholesale Market</w:t>
      </w:r>
      <w:r w:rsidRPr="00B12D7A">
        <w:rPr>
          <w:rFonts w:ascii="Arial" w:eastAsia="Times New Roman" w:hAnsi="Arial" w:cs="Arial"/>
          <w:sz w:val="21"/>
          <w:szCs w:val="21"/>
        </w:rPr>
        <w:t xml:space="preserve"> Working Group (</w:t>
      </w:r>
      <w:r>
        <w:rPr>
          <w:rFonts w:ascii="Arial" w:eastAsia="Times New Roman" w:hAnsi="Arial" w:cs="Arial"/>
          <w:sz w:val="21"/>
          <w:szCs w:val="21"/>
        </w:rPr>
        <w:t>W</w:t>
      </w:r>
      <w:r w:rsidRPr="00B12D7A">
        <w:rPr>
          <w:rFonts w:ascii="Arial" w:eastAsia="Times New Roman" w:hAnsi="Arial" w:cs="Arial"/>
          <w:sz w:val="21"/>
          <w:szCs w:val="21"/>
        </w:rPr>
        <w:t>MWG) reports to the Wholesale Market Subcommittee (WMS).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B12D7A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W</w:t>
      </w:r>
      <w:r w:rsidRPr="00B12D7A">
        <w:rPr>
          <w:rFonts w:ascii="Arial" w:eastAsia="Times New Roman" w:hAnsi="Arial" w:cs="Arial"/>
          <w:sz w:val="21"/>
          <w:szCs w:val="21"/>
        </w:rPr>
        <w:t>MWG is responsible for providing the WMS advisory support on issues impacting market and power operations.</w:t>
      </w:r>
      <w:r>
        <w:rPr>
          <w:rFonts w:ascii="Arial" w:eastAsia="Times New Roman" w:hAnsi="Arial" w:cs="Arial"/>
          <w:sz w:val="21"/>
          <w:szCs w:val="21"/>
        </w:rPr>
        <w:t xml:space="preserve">  </w:t>
      </w:r>
      <w:r w:rsidR="00BB00FD">
        <w:rPr>
          <w:rFonts w:ascii="Arial" w:eastAsia="Times New Roman" w:hAnsi="Arial" w:cs="Arial"/>
          <w:sz w:val="21"/>
          <w:szCs w:val="21"/>
        </w:rPr>
        <w:t xml:space="preserve">WMWG provides in depth analysis of items referred by WMS.  </w:t>
      </w:r>
      <w:r>
        <w:rPr>
          <w:rFonts w:ascii="Arial" w:eastAsia="Times New Roman" w:hAnsi="Arial" w:cs="Arial"/>
          <w:sz w:val="21"/>
          <w:szCs w:val="21"/>
        </w:rPr>
        <w:t>W</w:t>
      </w:r>
      <w:r w:rsidRPr="00B12D7A">
        <w:rPr>
          <w:rFonts w:ascii="Arial" w:eastAsia="Times New Roman" w:hAnsi="Arial" w:cs="Arial"/>
          <w:sz w:val="21"/>
          <w:szCs w:val="21"/>
        </w:rPr>
        <w:t xml:space="preserve">MWG reviews issues and develops recommended solutions to wholesale market issues, </w:t>
      </w:r>
      <w:r w:rsidR="00CE71E5" w:rsidRPr="00CE71E5">
        <w:rPr>
          <w:rFonts w:ascii="Arial" w:eastAsia="Times New Roman" w:hAnsi="Arial" w:cs="Arial"/>
          <w:sz w:val="21"/>
          <w:szCs w:val="21"/>
        </w:rPr>
        <w:t>including Resource costs and market settlements</w:t>
      </w:r>
      <w:r w:rsidR="00CE71E5">
        <w:rPr>
          <w:rFonts w:ascii="Arial" w:eastAsia="Times New Roman" w:hAnsi="Arial" w:cs="Arial"/>
          <w:sz w:val="21"/>
          <w:szCs w:val="21"/>
        </w:rPr>
        <w:t xml:space="preserve">, </w:t>
      </w:r>
      <w:r w:rsidRPr="00B12D7A">
        <w:rPr>
          <w:rFonts w:ascii="Arial" w:eastAsia="Times New Roman" w:hAnsi="Arial" w:cs="Arial"/>
          <w:sz w:val="21"/>
          <w:szCs w:val="21"/>
        </w:rPr>
        <w:t xml:space="preserve">all of which may result in market rule </w:t>
      </w:r>
      <w:r w:rsidR="00C53F08">
        <w:rPr>
          <w:rFonts w:ascii="Arial" w:eastAsia="Times New Roman" w:hAnsi="Arial" w:cs="Arial"/>
          <w:sz w:val="21"/>
          <w:szCs w:val="21"/>
        </w:rPr>
        <w:t>and/or</w:t>
      </w:r>
      <w:r w:rsidRPr="00B12D7A">
        <w:rPr>
          <w:rFonts w:ascii="Arial" w:eastAsia="Times New Roman" w:hAnsi="Arial" w:cs="Arial"/>
          <w:sz w:val="21"/>
          <w:szCs w:val="21"/>
        </w:rPr>
        <w:t xml:space="preserve"> system changes</w:t>
      </w:r>
      <w:r w:rsidR="00C53F08">
        <w:rPr>
          <w:rFonts w:ascii="Arial" w:eastAsia="Times New Roman" w:hAnsi="Arial" w:cs="Arial"/>
          <w:sz w:val="21"/>
          <w:szCs w:val="21"/>
        </w:rPr>
        <w:t>.</w:t>
      </w:r>
      <w:r w:rsidRPr="00B12D7A">
        <w:rPr>
          <w:rFonts w:ascii="Arial" w:eastAsia="Times New Roman" w:hAnsi="Arial" w:cs="Arial"/>
          <w:sz w:val="21"/>
          <w:szCs w:val="21"/>
        </w:rPr>
        <w:t xml:space="preserve">  </w:t>
      </w:r>
      <w:r w:rsidR="00BB00FD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WMWG reviews ERCOT systems performance, communications, and transparency of the ERCOT market.</w:t>
      </w:r>
      <w:r w:rsidR="00BB00FD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</w:p>
    <w:p w14:paraId="7E14B55D" w14:textId="77777777" w:rsidR="00C53F08" w:rsidRDefault="00C53F08" w:rsidP="00B12D7A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sz w:val="21"/>
          <w:szCs w:val="21"/>
        </w:rPr>
      </w:pPr>
    </w:p>
    <w:p w14:paraId="45673685" w14:textId="77777777" w:rsidR="00437237" w:rsidRDefault="00437237"/>
    <w:p w14:paraId="23A36DA6" w14:textId="77777777" w:rsidR="00B12D7A" w:rsidRDefault="00B12D7A"/>
    <w:sectPr w:rsidR="00B12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true"/>
  </w:docVars>
  <w:rsids>
    <w:rsidRoot w:val="00B12D7A"/>
    <w:rsid w:val="003B289C"/>
    <w:rsid w:val="003D3FC0"/>
    <w:rsid w:val="0040426D"/>
    <w:rsid w:val="00437237"/>
    <w:rsid w:val="00531649"/>
    <w:rsid w:val="005A2EA0"/>
    <w:rsid w:val="00722A41"/>
    <w:rsid w:val="009C178D"/>
    <w:rsid w:val="00B12D7A"/>
    <w:rsid w:val="00BB00FD"/>
    <w:rsid w:val="00BF6511"/>
    <w:rsid w:val="00C53F08"/>
    <w:rsid w:val="00CE71E5"/>
    <w:rsid w:val="00F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EE41"/>
  <w15:chartTrackingRefBased/>
  <w15:docId w15:val="{E8C9FC2C-7401-4FA7-875E-3FB9A617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2D7A"/>
    <w:pPr>
      <w:spacing w:after="150" w:line="420" w:lineRule="atLeast"/>
      <w:outlineLvl w:val="0"/>
    </w:pPr>
    <w:rPr>
      <w:rFonts w:ascii="Arial" w:eastAsia="Times New Roman" w:hAnsi="Arial" w:cs="Arial"/>
      <w:b/>
      <w:bCs/>
      <w:color w:val="5B6770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D7A"/>
    <w:rPr>
      <w:rFonts w:ascii="Arial" w:eastAsia="Times New Roman" w:hAnsi="Arial" w:cs="Arial"/>
      <w:b/>
      <w:bCs/>
      <w:color w:val="5B6770"/>
      <w:kern w:val="36"/>
      <w:sz w:val="42"/>
      <w:szCs w:val="42"/>
    </w:rPr>
  </w:style>
  <w:style w:type="paragraph" w:styleId="NormalWeb">
    <w:name w:val="Normal (Web)"/>
    <w:basedOn w:val="Normal"/>
    <w:uiPriority w:val="99"/>
    <w:semiHidden/>
    <w:unhideWhenUsed/>
    <w:rsid w:val="00B12D7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2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935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3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793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20181011</dc:creator>
  <cp:keywords/>
  <dc:description/>
  <cp:lastModifiedBy>Gonzales, Nathan</cp:lastModifiedBy>
  <cp:revision>2</cp:revision>
  <dcterms:created xsi:type="dcterms:W3CDTF">2025-09-24T16:41:00Z</dcterms:created>
  <dcterms:modified xsi:type="dcterms:W3CDTF">2025-09-24T16:41:00Z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2025-09-24T16:41:20Z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efe9741f-ce2c-4dcc-a945-f195e6951c1c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