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8528" w14:textId="09DCAE8B" w:rsidR="000D2AA6" w:rsidRDefault="00287C66" w:rsidP="00287C66">
      <w:pPr>
        <w:jc w:val="center"/>
        <w:rPr>
          <w:b/>
          <w:bCs/>
          <w:sz w:val="28"/>
          <w:szCs w:val="28"/>
        </w:rPr>
      </w:pPr>
      <w:r w:rsidRPr="00287C66">
        <w:rPr>
          <w:b/>
          <w:bCs/>
          <w:sz w:val="28"/>
          <w:szCs w:val="28"/>
        </w:rPr>
        <w:t>Planning Working Group (PLWG) Meeting Minutes</w:t>
      </w:r>
    </w:p>
    <w:p w14:paraId="1EE0C269" w14:textId="3E18E78E" w:rsidR="00A765CC" w:rsidRPr="00A765CC" w:rsidRDefault="00A443B9" w:rsidP="00287C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26</w:t>
      </w:r>
      <w:r w:rsidR="00287C66" w:rsidRPr="00287C66">
        <w:rPr>
          <w:b/>
          <w:bCs/>
          <w:sz w:val="28"/>
          <w:szCs w:val="28"/>
        </w:rPr>
        <w:t>, 2025 (</w:t>
      </w:r>
      <w:r w:rsidR="00B24967">
        <w:rPr>
          <w:b/>
          <w:bCs/>
          <w:sz w:val="28"/>
          <w:szCs w:val="28"/>
        </w:rPr>
        <w:t xml:space="preserve">In Person + </w:t>
      </w:r>
      <w:proofErr w:type="spellStart"/>
      <w:r w:rsidR="00287C66" w:rsidRPr="00287C66">
        <w:rPr>
          <w:b/>
          <w:bCs/>
          <w:sz w:val="28"/>
          <w:szCs w:val="28"/>
        </w:rPr>
        <w:t>WebEx</w:t>
      </w:r>
      <w:proofErr w:type="spellEnd"/>
      <w:r w:rsidR="00287C66" w:rsidRPr="00287C66">
        <w:rPr>
          <w:b/>
          <w:bCs/>
          <w:sz w:val="28"/>
          <w:szCs w:val="28"/>
        </w:rPr>
        <w:t>)</w:t>
      </w:r>
    </w:p>
    <w:tbl>
      <w:tblPr>
        <w:tblW w:w="49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7110"/>
        <w:gridCol w:w="1620"/>
      </w:tblGrid>
      <w:tr w:rsidR="0056135A" w:rsidRPr="00A765CC" w14:paraId="2C1C752A" w14:textId="77777777" w:rsidTr="0056135A">
        <w:trPr>
          <w:trHeight w:val="630"/>
        </w:trPr>
        <w:tc>
          <w:tcPr>
            <w:tcW w:w="291" w:type="pct"/>
            <w:hideMark/>
          </w:tcPr>
          <w:p w14:paraId="2F8EFA68" w14:textId="77777777" w:rsidR="0056135A" w:rsidRPr="00A765CC" w:rsidRDefault="0056135A" w:rsidP="00A765CC">
            <w:r w:rsidRPr="00A765CC">
              <w:rPr>
                <w:b/>
                <w:bCs/>
              </w:rPr>
              <w:t>1.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23D7672" w14:textId="77777777" w:rsidR="0056135A" w:rsidRDefault="0056135A" w:rsidP="00A765CC">
            <w:pPr>
              <w:rPr>
                <w:b/>
                <w:bCs/>
              </w:rPr>
            </w:pPr>
            <w:r w:rsidRPr="00A765CC">
              <w:rPr>
                <w:b/>
                <w:bCs/>
              </w:rPr>
              <w:t>Antitrust Admonition</w:t>
            </w:r>
          </w:p>
          <w:p w14:paraId="1B292D78" w14:textId="7F18C514" w:rsidR="0056135A" w:rsidRPr="00A765CC" w:rsidRDefault="00DC7FCA" w:rsidP="00A765CC">
            <w:proofErr w:type="gramStart"/>
            <w:r>
              <w:t>Meeting</w:t>
            </w:r>
            <w:proofErr w:type="gramEnd"/>
            <w:r>
              <w:t xml:space="preserve"> </w:t>
            </w:r>
            <w:r w:rsidR="007B7E9D">
              <w:t xml:space="preserve">started </w:t>
            </w:r>
            <w:r>
              <w:t xml:space="preserve">at </w:t>
            </w:r>
            <w:r w:rsidR="00BD27C1">
              <w:t>11:30 am</w:t>
            </w:r>
            <w:r>
              <w:t xml:space="preserve">. </w:t>
            </w:r>
            <w:r w:rsidR="0056135A">
              <w:t>Antitrust admonition was given.</w:t>
            </w:r>
          </w:p>
        </w:tc>
        <w:tc>
          <w:tcPr>
            <w:tcW w:w="874" w:type="pct"/>
            <w:hideMark/>
          </w:tcPr>
          <w:p w14:paraId="15C2053A" w14:textId="77777777" w:rsidR="0056135A" w:rsidRPr="00A765CC" w:rsidRDefault="0056135A" w:rsidP="00A765CC">
            <w:r w:rsidRPr="00A765CC">
              <w:rPr>
                <w:b/>
                <w:bCs/>
              </w:rPr>
              <w:t>Chair</w:t>
            </w:r>
          </w:p>
        </w:tc>
      </w:tr>
      <w:tr w:rsidR="0056135A" w:rsidRPr="00A765CC" w14:paraId="4A04B9CE" w14:textId="77777777" w:rsidTr="0056135A">
        <w:trPr>
          <w:trHeight w:val="630"/>
        </w:trPr>
        <w:tc>
          <w:tcPr>
            <w:tcW w:w="291" w:type="pct"/>
            <w:hideMark/>
          </w:tcPr>
          <w:p w14:paraId="5AC78C3F" w14:textId="77777777" w:rsidR="0056135A" w:rsidRPr="00A765CC" w:rsidRDefault="0056135A" w:rsidP="00A765CC">
            <w:r w:rsidRPr="00A765CC">
              <w:rPr>
                <w:b/>
                <w:bCs/>
              </w:rPr>
              <w:t>2.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D6A44C6" w14:textId="77777777" w:rsidR="0056135A" w:rsidRDefault="0056135A" w:rsidP="00A765CC">
            <w:pPr>
              <w:rPr>
                <w:b/>
                <w:bCs/>
              </w:rPr>
            </w:pPr>
            <w:r w:rsidRPr="00A765CC">
              <w:rPr>
                <w:b/>
                <w:bCs/>
              </w:rPr>
              <w:t>Agenda Review</w:t>
            </w:r>
          </w:p>
          <w:p w14:paraId="345C2B5F" w14:textId="03AFE6BC" w:rsidR="0056135A" w:rsidRPr="00A765CC" w:rsidRDefault="0056135A" w:rsidP="00A765CC">
            <w:r>
              <w:t>Agenda was reviewed.</w:t>
            </w:r>
          </w:p>
        </w:tc>
        <w:tc>
          <w:tcPr>
            <w:tcW w:w="874" w:type="pct"/>
            <w:hideMark/>
          </w:tcPr>
          <w:p w14:paraId="4EF8B739" w14:textId="77777777" w:rsidR="0056135A" w:rsidRPr="00A765CC" w:rsidRDefault="0056135A" w:rsidP="00A765CC">
            <w:r w:rsidRPr="00A765CC">
              <w:rPr>
                <w:b/>
                <w:bCs/>
              </w:rPr>
              <w:t>Chair</w:t>
            </w:r>
          </w:p>
        </w:tc>
      </w:tr>
      <w:tr w:rsidR="0056135A" w:rsidRPr="00A765CC" w14:paraId="7FD5B6DD" w14:textId="77777777" w:rsidTr="0056135A">
        <w:trPr>
          <w:trHeight w:val="630"/>
        </w:trPr>
        <w:tc>
          <w:tcPr>
            <w:tcW w:w="291" w:type="pct"/>
            <w:hideMark/>
          </w:tcPr>
          <w:p w14:paraId="3258EB6E" w14:textId="77777777" w:rsidR="0056135A" w:rsidRPr="00A765CC" w:rsidRDefault="0056135A" w:rsidP="00A765CC">
            <w:r w:rsidRPr="00A765CC">
              <w:rPr>
                <w:b/>
                <w:bCs/>
              </w:rPr>
              <w:t>3.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418ACD8" w14:textId="173A442B" w:rsidR="0056135A" w:rsidRDefault="0056135A" w:rsidP="00A765CC">
            <w:pPr>
              <w:rPr>
                <w:b/>
                <w:bCs/>
              </w:rPr>
            </w:pPr>
            <w:r w:rsidRPr="00A765CC">
              <w:rPr>
                <w:b/>
                <w:bCs/>
              </w:rPr>
              <w:t>Review of PLWG Meeting Minutes (</w:t>
            </w:r>
            <w:r w:rsidR="005F7756">
              <w:rPr>
                <w:b/>
                <w:bCs/>
              </w:rPr>
              <w:t>July 29</w:t>
            </w:r>
            <w:r w:rsidR="002D22AD">
              <w:rPr>
                <w:b/>
                <w:bCs/>
              </w:rPr>
              <w:t>th</w:t>
            </w:r>
            <w:r w:rsidRPr="00A765CC">
              <w:rPr>
                <w:b/>
                <w:bCs/>
              </w:rPr>
              <w:t>)</w:t>
            </w:r>
          </w:p>
          <w:p w14:paraId="184C9B67" w14:textId="66E993B2" w:rsidR="0056135A" w:rsidRPr="00A765CC" w:rsidRDefault="0056135A" w:rsidP="00A765CC">
            <w:r>
              <w:t>Meeting minutes reviewed. No feedback received.</w:t>
            </w:r>
          </w:p>
        </w:tc>
        <w:tc>
          <w:tcPr>
            <w:tcW w:w="874" w:type="pct"/>
            <w:hideMark/>
          </w:tcPr>
          <w:p w14:paraId="4DF279FC" w14:textId="77777777" w:rsidR="0056135A" w:rsidRPr="00A765CC" w:rsidRDefault="0056135A" w:rsidP="00A765CC">
            <w:r w:rsidRPr="00A765CC">
              <w:rPr>
                <w:b/>
                <w:bCs/>
              </w:rPr>
              <w:t>Chair</w:t>
            </w:r>
          </w:p>
        </w:tc>
      </w:tr>
      <w:tr w:rsidR="00DB5C56" w:rsidRPr="00A765CC" w14:paraId="45D55A22" w14:textId="77777777" w:rsidTr="0056135A">
        <w:trPr>
          <w:trHeight w:val="630"/>
        </w:trPr>
        <w:tc>
          <w:tcPr>
            <w:tcW w:w="291" w:type="pct"/>
          </w:tcPr>
          <w:p w14:paraId="3ECEA174" w14:textId="17C8857E" w:rsidR="00DB5C56" w:rsidRPr="00A765CC" w:rsidRDefault="00DB5C56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310784" w14:textId="7331E816" w:rsidR="00DB5C56" w:rsidRPr="006F4888" w:rsidRDefault="00DB5C56" w:rsidP="00A765CC">
            <w:pPr>
              <w:rPr>
                <w:b/>
                <w:bCs/>
              </w:rPr>
            </w:pPr>
            <w:r w:rsidRPr="006F4888">
              <w:rPr>
                <w:b/>
                <w:bCs/>
              </w:rPr>
              <w:t>NPRR 128</w:t>
            </w:r>
            <w:r w:rsidR="00FD3130" w:rsidRPr="006F4888">
              <w:rPr>
                <w:b/>
                <w:bCs/>
              </w:rPr>
              <w:t>0</w:t>
            </w:r>
            <w:r w:rsidRPr="006F4888">
              <w:rPr>
                <w:b/>
                <w:bCs/>
              </w:rPr>
              <w:t xml:space="preserve"> - Establish Process for Permanent Bypass of Series Capacitor</w:t>
            </w:r>
          </w:p>
          <w:p w14:paraId="514D30A0" w14:textId="481747E2" w:rsidR="00137847" w:rsidRDefault="004A362C" w:rsidP="00A765CC">
            <w:r>
              <w:t xml:space="preserve">Sun Wook Kang (ERCOT) reviewed ERCOT comments (8/19). </w:t>
            </w:r>
            <w:r w:rsidR="007D28A9">
              <w:t xml:space="preserve">Comments reflect the official response to </w:t>
            </w:r>
            <w:r w:rsidR="00E2642F">
              <w:t>TIEC and LST/AEP joint comments.</w:t>
            </w:r>
            <w:r w:rsidR="00B952AE">
              <w:t xml:space="preserve"> To address TIEC’s feedback, ERCOT revised language to include a requirement that ERCOT conduct an economic analysis</w:t>
            </w:r>
            <w:r w:rsidR="00332907">
              <w:t xml:space="preserve"> for this project type.</w:t>
            </w:r>
          </w:p>
          <w:p w14:paraId="604993BF" w14:textId="15F035F2" w:rsidR="00AC6BD7" w:rsidRDefault="002018C9" w:rsidP="00A765CC">
            <w:r>
              <w:t xml:space="preserve">Aditi Upadhyay (Lonestar) </w:t>
            </w:r>
            <w:r w:rsidR="00AC6BD7">
              <w:t xml:space="preserve">suggested modifying language in subparagraph (ii) to add “for informational purposes only”. </w:t>
            </w:r>
            <w:r w:rsidR="00A94992">
              <w:t>Erin Rasmussen (AEP) – support</w:t>
            </w:r>
            <w:r>
              <w:t>ed</w:t>
            </w:r>
            <w:r w:rsidR="00A94992">
              <w:t xml:space="preserve"> Aditi’s suggestion</w:t>
            </w:r>
            <w:r w:rsidR="00AC6BD7">
              <w:t>.</w:t>
            </w:r>
          </w:p>
          <w:p w14:paraId="2AEB6B3D" w14:textId="32EF4E6F" w:rsidR="00F4501E" w:rsidRDefault="00AC6BD7" w:rsidP="00A765CC">
            <w:r>
              <w:t xml:space="preserve">Prabhu (ERCOT) </w:t>
            </w:r>
            <w:r w:rsidR="00D441F1">
              <w:t>–</w:t>
            </w:r>
            <w:r>
              <w:t xml:space="preserve"> </w:t>
            </w:r>
            <w:r w:rsidR="00D441F1">
              <w:t>Should</w:t>
            </w:r>
            <w:r w:rsidR="002018C9">
              <w:t xml:space="preserve"> already</w:t>
            </w:r>
            <w:r w:rsidR="00D441F1">
              <w:t xml:space="preserve"> be language that states ERCOT doesn’t make its decision based on </w:t>
            </w:r>
            <w:r w:rsidR="002018C9">
              <w:t xml:space="preserve">the </w:t>
            </w:r>
            <w:r w:rsidR="00D441F1">
              <w:t>that</w:t>
            </w:r>
            <w:r w:rsidR="002018C9">
              <w:t xml:space="preserve"> analysis and</w:t>
            </w:r>
            <w:r w:rsidR="00F4501E">
              <w:t xml:space="preserve"> implies that it</w:t>
            </w:r>
            <w:r w:rsidR="002018C9">
              <w:t xml:space="preserve"> is</w:t>
            </w:r>
            <w:r w:rsidR="00F4501E">
              <w:t xml:space="preserve"> informational purpose for the stakeholders to comment from.</w:t>
            </w:r>
          </w:p>
          <w:p w14:paraId="44C9E3CD" w14:textId="04C72189" w:rsidR="00C8240C" w:rsidRPr="00137847" w:rsidRDefault="00A94992" w:rsidP="00A765CC">
            <w:r>
              <w:t xml:space="preserve"> </w:t>
            </w:r>
            <w:proofErr w:type="gramStart"/>
            <w:r w:rsidR="00E71314">
              <w:t>Chair</w:t>
            </w:r>
            <w:proofErr w:type="gramEnd"/>
            <w:r w:rsidR="00E71314">
              <w:t xml:space="preserve"> asked for feedback</w:t>
            </w:r>
            <w:r w:rsidR="00FC49E6">
              <w:t>.</w:t>
            </w:r>
          </w:p>
          <w:p w14:paraId="1814B2B0" w14:textId="2DB1F9C3" w:rsidR="006F1F5D" w:rsidRPr="006F1F5D" w:rsidRDefault="006F1F5D" w:rsidP="00A765CC">
            <w:pPr>
              <w:rPr>
                <w:b/>
                <w:bCs/>
                <w:i/>
                <w:iCs/>
              </w:rPr>
            </w:pPr>
            <w:r w:rsidRPr="006F1F5D">
              <w:rPr>
                <w:b/>
                <w:bCs/>
                <w:i/>
                <w:iCs/>
              </w:rPr>
              <w:t>Action Taken:</w:t>
            </w:r>
            <w:r w:rsidR="00E71314">
              <w:rPr>
                <w:b/>
                <w:bCs/>
                <w:i/>
                <w:iCs/>
              </w:rPr>
              <w:t xml:space="preserve"> </w:t>
            </w:r>
            <w:r w:rsidR="00E71314" w:rsidRPr="002018C9">
              <w:rPr>
                <w:b/>
                <w:bCs/>
                <w:i/>
                <w:iCs/>
              </w:rPr>
              <w:t xml:space="preserve">Will report </w:t>
            </w:r>
            <w:r w:rsidR="00FC49E6" w:rsidRPr="002018C9">
              <w:rPr>
                <w:b/>
                <w:bCs/>
                <w:i/>
                <w:iCs/>
              </w:rPr>
              <w:t xml:space="preserve">back to ROS </w:t>
            </w:r>
            <w:r w:rsidR="00E71314" w:rsidRPr="002018C9">
              <w:rPr>
                <w:b/>
                <w:bCs/>
                <w:i/>
                <w:iCs/>
              </w:rPr>
              <w:t>that</w:t>
            </w:r>
            <w:r w:rsidR="00FC49E6" w:rsidRPr="002018C9">
              <w:rPr>
                <w:b/>
                <w:bCs/>
                <w:i/>
                <w:iCs/>
              </w:rPr>
              <w:t xml:space="preserve"> PLWG reached consensus on the language.</w:t>
            </w:r>
          </w:p>
        </w:tc>
        <w:tc>
          <w:tcPr>
            <w:tcW w:w="874" w:type="pct"/>
          </w:tcPr>
          <w:p w14:paraId="407B3B25" w14:textId="611DF869" w:rsidR="00DB5C56" w:rsidRDefault="00800FEF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t>ERCOT</w:t>
            </w:r>
          </w:p>
          <w:p w14:paraId="6D17D1B7" w14:textId="77777777" w:rsidR="002714D4" w:rsidRPr="00A765CC" w:rsidRDefault="002714D4" w:rsidP="00A765CC">
            <w:pPr>
              <w:rPr>
                <w:b/>
                <w:bCs/>
              </w:rPr>
            </w:pPr>
          </w:p>
        </w:tc>
      </w:tr>
      <w:tr w:rsidR="00800FEF" w:rsidRPr="00A765CC" w14:paraId="7EA0D1F4" w14:textId="77777777" w:rsidTr="0056135A">
        <w:trPr>
          <w:trHeight w:val="630"/>
        </w:trPr>
        <w:tc>
          <w:tcPr>
            <w:tcW w:w="291" w:type="pct"/>
          </w:tcPr>
          <w:p w14:paraId="1BCBC0EA" w14:textId="6C1FC4CC" w:rsidR="00800FEF" w:rsidRDefault="00800FEF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2FFE89B" w14:textId="77777777" w:rsidR="00800FEF" w:rsidRDefault="00800FEF" w:rsidP="00A765CC">
            <w:pPr>
              <w:rPr>
                <w:b/>
                <w:bCs/>
              </w:rPr>
            </w:pPr>
            <w:r w:rsidRPr="00CD6C60">
              <w:rPr>
                <w:b/>
                <w:bCs/>
              </w:rPr>
              <w:t>NPRR 1274</w:t>
            </w:r>
            <w:r>
              <w:rPr>
                <w:b/>
                <w:bCs/>
              </w:rPr>
              <w:t xml:space="preserve"> –</w:t>
            </w:r>
            <w:r w:rsidRPr="00CD6C60">
              <w:rPr>
                <w:b/>
                <w:bCs/>
              </w:rPr>
              <w:t xml:space="preserve"> RPG</w:t>
            </w:r>
            <w:r>
              <w:rPr>
                <w:b/>
                <w:bCs/>
              </w:rPr>
              <w:t xml:space="preserve"> </w:t>
            </w:r>
            <w:r w:rsidRPr="00CD6C60">
              <w:rPr>
                <w:b/>
                <w:bCs/>
              </w:rPr>
              <w:t>Estimated Capital Cost Thresholds of Proposed Transmission Projects</w:t>
            </w:r>
          </w:p>
          <w:p w14:paraId="21A45478" w14:textId="1343CAEE" w:rsidR="0032192A" w:rsidRPr="00FA5326" w:rsidRDefault="0033156B" w:rsidP="00A765CC">
            <w:r>
              <w:t>ERCOT still awaiting info needed to complete their comments</w:t>
            </w:r>
            <w:r w:rsidR="00957031">
              <w:t xml:space="preserve"> and respond to Oncor and the Joint Commenters’ comments. </w:t>
            </w:r>
            <w:r w:rsidR="002018C9">
              <w:t xml:space="preserve">As far as </w:t>
            </w:r>
            <w:proofErr w:type="gramStart"/>
            <w:r w:rsidR="002018C9">
              <w:t>t</w:t>
            </w:r>
            <w:r w:rsidR="00957031">
              <w:t>imeline</w:t>
            </w:r>
            <w:proofErr w:type="gramEnd"/>
            <w:r w:rsidR="002018C9">
              <w:t xml:space="preserve">, ERCOT intends </w:t>
            </w:r>
            <w:r w:rsidR="00957031">
              <w:t>to</w:t>
            </w:r>
            <w:r w:rsidR="002018C9">
              <w:t xml:space="preserve"> bring this revision request </w:t>
            </w:r>
            <w:r w:rsidR="00957031">
              <w:t>to the Board of Directors in December.</w:t>
            </w:r>
          </w:p>
          <w:p w14:paraId="72B4998A" w14:textId="6B85516E" w:rsidR="006F1F5D" w:rsidRPr="006F1F5D" w:rsidRDefault="006F1F5D" w:rsidP="00A765CC">
            <w:pPr>
              <w:rPr>
                <w:b/>
                <w:bCs/>
                <w:i/>
                <w:iCs/>
              </w:rPr>
            </w:pPr>
            <w:r w:rsidRPr="006F1F5D">
              <w:rPr>
                <w:b/>
                <w:bCs/>
                <w:i/>
                <w:iCs/>
              </w:rPr>
              <w:t xml:space="preserve">Action Taken: </w:t>
            </w:r>
            <w:r w:rsidR="002018C9">
              <w:rPr>
                <w:b/>
                <w:bCs/>
                <w:i/>
                <w:iCs/>
              </w:rPr>
              <w:t>Continued to table</w:t>
            </w:r>
            <w:r w:rsidRPr="006F1F5D">
              <w:rPr>
                <w:b/>
                <w:bCs/>
                <w:i/>
                <w:iCs/>
              </w:rPr>
              <w:t xml:space="preserve"> pending ERCOT comments and RFI feedback.</w:t>
            </w:r>
          </w:p>
        </w:tc>
        <w:tc>
          <w:tcPr>
            <w:tcW w:w="874" w:type="pct"/>
          </w:tcPr>
          <w:p w14:paraId="15732D62" w14:textId="04B02A8F" w:rsidR="00800FEF" w:rsidRDefault="00800FEF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t>ERCOT</w:t>
            </w:r>
          </w:p>
        </w:tc>
      </w:tr>
      <w:tr w:rsidR="0056135A" w:rsidRPr="00A765CC" w14:paraId="0FD7E72D" w14:textId="77777777" w:rsidTr="00240829">
        <w:trPr>
          <w:trHeight w:val="345"/>
        </w:trPr>
        <w:tc>
          <w:tcPr>
            <w:tcW w:w="291" w:type="pct"/>
            <w:hideMark/>
          </w:tcPr>
          <w:p w14:paraId="66C479BD" w14:textId="3B69680E" w:rsidR="0056135A" w:rsidRPr="00A765CC" w:rsidRDefault="000A295C" w:rsidP="00A765CC">
            <w:r>
              <w:rPr>
                <w:b/>
                <w:bCs/>
              </w:rPr>
              <w:t>6</w:t>
            </w:r>
            <w:r w:rsidR="0056135A" w:rsidRPr="00A765CC">
              <w:rPr>
                <w:b/>
                <w:bCs/>
              </w:rPr>
              <w:t>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A7F28EB" w14:textId="77777777" w:rsidR="0056135A" w:rsidRPr="00A765CC" w:rsidRDefault="0056135A" w:rsidP="00A765CC">
            <w:r w:rsidRPr="00A765CC">
              <w:rPr>
                <w:b/>
                <w:bCs/>
              </w:rPr>
              <w:t>PGRR 122 – Reliability Performance Criteria for Loss of Load</w:t>
            </w:r>
          </w:p>
        </w:tc>
        <w:tc>
          <w:tcPr>
            <w:tcW w:w="874" w:type="pct"/>
            <w:hideMark/>
          </w:tcPr>
          <w:p w14:paraId="1B51905F" w14:textId="77777777" w:rsidR="0056135A" w:rsidRPr="00A765CC" w:rsidRDefault="0056135A" w:rsidP="00A765CC">
            <w:r w:rsidRPr="00A765CC">
              <w:rPr>
                <w:b/>
                <w:bCs/>
              </w:rPr>
              <w:t>ERCOT/PLWG</w:t>
            </w:r>
          </w:p>
        </w:tc>
      </w:tr>
      <w:tr w:rsidR="00240829" w:rsidRPr="00A765CC" w14:paraId="028401F1" w14:textId="77777777" w:rsidTr="00240829">
        <w:trPr>
          <w:trHeight w:val="990"/>
        </w:trPr>
        <w:tc>
          <w:tcPr>
            <w:tcW w:w="291" w:type="pct"/>
          </w:tcPr>
          <w:p w14:paraId="58CA2D1A" w14:textId="2F21FB06" w:rsidR="00240829" w:rsidRPr="00A765CC" w:rsidRDefault="00240829" w:rsidP="00A765CC">
            <w:pPr>
              <w:rPr>
                <w:b/>
                <w:bCs/>
              </w:rPr>
            </w:pP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4E1811E" w14:textId="0557D685" w:rsidR="000A295C" w:rsidRDefault="00527D10" w:rsidP="00AC0571">
            <w:r>
              <w:t>Chair shared an update on behalf of Jeff Billo (ERCOT). ERCOT is still p</w:t>
            </w:r>
            <w:r w:rsidR="000A295C">
              <w:t>erforming additional studies (discussion at LLWG). Studies will be forthcoming later this year – plan to keep tabled for next few months.</w:t>
            </w:r>
          </w:p>
          <w:p w14:paraId="5F31332F" w14:textId="7491D05C" w:rsidR="00240829" w:rsidRPr="00717207" w:rsidRDefault="00527D10" w:rsidP="00AC0571">
            <w:r>
              <w:rPr>
                <w:b/>
                <w:bCs/>
                <w:i/>
                <w:iCs/>
              </w:rPr>
              <w:t>Action Taken:</w:t>
            </w:r>
            <w:r w:rsidR="00C020F5">
              <w:rPr>
                <w:b/>
                <w:bCs/>
                <w:i/>
                <w:iCs/>
              </w:rPr>
              <w:t xml:space="preserve"> </w:t>
            </w:r>
            <w:r w:rsidR="00F231D6" w:rsidRPr="00084DDC">
              <w:rPr>
                <w:b/>
                <w:bCs/>
                <w:i/>
                <w:iCs/>
              </w:rPr>
              <w:t>Continue</w:t>
            </w:r>
            <w:r w:rsidR="003979F5">
              <w:rPr>
                <w:b/>
                <w:bCs/>
                <w:i/>
                <w:iCs/>
              </w:rPr>
              <w:t>d</w:t>
            </w:r>
            <w:r w:rsidR="00F231D6" w:rsidRPr="00084DDC">
              <w:rPr>
                <w:b/>
                <w:bCs/>
                <w:i/>
                <w:iCs/>
              </w:rPr>
              <w:t xml:space="preserve"> to table</w:t>
            </w:r>
            <w:r w:rsidR="003979F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(expected 2-3 months).</w:t>
            </w:r>
          </w:p>
        </w:tc>
        <w:tc>
          <w:tcPr>
            <w:tcW w:w="874" w:type="pct"/>
          </w:tcPr>
          <w:p w14:paraId="7D856BC3" w14:textId="0EAA6140" w:rsidR="00240829" w:rsidRDefault="00240829" w:rsidP="00A765CC">
            <w:pPr>
              <w:rPr>
                <w:b/>
                <w:bCs/>
              </w:rPr>
            </w:pPr>
          </w:p>
        </w:tc>
      </w:tr>
      <w:tr w:rsidR="0056135A" w:rsidRPr="00A765CC" w14:paraId="775359B9" w14:textId="77777777" w:rsidTr="0056135A">
        <w:trPr>
          <w:trHeight w:val="645"/>
        </w:trPr>
        <w:tc>
          <w:tcPr>
            <w:tcW w:w="291" w:type="pct"/>
            <w:hideMark/>
          </w:tcPr>
          <w:p w14:paraId="06707E77" w14:textId="01F99779" w:rsidR="0056135A" w:rsidRPr="00A765CC" w:rsidRDefault="000A295C" w:rsidP="00A765CC">
            <w:r>
              <w:rPr>
                <w:b/>
                <w:bCs/>
              </w:rPr>
              <w:t>7</w:t>
            </w:r>
            <w:r w:rsidR="0056135A" w:rsidRPr="00A765CC">
              <w:rPr>
                <w:b/>
                <w:bCs/>
              </w:rPr>
              <w:t>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D95913B" w14:textId="2321FA7F" w:rsidR="0056135A" w:rsidRDefault="00240829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t>PGRR 124 – ESR Maintenance Exception to Modification</w:t>
            </w:r>
          </w:p>
          <w:p w14:paraId="301C8633" w14:textId="01A2549A" w:rsidR="00B44F59" w:rsidRPr="00B753D1" w:rsidRDefault="00B753D1" w:rsidP="00A765CC">
            <w:r w:rsidRPr="00B753D1">
              <w:t xml:space="preserve">Eric </w:t>
            </w:r>
            <w:r>
              <w:t xml:space="preserve">Goff </w:t>
            </w:r>
            <w:r w:rsidR="00803490">
              <w:t xml:space="preserve">(on behalf of Tesla) shared that Tesla has conducted several conversations with ERCOT. </w:t>
            </w:r>
            <w:proofErr w:type="gramStart"/>
            <w:r w:rsidR="00803490">
              <w:t>Has</w:t>
            </w:r>
            <w:proofErr w:type="gramEnd"/>
            <w:r w:rsidR="00803490">
              <w:t xml:space="preserve"> primarily focused on the Advanced Grid </w:t>
            </w:r>
            <w:r w:rsidR="00D81A4E">
              <w:t>Requirements</w:t>
            </w:r>
            <w:r w:rsidR="00803490">
              <w:t xml:space="preserve"> PGRR and NOGRR</w:t>
            </w:r>
            <w:r w:rsidR="002018C9">
              <w:t xml:space="preserve">; Tesla </w:t>
            </w:r>
            <w:r w:rsidR="00D81A4E">
              <w:t xml:space="preserve">has elected to let those RRs move forward due to overlapping language. </w:t>
            </w:r>
            <w:proofErr w:type="gramStart"/>
            <w:r w:rsidR="00D81A4E">
              <w:t>Willing</w:t>
            </w:r>
            <w:proofErr w:type="gramEnd"/>
            <w:r w:rsidR="00D81A4E">
              <w:t xml:space="preserve"> to keep this Tabled.</w:t>
            </w:r>
          </w:p>
          <w:p w14:paraId="24B05946" w14:textId="18F34CBD" w:rsidR="0056135A" w:rsidRPr="00A765CC" w:rsidRDefault="009D2313" w:rsidP="00A765C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Action</w:t>
            </w:r>
            <w:r w:rsidR="00527D10">
              <w:rPr>
                <w:b/>
                <w:bCs/>
                <w:i/>
                <w:iCs/>
              </w:rPr>
              <w:t xml:space="preserve"> Taken</w:t>
            </w:r>
            <w:r>
              <w:rPr>
                <w:b/>
                <w:bCs/>
                <w:i/>
                <w:iCs/>
              </w:rPr>
              <w:t xml:space="preserve">: </w:t>
            </w:r>
            <w:r w:rsidR="00E741C8">
              <w:rPr>
                <w:b/>
                <w:bCs/>
                <w:i/>
                <w:iCs/>
              </w:rPr>
              <w:t>Continue</w:t>
            </w:r>
            <w:r w:rsidR="00064D14">
              <w:rPr>
                <w:b/>
                <w:bCs/>
                <w:i/>
                <w:iCs/>
              </w:rPr>
              <w:t>d</w:t>
            </w:r>
            <w:r w:rsidR="00E741C8">
              <w:rPr>
                <w:b/>
                <w:bCs/>
                <w:i/>
                <w:iCs/>
              </w:rPr>
              <w:t xml:space="preserve"> to table.</w:t>
            </w:r>
          </w:p>
        </w:tc>
        <w:tc>
          <w:tcPr>
            <w:tcW w:w="874" w:type="pct"/>
            <w:hideMark/>
          </w:tcPr>
          <w:p w14:paraId="1C5D9531" w14:textId="437E432A" w:rsidR="0056135A" w:rsidRPr="00A765CC" w:rsidRDefault="00240829" w:rsidP="00A765CC">
            <w:r>
              <w:rPr>
                <w:b/>
                <w:bCs/>
              </w:rPr>
              <w:t>Tesla</w:t>
            </w:r>
            <w:r w:rsidR="00AC0571">
              <w:rPr>
                <w:b/>
                <w:bCs/>
              </w:rPr>
              <w:t xml:space="preserve"> / Eric Goff</w:t>
            </w:r>
          </w:p>
        </w:tc>
      </w:tr>
      <w:tr w:rsidR="0056135A" w:rsidRPr="00A765CC" w14:paraId="5C311365" w14:textId="77777777" w:rsidTr="0056135A">
        <w:trPr>
          <w:trHeight w:val="630"/>
        </w:trPr>
        <w:tc>
          <w:tcPr>
            <w:tcW w:w="291" w:type="pct"/>
            <w:hideMark/>
          </w:tcPr>
          <w:p w14:paraId="59FC715B" w14:textId="2F18EA6E" w:rsidR="0056135A" w:rsidRPr="00A765CC" w:rsidRDefault="00B44F59" w:rsidP="00A765CC">
            <w:r>
              <w:rPr>
                <w:b/>
                <w:bCs/>
              </w:rPr>
              <w:t>8</w:t>
            </w:r>
            <w:r w:rsidR="0056135A" w:rsidRPr="00A765CC">
              <w:rPr>
                <w:b/>
                <w:bCs/>
              </w:rPr>
              <w:t>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DF78FA5" w14:textId="4E5556FA" w:rsidR="0056135A" w:rsidRDefault="002D22AD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t>PGRR 126 – Related to NPRR1284, Guaranteed Reliability Load Process</w:t>
            </w:r>
          </w:p>
          <w:p w14:paraId="2784CECE" w14:textId="4B943C23" w:rsidR="008672C2" w:rsidRDefault="008672C2" w:rsidP="00481527">
            <w:r>
              <w:t>Discussed jointly with Item #9, below.</w:t>
            </w:r>
          </w:p>
          <w:p w14:paraId="5C7ED45E" w14:textId="66FD7D74" w:rsidR="00652DA0" w:rsidRDefault="00652DA0" w:rsidP="00481527">
            <w:r>
              <w:t xml:space="preserve">Clayton Greer </w:t>
            </w:r>
            <w:r w:rsidR="002018C9">
              <w:t xml:space="preserve">(Cholla Petroleum) </w:t>
            </w:r>
            <w:r>
              <w:t xml:space="preserve">– Has had conversations with ERCOT. The PGRR and NPRR may not be needed since we </w:t>
            </w:r>
            <w:r w:rsidR="002018C9">
              <w:t>can</w:t>
            </w:r>
            <w:r>
              <w:t xml:space="preserve"> put</w:t>
            </w:r>
            <w:r w:rsidR="002018C9">
              <w:t xml:space="preserve"> Large Loads </w:t>
            </w:r>
            <w:r>
              <w:t>into SCED as a CLR already. Received comments from Google</w:t>
            </w:r>
            <w:r w:rsidR="002018C9">
              <w:t xml:space="preserve"> (7/11)</w:t>
            </w:r>
            <w:r>
              <w:t xml:space="preserve"> and like the </w:t>
            </w:r>
            <w:r w:rsidR="002018C9">
              <w:t>suggestion to use the terminology</w:t>
            </w:r>
            <w:r>
              <w:t xml:space="preserve"> </w:t>
            </w:r>
            <w:r w:rsidR="002018C9">
              <w:t>“</w:t>
            </w:r>
            <w:r>
              <w:t>provisional load interconnection</w:t>
            </w:r>
            <w:r w:rsidR="002018C9">
              <w:t>”</w:t>
            </w:r>
            <w:r>
              <w:t xml:space="preserve">. Google process would have limitation to </w:t>
            </w:r>
            <w:r w:rsidR="00420E37">
              <w:t>100</w:t>
            </w:r>
            <w:r>
              <w:t xml:space="preserve"> operational hours per year.</w:t>
            </w:r>
          </w:p>
          <w:p w14:paraId="2031C9CA" w14:textId="61D65328" w:rsidR="00420E37" w:rsidRDefault="00420E37" w:rsidP="00481527">
            <w:r>
              <w:t xml:space="preserve">Harsh </w:t>
            </w:r>
            <w:r w:rsidR="002018C9">
              <w:t xml:space="preserve">Naik </w:t>
            </w:r>
            <w:r>
              <w:t xml:space="preserve">(Oncor) – </w:t>
            </w:r>
            <w:r w:rsidR="00941BEA">
              <w:t xml:space="preserve">CLR </w:t>
            </w:r>
            <w:r>
              <w:t>concept makes sense.</w:t>
            </w:r>
          </w:p>
          <w:p w14:paraId="2EF55749" w14:textId="37F371B1" w:rsidR="00420E37" w:rsidRDefault="00420E37" w:rsidP="00481527">
            <w:r>
              <w:t xml:space="preserve">Chris Matos (Google) – </w:t>
            </w:r>
            <w:r w:rsidR="002018C9">
              <w:t>Explained the 100-hour</w:t>
            </w:r>
            <w:r>
              <w:t xml:space="preserve"> operation</w:t>
            </w:r>
            <w:r w:rsidR="002018C9">
              <w:t xml:space="preserve"> limit</w:t>
            </w:r>
            <w:r>
              <w:t xml:space="preserve"> concept.</w:t>
            </w:r>
          </w:p>
          <w:p w14:paraId="141DC44E" w14:textId="7F84E648" w:rsidR="00B7228B" w:rsidRDefault="00B7228B" w:rsidP="00481527">
            <w:r>
              <w:t xml:space="preserve">Clayton – </w:t>
            </w:r>
            <w:r w:rsidR="002018C9">
              <w:t xml:space="preserve">Feels that 100 hours is a decently high amount and provides a </w:t>
            </w:r>
            <w:r>
              <w:t>reasonable ground to meet security</w:t>
            </w:r>
            <w:r w:rsidR="008672C2">
              <w:t xml:space="preserve"> in between unlimited 24/7 hours</w:t>
            </w:r>
            <w:r w:rsidR="002018C9">
              <w:t>.</w:t>
            </w:r>
          </w:p>
          <w:p w14:paraId="581321BD" w14:textId="45C7C854" w:rsidR="00DF0AF2" w:rsidRDefault="00DF0AF2" w:rsidP="00481527">
            <w:r>
              <w:t xml:space="preserve">Eric Goff – In general interest of advancing topic, </w:t>
            </w:r>
            <w:r w:rsidR="00625047">
              <w:t xml:space="preserve">thinks it’s interesting that might not be necessary due </w:t>
            </w:r>
            <w:r w:rsidR="002018C9">
              <w:t>to</w:t>
            </w:r>
            <w:r w:rsidR="00625047">
              <w:t xml:space="preserve"> the CLR approach. But</w:t>
            </w:r>
            <w:r w:rsidR="002018C9">
              <w:t xml:space="preserve"> it also</w:t>
            </w:r>
            <w:r w:rsidR="00625047">
              <w:t xml:space="preserve"> has a client that has received feedback that the CLR approach is insufficient. There still may need to be a tie-in to the operations component.</w:t>
            </w:r>
          </w:p>
          <w:p w14:paraId="75466C2D" w14:textId="05109B8E" w:rsidR="00625047" w:rsidRDefault="00625047" w:rsidP="00481527">
            <w:r>
              <w:t>Clayton – Thinks it still goes back to SB 6 kill switch option.</w:t>
            </w:r>
            <w:r w:rsidR="00491AFD">
              <w:t xml:space="preserve"> If you try to exit the program, then they still have the right to cut you off.</w:t>
            </w:r>
          </w:p>
          <w:p w14:paraId="107A256D" w14:textId="2AA097F6" w:rsidR="00F76A9D" w:rsidRDefault="00F76A9D" w:rsidP="00481527">
            <w:r>
              <w:t xml:space="preserve">Bob Wittmeyer – </w:t>
            </w:r>
            <w:r w:rsidR="005F32D8">
              <w:t>Seems</w:t>
            </w:r>
            <w:r w:rsidR="002018C9">
              <w:t xml:space="preserve"> the</w:t>
            </w:r>
            <w:r w:rsidR="005F32D8">
              <w:t xml:space="preserve"> best path forward is to incorporate into the rulemaking for </w:t>
            </w:r>
            <w:r>
              <w:t>SB 6</w:t>
            </w:r>
            <w:r w:rsidR="005F32D8">
              <w:t>.</w:t>
            </w:r>
          </w:p>
          <w:p w14:paraId="1986A9D8" w14:textId="1EFC8D8D" w:rsidR="004A5F21" w:rsidRDefault="004A5F21" w:rsidP="00481527">
            <w:r>
              <w:t>Chris Matos – Not fully read up on 1188, an exchange for capacity. Sees it as a different issue from SB 6 implementation (which provides emergency criteria for switch opening)</w:t>
            </w:r>
            <w:r w:rsidR="00450D31">
              <w:t>. Preference to formally codify the program in an NPRR or other language, to make sure that there</w:t>
            </w:r>
            <w:r w:rsidR="002018C9">
              <w:t xml:space="preserve"> isn’t</w:t>
            </w:r>
            <w:r w:rsidR="00450D31">
              <w:t xml:space="preserve"> vagueness in the operational implementation (</w:t>
            </w:r>
            <w:r w:rsidR="002018C9">
              <w:t xml:space="preserve">and would look for </w:t>
            </w:r>
            <w:r w:rsidR="00450D31">
              <w:t xml:space="preserve">TDSP / </w:t>
            </w:r>
            <w:r w:rsidR="00C75292">
              <w:t>ERCOT guidance).</w:t>
            </w:r>
          </w:p>
          <w:p w14:paraId="24CC88B1" w14:textId="72FBA4AC" w:rsidR="003F5F06" w:rsidRDefault="003F5F06" w:rsidP="00481527">
            <w:r>
              <w:lastRenderedPageBreak/>
              <w:t xml:space="preserve">Clayton posed </w:t>
            </w:r>
            <w:proofErr w:type="gramStart"/>
            <w:r>
              <w:t>question</w:t>
            </w:r>
            <w:proofErr w:type="gramEnd"/>
            <w:r>
              <w:t xml:space="preserve"> to ERCOT and TDSPs - Is there an acceptable limit?</w:t>
            </w:r>
          </w:p>
          <w:p w14:paraId="6C803F4A" w14:textId="0FBC3A1E" w:rsidR="00183A54" w:rsidRDefault="00183A54" w:rsidP="00481527">
            <w:r>
              <w:t>Harsh Naik (Oncor) – The 100 hours sounds like probab</w:t>
            </w:r>
            <w:r w:rsidR="002018C9">
              <w:t>ility</w:t>
            </w:r>
            <w:r>
              <w:t xml:space="preserve"> of being curtailed. If you’re a CLR and need to curtail to certain amount (varies depending on system limitations)</w:t>
            </w:r>
            <w:r w:rsidR="008B14E4">
              <w:t>. Seems like it’s two different things.</w:t>
            </w:r>
          </w:p>
          <w:p w14:paraId="537AEE9B" w14:textId="7F84CD77" w:rsidR="008B14E4" w:rsidRDefault="006439BA" w:rsidP="00481527">
            <w:r>
              <w:t xml:space="preserve">Mina </w:t>
            </w:r>
            <w:r w:rsidR="002018C9">
              <w:t>Turner (AEP)</w:t>
            </w:r>
            <w:r>
              <w:t>– How would you plan for this sort of contingency? How do you plan for the Load to be off for 100 hours?</w:t>
            </w:r>
          </w:p>
          <w:p w14:paraId="335B5917" w14:textId="39EE2818" w:rsidR="00F71B8F" w:rsidRDefault="00F71B8F" w:rsidP="00481527">
            <w:r>
              <w:t>Ping</w:t>
            </w:r>
            <w:r w:rsidR="002018C9">
              <w:t xml:space="preserve"> Yan (ERCOT)</w:t>
            </w:r>
            <w:r>
              <w:t xml:space="preserve"> – Feels it will be beneficial to keep tabled. </w:t>
            </w:r>
            <w:proofErr w:type="gramStart"/>
            <w:r>
              <w:t>Want</w:t>
            </w:r>
            <w:proofErr w:type="gramEnd"/>
            <w:r>
              <w:t xml:space="preserve"> to </w:t>
            </w:r>
            <w:r w:rsidR="00C21032">
              <w:t>contemplate how it would be incorporated into Planning Studies.</w:t>
            </w:r>
          </w:p>
          <w:p w14:paraId="52847EFD" w14:textId="08A461E5" w:rsidR="00140C27" w:rsidRDefault="00C21032" w:rsidP="00481527">
            <w:r>
              <w:t xml:space="preserve">Clayton – Good with remaining tabled. </w:t>
            </w:r>
            <w:r w:rsidR="002018C9">
              <w:t xml:space="preserve">Again, </w:t>
            </w:r>
            <w:proofErr w:type="gramStart"/>
            <w:r w:rsidR="002018C9">
              <w:t>m</w:t>
            </w:r>
            <w:r w:rsidR="00140C27">
              <w:t>ay</w:t>
            </w:r>
            <w:proofErr w:type="gramEnd"/>
            <w:r w:rsidR="00140C27">
              <w:t xml:space="preserve"> not need the NOGRR</w:t>
            </w:r>
            <w:r w:rsidR="00DD116F">
              <w:t xml:space="preserve"> due to CLR.</w:t>
            </w:r>
          </w:p>
          <w:p w14:paraId="44959224" w14:textId="31028655" w:rsidR="000A3627" w:rsidRPr="00481527" w:rsidRDefault="000A3627" w:rsidP="00481527"/>
        </w:tc>
        <w:tc>
          <w:tcPr>
            <w:tcW w:w="874" w:type="pct"/>
            <w:hideMark/>
          </w:tcPr>
          <w:p w14:paraId="39144000" w14:textId="220309CB" w:rsidR="0056135A" w:rsidRPr="002D22AD" w:rsidRDefault="002D22AD" w:rsidP="00A765CC">
            <w:pPr>
              <w:rPr>
                <w:b/>
                <w:bCs/>
              </w:rPr>
            </w:pPr>
            <w:r w:rsidRPr="002D22AD">
              <w:rPr>
                <w:b/>
                <w:bCs/>
              </w:rPr>
              <w:lastRenderedPageBreak/>
              <w:t>Clayton Greer</w:t>
            </w:r>
          </w:p>
        </w:tc>
      </w:tr>
      <w:tr w:rsidR="00C82359" w:rsidRPr="00A765CC" w14:paraId="78EC6F2A" w14:textId="77777777" w:rsidTr="0056135A">
        <w:trPr>
          <w:trHeight w:val="630"/>
        </w:trPr>
        <w:tc>
          <w:tcPr>
            <w:tcW w:w="291" w:type="pct"/>
          </w:tcPr>
          <w:p w14:paraId="6A684F1C" w14:textId="77777777" w:rsidR="00C82359" w:rsidRDefault="00C82359" w:rsidP="00A765CC">
            <w:pPr>
              <w:rPr>
                <w:b/>
                <w:bCs/>
              </w:rPr>
            </w:pP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EAFDD35" w14:textId="69E5F165" w:rsidR="005A6957" w:rsidRPr="0010261B" w:rsidRDefault="00017743" w:rsidP="00E669C8">
            <w:pPr>
              <w:rPr>
                <w:b/>
                <w:bCs/>
                <w:i/>
                <w:iCs/>
              </w:rPr>
            </w:pPr>
            <w:r w:rsidRPr="0010261B">
              <w:rPr>
                <w:b/>
                <w:bCs/>
                <w:i/>
                <w:iCs/>
              </w:rPr>
              <w:t>Action Taken: Tabled</w:t>
            </w:r>
            <w:r w:rsidR="0010261B">
              <w:rPr>
                <w:b/>
                <w:bCs/>
                <w:i/>
                <w:iCs/>
              </w:rPr>
              <w:t xml:space="preserve"> to allow Sponsor to work with ERCOT on incorporating into Planning Studies</w:t>
            </w:r>
            <w:r w:rsidR="000D76BE" w:rsidRPr="0010261B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874" w:type="pct"/>
          </w:tcPr>
          <w:p w14:paraId="7BC613A4" w14:textId="77777777" w:rsidR="00C82359" w:rsidRPr="002D22AD" w:rsidRDefault="00C82359" w:rsidP="00A765CC">
            <w:pPr>
              <w:rPr>
                <w:b/>
                <w:bCs/>
              </w:rPr>
            </w:pPr>
          </w:p>
        </w:tc>
      </w:tr>
      <w:tr w:rsidR="00B44F59" w:rsidRPr="00A765CC" w14:paraId="646DF54E" w14:textId="77777777" w:rsidTr="0056135A">
        <w:trPr>
          <w:trHeight w:val="630"/>
        </w:trPr>
        <w:tc>
          <w:tcPr>
            <w:tcW w:w="291" w:type="pct"/>
          </w:tcPr>
          <w:p w14:paraId="2C9C77C9" w14:textId="6AD84D35" w:rsidR="00B44F59" w:rsidRDefault="00B44F59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FF855EC" w14:textId="77777777" w:rsidR="00B44F59" w:rsidRDefault="00B44F59" w:rsidP="00E669C8">
            <w:pPr>
              <w:rPr>
                <w:b/>
                <w:bCs/>
              </w:rPr>
            </w:pPr>
            <w:r>
              <w:rPr>
                <w:b/>
                <w:bCs/>
              </w:rPr>
              <w:t>NPRR 1284 – Guaranteed Reliability Load Process</w:t>
            </w:r>
          </w:p>
          <w:p w14:paraId="7B88F11A" w14:textId="45D38D30" w:rsidR="00C84B93" w:rsidRDefault="00B33AA2" w:rsidP="00E669C8">
            <w:r>
              <w:t>Discussed jointly with Item #8.</w:t>
            </w:r>
          </w:p>
          <w:p w14:paraId="09AC270D" w14:textId="21670A8D" w:rsidR="00D81A4E" w:rsidRPr="0010261B" w:rsidRDefault="00D81A4E" w:rsidP="00E669C8">
            <w:pPr>
              <w:rPr>
                <w:b/>
                <w:bCs/>
                <w:i/>
                <w:iCs/>
              </w:rPr>
            </w:pPr>
            <w:r w:rsidRPr="0010261B">
              <w:rPr>
                <w:b/>
                <w:bCs/>
                <w:i/>
                <w:iCs/>
              </w:rPr>
              <w:t xml:space="preserve">Action Taken: </w:t>
            </w:r>
            <w:r w:rsidR="0010261B" w:rsidRPr="0010261B">
              <w:rPr>
                <w:b/>
                <w:bCs/>
                <w:i/>
                <w:iCs/>
              </w:rPr>
              <w:t>Tabled</w:t>
            </w:r>
            <w:r w:rsidR="0010261B">
              <w:rPr>
                <w:b/>
                <w:bCs/>
                <w:i/>
                <w:iCs/>
              </w:rPr>
              <w:t xml:space="preserve"> to allow Sponsor to coordinate with ERCOT</w:t>
            </w:r>
            <w:r w:rsidR="0010261B" w:rsidRPr="0010261B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874" w:type="pct"/>
          </w:tcPr>
          <w:p w14:paraId="2C62C6B6" w14:textId="25B25B8E" w:rsidR="00B44F59" w:rsidRPr="002D22AD" w:rsidRDefault="00B44F59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t>Clayton Greer</w:t>
            </w:r>
          </w:p>
        </w:tc>
      </w:tr>
      <w:tr w:rsidR="002D22AD" w:rsidRPr="00A765CC" w14:paraId="529DED66" w14:textId="77777777" w:rsidTr="0056135A">
        <w:trPr>
          <w:trHeight w:val="630"/>
        </w:trPr>
        <w:tc>
          <w:tcPr>
            <w:tcW w:w="291" w:type="pct"/>
          </w:tcPr>
          <w:p w14:paraId="18C0D84D" w14:textId="12043ABC" w:rsidR="002D22AD" w:rsidRDefault="002D22AD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DB957F" w14:textId="77777777" w:rsidR="002D22AD" w:rsidRDefault="008F0D11" w:rsidP="00A765CC">
            <w:pPr>
              <w:rPr>
                <w:b/>
                <w:bCs/>
              </w:rPr>
            </w:pPr>
            <w:r w:rsidRPr="00501CE0">
              <w:rPr>
                <w:b/>
                <w:bCs/>
              </w:rPr>
              <w:t>NPRR 1286 - Establish Multi-Value Criteria for Resiliency-Related Transmission Project Evaluation</w:t>
            </w:r>
          </w:p>
          <w:p w14:paraId="0B57B80D" w14:textId="2966D185" w:rsidR="001B3E50" w:rsidRDefault="00DB5921" w:rsidP="00A765CC">
            <w:r>
              <w:t xml:space="preserve">Ping </w:t>
            </w:r>
            <w:r w:rsidR="00D83C49">
              <w:t xml:space="preserve">Yan </w:t>
            </w:r>
            <w:r>
              <w:t xml:space="preserve">(ERCOT) – spoke to comments that address the Joint Commenters 7/1 </w:t>
            </w:r>
            <w:r w:rsidR="001B0DFA">
              <w:t>comments</w:t>
            </w:r>
            <w:r>
              <w:t xml:space="preserve">. </w:t>
            </w:r>
            <w:r w:rsidR="006C639D">
              <w:t>Adopted recommendations from Oncor about relaxing the voltage limit threshold</w:t>
            </w:r>
            <w:r w:rsidR="001B3E50">
              <w:t>.</w:t>
            </w:r>
          </w:p>
          <w:p w14:paraId="4ECD7194" w14:textId="79809A15" w:rsidR="00F30425" w:rsidRDefault="00F30425" w:rsidP="00A765CC">
            <w:r>
              <w:t xml:space="preserve">Matt Arth (ERCOT) – </w:t>
            </w:r>
            <w:r w:rsidR="001B0DFA">
              <w:t>Opportunities</w:t>
            </w:r>
            <w:r>
              <w:t xml:space="preserve"> for efficiencies, but after internal review</w:t>
            </w:r>
            <w:r w:rsidR="005F1452">
              <w:t xml:space="preserve"> and reviewing the </w:t>
            </w:r>
            <w:r w:rsidR="001B0DFA">
              <w:t>Commission’s</w:t>
            </w:r>
            <w:r w:rsidR="005F1452">
              <w:t xml:space="preserve"> rule, ERCOT would not be able to endor</w:t>
            </w:r>
            <w:r w:rsidR="001B0DFA">
              <w:t>s</w:t>
            </w:r>
            <w:r w:rsidR="005F1452">
              <w:t xml:space="preserve">e a resiliency project identified in GRRA. Would still </w:t>
            </w:r>
            <w:proofErr w:type="gramStart"/>
            <w:r w:rsidR="005F1452">
              <w:t>need</w:t>
            </w:r>
            <w:proofErr w:type="gramEnd"/>
            <w:r w:rsidR="005F1452">
              <w:t xml:space="preserve"> to be submitted as an economic or re</w:t>
            </w:r>
            <w:r w:rsidR="001B0DFA">
              <w:t>liability project.</w:t>
            </w:r>
          </w:p>
          <w:p w14:paraId="62FFBB1C" w14:textId="43672329" w:rsidR="00DC3765" w:rsidRDefault="002018C9" w:rsidP="00A765CC">
            <w:proofErr w:type="gramStart"/>
            <w:r>
              <w:t>Chair</w:t>
            </w:r>
            <w:proofErr w:type="gramEnd"/>
            <w:r>
              <w:t xml:space="preserve"> a</w:t>
            </w:r>
            <w:r w:rsidR="00DC3765">
              <w:t xml:space="preserve">sked </w:t>
            </w:r>
            <w:r>
              <w:t xml:space="preserve">if </w:t>
            </w:r>
            <w:r w:rsidR="00DC3765">
              <w:t xml:space="preserve">stakeholders </w:t>
            </w:r>
            <w:r>
              <w:t>were</w:t>
            </w:r>
            <w:r w:rsidR="00DC3765">
              <w:t xml:space="preserve"> comfortable moving language to ROS</w:t>
            </w:r>
            <w:r>
              <w:t>.</w:t>
            </w:r>
          </w:p>
          <w:p w14:paraId="3936D212" w14:textId="1E6054F4" w:rsidR="00E14F6D" w:rsidRPr="00E14F6D" w:rsidRDefault="00E14F6D" w:rsidP="00A765CC">
            <w:pPr>
              <w:rPr>
                <w:b/>
                <w:bCs/>
                <w:i/>
                <w:iCs/>
              </w:rPr>
            </w:pPr>
            <w:r w:rsidRPr="002018C9">
              <w:rPr>
                <w:b/>
                <w:bCs/>
                <w:i/>
                <w:iCs/>
              </w:rPr>
              <w:t xml:space="preserve">Action Taken: </w:t>
            </w:r>
            <w:r w:rsidR="00C71DEC" w:rsidRPr="002018C9">
              <w:rPr>
                <w:b/>
                <w:bCs/>
                <w:i/>
                <w:iCs/>
              </w:rPr>
              <w:t>Discussion concluded. NPRR1286 will be moving to ROS for a vote.</w:t>
            </w:r>
          </w:p>
        </w:tc>
        <w:tc>
          <w:tcPr>
            <w:tcW w:w="874" w:type="pct"/>
          </w:tcPr>
          <w:p w14:paraId="0725DD0D" w14:textId="1B5CDB96" w:rsidR="002D22AD" w:rsidRDefault="002D22AD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t>ERCOT</w:t>
            </w:r>
          </w:p>
        </w:tc>
      </w:tr>
      <w:tr w:rsidR="008269AF" w:rsidRPr="00A765CC" w14:paraId="6061816F" w14:textId="77777777" w:rsidTr="0056135A">
        <w:trPr>
          <w:trHeight w:val="630"/>
        </w:trPr>
        <w:tc>
          <w:tcPr>
            <w:tcW w:w="291" w:type="pct"/>
          </w:tcPr>
          <w:p w14:paraId="0E9E2B9B" w14:textId="3D16007D" w:rsidR="008269AF" w:rsidRDefault="008269AF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2ACABAA" w14:textId="77777777" w:rsidR="008269AF" w:rsidRDefault="008269AF" w:rsidP="00A765CC">
            <w:pPr>
              <w:rPr>
                <w:b/>
                <w:bCs/>
              </w:rPr>
            </w:pPr>
            <w:r w:rsidRPr="00134CED">
              <w:rPr>
                <w:b/>
                <w:bCs/>
              </w:rPr>
              <w:t>PGRR 127</w:t>
            </w:r>
            <w:r w:rsidRPr="008269AF">
              <w:rPr>
                <w:b/>
                <w:bCs/>
              </w:rPr>
              <w:t>-Addition of Proposed Generation to the Planning Models</w:t>
            </w:r>
          </w:p>
          <w:p w14:paraId="49C8250F" w14:textId="570DE049" w:rsidR="008E3328" w:rsidRDefault="0044278E" w:rsidP="00A765CC">
            <w:r>
              <w:t>LCRA Comments</w:t>
            </w:r>
            <w:r w:rsidR="00A80F45">
              <w:t xml:space="preserve"> – Trevor Safko (LCRA) spoke to the comments.</w:t>
            </w:r>
            <w:r w:rsidR="00DF1802">
              <w:t xml:space="preserve"> </w:t>
            </w:r>
            <w:r w:rsidR="0085612E">
              <w:t>Desire to reduce arbitrariness or inadvertent addition of unclear modeling</w:t>
            </w:r>
            <w:r w:rsidR="000C681F">
              <w:t xml:space="preserve"> considerations.</w:t>
            </w:r>
            <w:r w:rsidR="000B6FDD">
              <w:t xml:space="preserve"> Andrew Hamann (LCRA TSC) </w:t>
            </w:r>
            <w:r w:rsidR="007B19E4">
              <w:t>spoke specifically to the table included in comments.</w:t>
            </w:r>
            <w:r w:rsidR="0098737F">
              <w:t xml:space="preserve"> Concern around partial inclusion of a single class of generators in the cases.</w:t>
            </w:r>
          </w:p>
          <w:p w14:paraId="09066C66" w14:textId="268B1A4E" w:rsidR="00C307BF" w:rsidRDefault="00C307BF" w:rsidP="00A765CC">
            <w:r>
              <w:lastRenderedPageBreak/>
              <w:t xml:space="preserve">Ping Yan (ERCOT) </w:t>
            </w:r>
            <w:r w:rsidR="00835ADD">
              <w:t>–</w:t>
            </w:r>
            <w:r>
              <w:t xml:space="preserve"> </w:t>
            </w:r>
            <w:r w:rsidR="009A626F">
              <w:t>ERCOT has two</w:t>
            </w:r>
            <w:r w:rsidR="00835ADD">
              <w:t xml:space="preserve"> key areas of concern – whether adding the generators will mask any reliability issues; or if adding the generators introduces false</w:t>
            </w:r>
            <w:r w:rsidR="00C26055">
              <w:t xml:space="preserve"> reliability concerns. Acknowledges</w:t>
            </w:r>
            <w:r w:rsidR="009A626F">
              <w:t xml:space="preserve"> that the proposed process creates</w:t>
            </w:r>
            <w:r w:rsidR="00C26055">
              <w:t xml:space="preserve"> the potential</w:t>
            </w:r>
            <w:r w:rsidR="009A626F">
              <w:t xml:space="preserve"> for</w:t>
            </w:r>
            <w:r w:rsidR="00C26055">
              <w:t xml:space="preserve"> creating those risks, especially generation added last year that wasn’t in the interconnection queue.</w:t>
            </w:r>
            <w:r w:rsidR="00FF4FB9">
              <w:t xml:space="preserve"> With framework of those two concerns and addressing the LCRA comments, added a portion of category C to the 2025 RTP (12 gas generators – total capacity of 5,700 MW). Compared to the size of the entire category C</w:t>
            </w:r>
            <w:r w:rsidR="009F6C3E">
              <w:t xml:space="preserve"> (</w:t>
            </w:r>
            <w:r w:rsidR="00C95B83">
              <w:t xml:space="preserve">265 GW total across 1200+ projects). </w:t>
            </w:r>
            <w:r w:rsidR="009A626F">
              <w:t xml:space="preserve">Thus, </w:t>
            </w:r>
            <w:r w:rsidR="00C95B83">
              <w:t xml:space="preserve">adding the full Cat C to the case would be a significant </w:t>
            </w:r>
            <w:r w:rsidR="00E972AE">
              <w:t xml:space="preserve">modeling lift. There would be too much generation in the queue – </w:t>
            </w:r>
            <w:r w:rsidR="009A626F">
              <w:t xml:space="preserve">it </w:t>
            </w:r>
            <w:r w:rsidR="00E972AE">
              <w:t>would introduce additional factors of uncertainty and risk.</w:t>
            </w:r>
          </w:p>
          <w:p w14:paraId="58FB4DB6" w14:textId="4D5183F9" w:rsidR="00B15AC2" w:rsidRDefault="00B15AC2" w:rsidP="00A765CC">
            <w:r>
              <w:t xml:space="preserve">Andrew – there’s no requirement for ERCOT to incorporate stakeholder </w:t>
            </w:r>
            <w:r w:rsidR="005C26D9">
              <w:t xml:space="preserve">comment into the development of an RTP case and the methodology for selecting units included in the case. </w:t>
            </w:r>
            <w:proofErr w:type="gramStart"/>
            <w:r w:rsidR="005C26D9">
              <w:t>Believes</w:t>
            </w:r>
            <w:proofErr w:type="gramEnd"/>
            <w:r w:rsidR="005C26D9">
              <w:t xml:space="preserve"> there should be some guidelines written out in the PGRR. Open to ideas of how to achieve this outcome.</w:t>
            </w:r>
          </w:p>
          <w:p w14:paraId="012B1B56" w14:textId="126B3781" w:rsidR="008E6290" w:rsidRDefault="008E6290" w:rsidP="00A765CC">
            <w:r>
              <w:t xml:space="preserve">Ping </w:t>
            </w:r>
            <w:r w:rsidR="009A626F">
              <w:t>–</w:t>
            </w:r>
            <w:r>
              <w:t xml:space="preserve"> </w:t>
            </w:r>
            <w:r w:rsidR="009A626F">
              <w:t>An o</w:t>
            </w:r>
            <w:r>
              <w:t xml:space="preserve">verly </w:t>
            </w:r>
            <w:r w:rsidR="00DF7EB9">
              <w:t>proscriptive</w:t>
            </w:r>
            <w:r>
              <w:t xml:space="preserve"> rule may handcuff </w:t>
            </w:r>
            <w:r w:rsidR="009A626F">
              <w:t xml:space="preserve">ERCOT </w:t>
            </w:r>
            <w:r>
              <w:t>if</w:t>
            </w:r>
            <w:r w:rsidR="009A626F">
              <w:t xml:space="preserve"> it encounters</w:t>
            </w:r>
            <w:r>
              <w:t xml:space="preserve"> a</w:t>
            </w:r>
            <w:r w:rsidR="009A626F">
              <w:t>n unanticipated</w:t>
            </w:r>
            <w:r>
              <w:t xml:space="preserve"> situation </w:t>
            </w:r>
            <w:r w:rsidR="009A626F">
              <w:t>and thus</w:t>
            </w:r>
            <w:r>
              <w:t xml:space="preserve"> </w:t>
            </w:r>
            <w:r w:rsidR="00DF7EB9">
              <w:t>would</w:t>
            </w:r>
            <w:r>
              <w:t xml:space="preserve"> </w:t>
            </w:r>
            <w:r w:rsidR="00DF7EB9">
              <w:t>have</w:t>
            </w:r>
            <w:r>
              <w:t xml:space="preserve"> to </w:t>
            </w:r>
            <w:proofErr w:type="gramStart"/>
            <w:r>
              <w:t>open up</w:t>
            </w:r>
            <w:proofErr w:type="gramEnd"/>
            <w:r>
              <w:t xml:space="preserve"> the PGRR again for modifications. </w:t>
            </w:r>
            <w:r w:rsidR="009A626F">
              <w:t xml:space="preserve">ERCOT does, however, </w:t>
            </w:r>
            <w:r>
              <w:t xml:space="preserve">understand </w:t>
            </w:r>
            <w:r w:rsidR="009A626F">
              <w:t xml:space="preserve">the </w:t>
            </w:r>
            <w:r>
              <w:t>desire to have more consistenc</w:t>
            </w:r>
            <w:r w:rsidR="009A626F">
              <w:t>y.</w:t>
            </w:r>
          </w:p>
          <w:p w14:paraId="450CC296" w14:textId="363D001E" w:rsidR="009B2FBA" w:rsidRDefault="009B2FBA" w:rsidP="00A765CC">
            <w:r>
              <w:t xml:space="preserve">Brian </w:t>
            </w:r>
            <w:proofErr w:type="spellStart"/>
            <w:r>
              <w:t>Hithersay</w:t>
            </w:r>
            <w:proofErr w:type="spellEnd"/>
            <w:r>
              <w:t xml:space="preserve"> (BEPC) </w:t>
            </w:r>
            <w:r w:rsidR="003C50B1">
              <w:t>–</w:t>
            </w:r>
            <w:r>
              <w:t xml:space="preserve"> </w:t>
            </w:r>
            <w:r w:rsidR="003C50B1">
              <w:t>Agree</w:t>
            </w:r>
            <w:r w:rsidR="009A626F">
              <w:t>s</w:t>
            </w:r>
            <w:r w:rsidR="003C50B1">
              <w:t xml:space="preserve"> with LCRA. The LL interconnections have added to the complexity of </w:t>
            </w:r>
            <w:proofErr w:type="gramStart"/>
            <w:r w:rsidR="003C50B1">
              <w:t>generation</w:t>
            </w:r>
            <w:proofErr w:type="gramEnd"/>
            <w:r w:rsidR="003C50B1">
              <w:t xml:space="preserve"> </w:t>
            </w:r>
            <w:proofErr w:type="gramStart"/>
            <w:r w:rsidR="003C50B1">
              <w:t>included</w:t>
            </w:r>
            <w:proofErr w:type="gramEnd"/>
            <w:r w:rsidR="003C50B1">
              <w:t xml:space="preserve"> vs. excluded.</w:t>
            </w:r>
          </w:p>
          <w:p w14:paraId="0ACFC789" w14:textId="3DA0B533" w:rsidR="00067199" w:rsidRDefault="00067199" w:rsidP="00A765CC">
            <w:r>
              <w:t xml:space="preserve">Mina </w:t>
            </w:r>
            <w:r w:rsidR="009A626F">
              <w:t xml:space="preserve">Turner (AEP) </w:t>
            </w:r>
            <w:r>
              <w:t xml:space="preserve">– </w:t>
            </w:r>
            <w:r w:rsidR="009A626F">
              <w:t>W</w:t>
            </w:r>
            <w:r>
              <w:t xml:space="preserve">ill there be a special </w:t>
            </w:r>
            <w:r w:rsidR="00575A11">
              <w:t>designation</w:t>
            </w:r>
            <w:r>
              <w:t xml:space="preserve"> in the planning cases if this generator is included? ERCOT - </w:t>
            </w:r>
            <w:r w:rsidR="009A626F">
              <w:t>Y</w:t>
            </w:r>
            <w:r>
              <w:t>es, it will have a category listed.</w:t>
            </w:r>
          </w:p>
          <w:p w14:paraId="674344E4" w14:textId="7EC77798" w:rsidR="000849EC" w:rsidRDefault="000849EC" w:rsidP="00A765CC">
            <w:r>
              <w:t xml:space="preserve">Prabhu </w:t>
            </w:r>
            <w:r w:rsidR="009A626F">
              <w:t xml:space="preserve">Gnanam (ERCOT) </w:t>
            </w:r>
            <w:r>
              <w:t xml:space="preserve">– </w:t>
            </w:r>
            <w:r w:rsidR="009A626F">
              <w:t>T</w:t>
            </w:r>
            <w:r>
              <w:t>his might not be the appropriate venue to address the methodology of including specific generatio</w:t>
            </w:r>
            <w:r w:rsidR="00575A11">
              <w:t>n</w:t>
            </w:r>
            <w:r>
              <w:t xml:space="preserve"> in the planning cases.</w:t>
            </w:r>
          </w:p>
          <w:p w14:paraId="64FBA2E3" w14:textId="4D31B324" w:rsidR="006258CE" w:rsidRPr="00156453" w:rsidRDefault="00156453" w:rsidP="00A765CC">
            <w:pPr>
              <w:rPr>
                <w:b/>
                <w:bCs/>
                <w:i/>
                <w:iCs/>
              </w:rPr>
            </w:pPr>
            <w:r w:rsidRPr="00156453">
              <w:rPr>
                <w:b/>
                <w:bCs/>
                <w:i/>
                <w:iCs/>
              </w:rPr>
              <w:t>Action Taken: Tabled</w:t>
            </w:r>
            <w:r w:rsidR="00FC23BF">
              <w:rPr>
                <w:b/>
                <w:bCs/>
                <w:i/>
                <w:iCs/>
              </w:rPr>
              <w:t xml:space="preserve"> to the next PLWG meeting</w:t>
            </w: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874" w:type="pct"/>
          </w:tcPr>
          <w:p w14:paraId="24A4C68B" w14:textId="59051655" w:rsidR="008269AF" w:rsidRDefault="008269AF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ERCOT</w:t>
            </w:r>
          </w:p>
        </w:tc>
      </w:tr>
      <w:tr w:rsidR="008269AF" w:rsidRPr="00A765CC" w14:paraId="45F0E3FB" w14:textId="77777777" w:rsidTr="0056135A">
        <w:trPr>
          <w:trHeight w:val="630"/>
        </w:trPr>
        <w:tc>
          <w:tcPr>
            <w:tcW w:w="291" w:type="pct"/>
          </w:tcPr>
          <w:p w14:paraId="56EC4ACD" w14:textId="35902DF0" w:rsidR="008269AF" w:rsidRDefault="008269AF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BCB9E33" w14:textId="77777777" w:rsidR="008269AF" w:rsidRDefault="008269AF" w:rsidP="00A765CC">
            <w:pPr>
              <w:rPr>
                <w:b/>
                <w:bCs/>
              </w:rPr>
            </w:pPr>
            <w:r w:rsidRPr="00134CED">
              <w:rPr>
                <w:b/>
                <w:bCs/>
              </w:rPr>
              <w:t>PGRR 128</w:t>
            </w:r>
            <w:r>
              <w:rPr>
                <w:b/>
                <w:bCs/>
              </w:rPr>
              <w:t xml:space="preserve"> - </w:t>
            </w:r>
            <w:r w:rsidR="00D724A0" w:rsidRPr="00D724A0">
              <w:rPr>
                <w:b/>
                <w:bCs/>
              </w:rPr>
              <w:t>Regional Transmission Plan Review of Grid Enhancing Technologies</w:t>
            </w:r>
          </w:p>
          <w:p w14:paraId="5C9F21AE" w14:textId="55320675" w:rsidR="00156453" w:rsidRDefault="00B836CC" w:rsidP="00A765CC">
            <w:r>
              <w:t xml:space="preserve">Martha Henson spoke to </w:t>
            </w:r>
            <w:r w:rsidR="00C51BE6">
              <w:t>Oncor Comments</w:t>
            </w:r>
            <w:r>
              <w:t xml:space="preserve"> </w:t>
            </w:r>
            <w:proofErr w:type="gramStart"/>
            <w:r>
              <w:t>outlining</w:t>
            </w:r>
            <w:proofErr w:type="gramEnd"/>
            <w:r>
              <w:t xml:space="preserve"> why </w:t>
            </w:r>
            <w:r w:rsidR="009A626F">
              <w:t xml:space="preserve">they </w:t>
            </w:r>
            <w:r>
              <w:t>oppose this approach.</w:t>
            </w:r>
            <w:r w:rsidR="00FF4AF2">
              <w:t xml:space="preserve"> Comment also appl</w:t>
            </w:r>
            <w:r w:rsidR="009A626F">
              <w:t>ies</w:t>
            </w:r>
            <w:r w:rsidR="00FF4AF2">
              <w:t xml:space="preserve"> to </w:t>
            </w:r>
            <w:r w:rsidR="00A83D86">
              <w:t>TEBA’s comments on NPRR</w:t>
            </w:r>
            <w:r w:rsidR="00FF4AF2">
              <w:t>1274.</w:t>
            </w:r>
            <w:r w:rsidR="00A83D86">
              <w:t xml:space="preserve"> The proposal is onerous and would </w:t>
            </w:r>
            <w:r w:rsidR="009A626F">
              <w:t>introduce time delays in the review of projects.</w:t>
            </w:r>
          </w:p>
          <w:p w14:paraId="150869E1" w14:textId="4775842D" w:rsidR="005603CD" w:rsidRDefault="005603CD" w:rsidP="00A765CC">
            <w:r>
              <w:t xml:space="preserve">Eric – appreciate comments that Oncor filed and acknowledged they reached out to discuss in advance. However, some concerns laid out give further examples </w:t>
            </w:r>
            <w:proofErr w:type="gramStart"/>
            <w:r>
              <w:t>for</w:t>
            </w:r>
            <w:proofErr w:type="gramEnd"/>
            <w:r>
              <w:t xml:space="preserve"> the need for a</w:t>
            </w:r>
            <w:r w:rsidR="00F256C6">
              <w:t xml:space="preserve"> formalized process. </w:t>
            </w:r>
            <w:r>
              <w:t xml:space="preserve"> </w:t>
            </w:r>
          </w:p>
          <w:p w14:paraId="6D61EA12" w14:textId="348F4212" w:rsidR="00BE66C1" w:rsidRDefault="00BD27C1" w:rsidP="00A765CC">
            <w:r>
              <w:lastRenderedPageBreak/>
              <w:t>Martha – Suggests that if no further comments filed between now and next PLWG, then can advance to ROS without consensus.</w:t>
            </w:r>
          </w:p>
          <w:p w14:paraId="41FE8A0B" w14:textId="7520D01F" w:rsidR="00156453" w:rsidRPr="00481527" w:rsidRDefault="00481527" w:rsidP="00A765CC">
            <w:pPr>
              <w:rPr>
                <w:b/>
                <w:bCs/>
                <w:i/>
                <w:iCs/>
              </w:rPr>
            </w:pPr>
            <w:r w:rsidRPr="00481527">
              <w:rPr>
                <w:b/>
                <w:bCs/>
                <w:i/>
                <w:iCs/>
              </w:rPr>
              <w:t>Action: Table</w:t>
            </w:r>
            <w:r>
              <w:rPr>
                <w:b/>
                <w:bCs/>
                <w:i/>
                <w:iCs/>
              </w:rPr>
              <w:t>d</w:t>
            </w:r>
            <w:r w:rsidRPr="00481527">
              <w:rPr>
                <w:b/>
                <w:bCs/>
                <w:i/>
                <w:iCs/>
              </w:rPr>
              <w:t xml:space="preserve"> PGRR128</w:t>
            </w:r>
            <w:r w:rsidR="00134CED">
              <w:rPr>
                <w:b/>
                <w:bCs/>
                <w:i/>
                <w:iCs/>
              </w:rPr>
              <w:t xml:space="preserve"> </w:t>
            </w:r>
            <w:r w:rsidR="00BE66C1">
              <w:rPr>
                <w:b/>
                <w:bCs/>
                <w:i/>
                <w:iCs/>
              </w:rPr>
              <w:t>to next PLWG meeting</w:t>
            </w:r>
            <w:r w:rsidRPr="0048152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874" w:type="pct"/>
          </w:tcPr>
          <w:p w14:paraId="5D028D3A" w14:textId="7164576B" w:rsidR="008269AF" w:rsidRDefault="002D72B3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TEBA</w:t>
            </w:r>
            <w:r w:rsidR="00C51BE6">
              <w:rPr>
                <w:b/>
                <w:bCs/>
              </w:rPr>
              <w:t>/Eric Goff</w:t>
            </w:r>
          </w:p>
        </w:tc>
      </w:tr>
      <w:tr w:rsidR="0056135A" w:rsidRPr="00A765CC" w14:paraId="7F514BD5" w14:textId="77777777" w:rsidTr="0056135A">
        <w:trPr>
          <w:trHeight w:val="630"/>
        </w:trPr>
        <w:tc>
          <w:tcPr>
            <w:tcW w:w="291" w:type="pct"/>
            <w:hideMark/>
          </w:tcPr>
          <w:p w14:paraId="61C1F80F" w14:textId="725A33E4" w:rsidR="0056135A" w:rsidRPr="00A765CC" w:rsidRDefault="0056135A" w:rsidP="00A765CC">
            <w:r w:rsidRPr="00A765CC">
              <w:rPr>
                <w:b/>
                <w:bCs/>
              </w:rPr>
              <w:t>1</w:t>
            </w:r>
            <w:r w:rsidR="00D724A0">
              <w:rPr>
                <w:b/>
                <w:bCs/>
              </w:rPr>
              <w:t>3</w:t>
            </w:r>
            <w:r w:rsidRPr="00A765CC">
              <w:rPr>
                <w:b/>
                <w:bCs/>
              </w:rPr>
              <w:t>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3858653" w14:textId="6CAC1978" w:rsidR="0056135A" w:rsidRDefault="006D296C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t>Open Discussion</w:t>
            </w:r>
          </w:p>
          <w:p w14:paraId="6605754C" w14:textId="608F5B87" w:rsidR="009A626F" w:rsidRPr="009A626F" w:rsidRDefault="009A626F" w:rsidP="00A765CC">
            <w:pPr>
              <w:rPr>
                <w:b/>
                <w:bCs/>
                <w:u w:val="single"/>
              </w:rPr>
            </w:pPr>
            <w:r w:rsidRPr="009A626F">
              <w:rPr>
                <w:b/>
                <w:bCs/>
                <w:u w:val="single"/>
              </w:rPr>
              <w:t>PLWG Meeting Date &amp; Time</w:t>
            </w:r>
          </w:p>
          <w:p w14:paraId="3AB43E40" w14:textId="604F8746" w:rsidR="000A38F4" w:rsidRDefault="009A626F" w:rsidP="00A765CC">
            <w:r>
              <w:t xml:space="preserve">PLWG discussed a consideration to move </w:t>
            </w:r>
            <w:r w:rsidR="00BA6F80">
              <w:t xml:space="preserve">PLWG </w:t>
            </w:r>
            <w:r>
              <w:t>meetings to a day separate from RPG due to the full agenda load in the foreseeable future.</w:t>
            </w:r>
          </w:p>
          <w:p w14:paraId="5D2DCE9D" w14:textId="5187B06F" w:rsidR="00BD27C1" w:rsidRDefault="00B95E24" w:rsidP="00A765CC">
            <w:r>
              <w:t xml:space="preserve">Katie Rich – </w:t>
            </w:r>
            <w:r w:rsidR="009A626F">
              <w:t xml:space="preserve">Clarified that setting a specific start time would also help stakeholders as it’s </w:t>
            </w:r>
            <w:r>
              <w:t>difficult to</w:t>
            </w:r>
            <w:r w:rsidR="009A626F">
              <w:t xml:space="preserve"> time calling in when PLWG meetings follow</w:t>
            </w:r>
            <w:r w:rsidR="00885737">
              <w:t xml:space="preserve"> the conclusion of RPG.</w:t>
            </w:r>
          </w:p>
          <w:p w14:paraId="67E75DD5" w14:textId="72F5294C" w:rsidR="00A86F68" w:rsidRDefault="00A86F68" w:rsidP="00A765CC">
            <w:r>
              <w:t>Mina</w:t>
            </w:r>
            <w:r w:rsidR="009A626F">
              <w:t xml:space="preserve"> Turner (PLWG Chair)</w:t>
            </w:r>
            <w:r>
              <w:t xml:space="preserve"> – unable to commit to a start time a week in advance without knowing what the RPG agenda would be. Moving to another day would solve that </w:t>
            </w:r>
            <w:proofErr w:type="gramStart"/>
            <w:r>
              <w:t>issue, but</w:t>
            </w:r>
            <w:proofErr w:type="gramEnd"/>
            <w:r>
              <w:t xml:space="preserve"> may cause people to </w:t>
            </w:r>
            <w:r w:rsidR="0091583D">
              <w:t>add another travel day if traveling to attend RPG/PLWG.</w:t>
            </w:r>
          </w:p>
          <w:p w14:paraId="31304BBB" w14:textId="7DC8BF14" w:rsidR="0091583D" w:rsidRDefault="0091583D" w:rsidP="00A765CC">
            <w:r>
              <w:t>Eric Goff – It’s a real challenge.</w:t>
            </w:r>
            <w:r w:rsidR="00392459">
              <w:t xml:space="preserve"> Also only interested in PLWG sometimes and </w:t>
            </w:r>
            <w:r w:rsidR="00CC1C1A">
              <w:t>just listening to RPG to get the start time.</w:t>
            </w:r>
          </w:p>
          <w:p w14:paraId="1B40331E" w14:textId="21F35724" w:rsidR="0091583D" w:rsidRDefault="0091583D" w:rsidP="00A765CC">
            <w:r>
              <w:t>Clayton Greer – wants to keep in person meetings</w:t>
            </w:r>
            <w:r w:rsidR="00CC1C1A">
              <w:t xml:space="preserve"> for the interactions. </w:t>
            </w:r>
            <w:proofErr w:type="gramStart"/>
            <w:r w:rsidR="00CC1C1A">
              <w:t>Would</w:t>
            </w:r>
            <w:proofErr w:type="gramEnd"/>
            <w:r w:rsidR="00CC1C1A">
              <w:t xml:space="preserve"> lose out </w:t>
            </w:r>
            <w:proofErr w:type="gramStart"/>
            <w:r w:rsidR="00CC1C1A">
              <w:t>if going</w:t>
            </w:r>
            <w:proofErr w:type="gramEnd"/>
            <w:r w:rsidR="00CC1C1A">
              <w:t xml:space="preserve"> to full </w:t>
            </w:r>
            <w:proofErr w:type="spellStart"/>
            <w:r w:rsidR="00CC1C1A">
              <w:t>WebEx</w:t>
            </w:r>
            <w:proofErr w:type="spellEnd"/>
            <w:r w:rsidR="00CC1C1A">
              <w:t>.</w:t>
            </w:r>
          </w:p>
          <w:p w14:paraId="5B0D438C" w14:textId="0E172B7A" w:rsidR="00CC1C1A" w:rsidRDefault="00CC1C1A" w:rsidP="00A765CC">
            <w:r>
              <w:t xml:space="preserve">Martha Henson </w:t>
            </w:r>
            <w:r w:rsidR="007F597E">
              <w:t>–</w:t>
            </w:r>
            <w:r>
              <w:t xml:space="preserve"> </w:t>
            </w:r>
            <w:r w:rsidR="007F597E">
              <w:t xml:space="preserve">Feel strongly for an in-person dialogue – very beneficial. Lots of people travel from </w:t>
            </w:r>
            <w:proofErr w:type="gramStart"/>
            <w:r w:rsidR="007F597E">
              <w:t>out</w:t>
            </w:r>
            <w:proofErr w:type="gramEnd"/>
            <w:r w:rsidR="007F597E">
              <w:t xml:space="preserve"> of town. Did confer with TIEC this morning and would be happy with a defined start time</w:t>
            </w:r>
            <w:r w:rsidR="00F00DBB">
              <w:t>.</w:t>
            </w:r>
          </w:p>
          <w:p w14:paraId="4F05D120" w14:textId="4B4FFFF0" w:rsidR="00F00DBB" w:rsidRDefault="00F00DBB" w:rsidP="00A765CC">
            <w:r>
              <w:t>Kent (CES) – If wanted to pick 1 pm as a start time for PLWG and RPG is almost always over by then, just to make things easier to schedule.</w:t>
            </w:r>
            <w:r w:rsidR="00C44966">
              <w:t xml:space="preserve"> His organization often has different people attending the two meetings and </w:t>
            </w:r>
            <w:proofErr w:type="gramStart"/>
            <w:r w:rsidR="00C44966">
              <w:t>wait</w:t>
            </w:r>
            <w:proofErr w:type="gramEnd"/>
            <w:r w:rsidR="00C44966">
              <w:t xml:space="preserve"> around waiting for PLWG to start.</w:t>
            </w:r>
          </w:p>
          <w:p w14:paraId="334A886A" w14:textId="650256B3" w:rsidR="00C75B63" w:rsidRDefault="00C75B63" w:rsidP="00A765CC">
            <w:r>
              <w:t>Kevin Hanson (Invenergy) – Could be “no earlier than 1 pm”</w:t>
            </w:r>
          </w:p>
          <w:p w14:paraId="7338B15C" w14:textId="018FE612" w:rsidR="00A7599B" w:rsidRDefault="00A7599B" w:rsidP="00A765CC">
            <w:r>
              <w:t>Nick Randall – Found it helpful in the past when RPG is wrapping, an email sent to PLWG listserv stating the start time of the meeting.</w:t>
            </w:r>
          </w:p>
          <w:p w14:paraId="03D2DC55" w14:textId="6C528AC2" w:rsidR="00367A81" w:rsidRDefault="000A2567" w:rsidP="00A765CC">
            <w:r w:rsidRPr="0029156C">
              <w:rPr>
                <w:b/>
                <w:bCs/>
                <w:i/>
                <w:iCs/>
              </w:rPr>
              <w:t xml:space="preserve">Action: </w:t>
            </w:r>
            <w:r w:rsidR="009A626F">
              <w:rPr>
                <w:b/>
                <w:bCs/>
                <w:i/>
                <w:iCs/>
              </w:rPr>
              <w:t xml:space="preserve">PLWG agreed to keep the meetings on the same day following </w:t>
            </w:r>
            <w:proofErr w:type="gramStart"/>
            <w:r w:rsidR="009A626F">
              <w:rPr>
                <w:b/>
                <w:bCs/>
                <w:i/>
                <w:iCs/>
              </w:rPr>
              <w:t>RPG, but</w:t>
            </w:r>
            <w:proofErr w:type="gramEnd"/>
            <w:r w:rsidR="009A626F">
              <w:rPr>
                <w:b/>
                <w:bCs/>
                <w:i/>
                <w:iCs/>
              </w:rPr>
              <w:t xml:space="preserve"> will target adding a specific start time.</w:t>
            </w:r>
          </w:p>
          <w:p w14:paraId="2DF34EEA" w14:textId="77777777" w:rsidR="00BA6F80" w:rsidRPr="009A626F" w:rsidRDefault="00BA6F80" w:rsidP="00A765CC">
            <w:pPr>
              <w:rPr>
                <w:b/>
                <w:bCs/>
                <w:u w:val="single"/>
              </w:rPr>
            </w:pPr>
            <w:r w:rsidRPr="009A626F">
              <w:rPr>
                <w:b/>
                <w:bCs/>
                <w:u w:val="single"/>
              </w:rPr>
              <w:t>SSR mitigation timeline</w:t>
            </w:r>
          </w:p>
          <w:p w14:paraId="08F136F1" w14:textId="0F6314CE" w:rsidR="005C60DB" w:rsidRDefault="005C60DB" w:rsidP="00B94E56">
            <w:r>
              <w:t>Chase Smith (Southern Power) is the ROS sponsor. Due to competing priorities and the PLWG full agenda, ROS sponsor has not made</w:t>
            </w:r>
            <w:r w:rsidR="00B94E56">
              <w:t xml:space="preserve"> progress on coordinating with appropriate parties to review. Not an urgent/high priority item, so the plan is to</w:t>
            </w:r>
            <w:r w:rsidR="00B94E56" w:rsidRPr="00B94E56">
              <w:t xml:space="preserve"> start collecting feedback on current SSR timeline and if there are any potential improvements to the process later </w:t>
            </w:r>
            <w:r w:rsidR="00B94E56" w:rsidRPr="00B94E56">
              <w:lastRenderedPageBreak/>
              <w:t>this fall</w:t>
            </w:r>
            <w:r w:rsidR="00B94E56">
              <w:t>.</w:t>
            </w:r>
            <w:r w:rsidR="0029156C">
              <w:t xml:space="preserve"> Advised if there are interested stakeholders, please reach out to Kristin Cook or Chase Smith with Southern Power.</w:t>
            </w:r>
          </w:p>
          <w:p w14:paraId="28B52104" w14:textId="7D668028" w:rsidR="009A626F" w:rsidRPr="009A626F" w:rsidRDefault="009A626F" w:rsidP="00B94E56">
            <w:pPr>
              <w:rPr>
                <w:b/>
                <w:bCs/>
                <w:u w:val="single"/>
              </w:rPr>
            </w:pPr>
            <w:r w:rsidRPr="009A626F">
              <w:rPr>
                <w:b/>
                <w:bCs/>
                <w:u w:val="single"/>
              </w:rPr>
              <w:t>Other Action Items</w:t>
            </w:r>
          </w:p>
          <w:p w14:paraId="695646A4" w14:textId="35A226BE" w:rsidR="00426D39" w:rsidRPr="00A765CC" w:rsidRDefault="00426D39" w:rsidP="00B94E56">
            <w:r>
              <w:t>Mina – reminder that we have the “Load vs load” action item</w:t>
            </w:r>
            <w:r w:rsidR="00D01CCE">
              <w:t xml:space="preserve"> that will be added back to the agenda for a meeting when the planned agenda is lighter.</w:t>
            </w:r>
          </w:p>
        </w:tc>
        <w:tc>
          <w:tcPr>
            <w:tcW w:w="874" w:type="pct"/>
            <w:hideMark/>
          </w:tcPr>
          <w:p w14:paraId="2DE0F0B3" w14:textId="77777777" w:rsidR="0056135A" w:rsidRPr="00A765CC" w:rsidRDefault="0056135A" w:rsidP="00A765CC">
            <w:r w:rsidRPr="00A765CC">
              <w:rPr>
                <w:b/>
                <w:bCs/>
              </w:rPr>
              <w:lastRenderedPageBreak/>
              <w:t>Chair</w:t>
            </w:r>
          </w:p>
        </w:tc>
      </w:tr>
      <w:tr w:rsidR="0056135A" w:rsidRPr="00A765CC" w14:paraId="5AFFCF84" w14:textId="77777777" w:rsidTr="0056135A">
        <w:trPr>
          <w:trHeight w:val="630"/>
        </w:trPr>
        <w:tc>
          <w:tcPr>
            <w:tcW w:w="291" w:type="pct"/>
            <w:hideMark/>
          </w:tcPr>
          <w:p w14:paraId="49254981" w14:textId="6995A871" w:rsidR="0056135A" w:rsidRPr="00A765CC" w:rsidRDefault="0056135A" w:rsidP="00A765CC">
            <w:r w:rsidRPr="00A765CC">
              <w:rPr>
                <w:b/>
                <w:bCs/>
              </w:rPr>
              <w:t>1</w:t>
            </w:r>
            <w:r w:rsidR="00D724A0">
              <w:rPr>
                <w:b/>
                <w:bCs/>
              </w:rPr>
              <w:t>4</w:t>
            </w:r>
            <w:r w:rsidRPr="00A765CC">
              <w:rPr>
                <w:b/>
                <w:bCs/>
              </w:rPr>
              <w:t>.</w:t>
            </w:r>
            <w:r w:rsidRPr="00A765CC">
              <w:t> 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350C123" w14:textId="77777777" w:rsidR="0056135A" w:rsidRDefault="0056135A" w:rsidP="00A765CC">
            <w:pPr>
              <w:rPr>
                <w:b/>
                <w:bCs/>
              </w:rPr>
            </w:pPr>
            <w:r w:rsidRPr="00A765CC">
              <w:rPr>
                <w:b/>
                <w:bCs/>
              </w:rPr>
              <w:t>Adjourn</w:t>
            </w:r>
          </w:p>
          <w:p w14:paraId="3681AE4F" w14:textId="0E710D08" w:rsidR="0056135A" w:rsidRPr="00A765CC" w:rsidRDefault="00DC7FCA" w:rsidP="00A765CC">
            <w:r>
              <w:t xml:space="preserve">Meeting adjourned at </w:t>
            </w:r>
            <w:r w:rsidR="0029156C">
              <w:t>2:27</w:t>
            </w:r>
            <w:r>
              <w:t xml:space="preserve"> pm</w:t>
            </w:r>
            <w:r w:rsidR="00134CED">
              <w:t>. The</w:t>
            </w:r>
            <w:r w:rsidR="006F4BF8">
              <w:t xml:space="preserve"> next PLWG meeting</w:t>
            </w:r>
            <w:r w:rsidR="00134CED">
              <w:t xml:space="preserve"> will be </w:t>
            </w:r>
            <w:r w:rsidR="0029156C">
              <w:t xml:space="preserve">September </w:t>
            </w:r>
            <w:r w:rsidR="0061659F">
              <w:t>25</w:t>
            </w:r>
            <w:r w:rsidR="00C3637D" w:rsidRPr="00C3637D">
              <w:t>.</w:t>
            </w:r>
          </w:p>
        </w:tc>
        <w:tc>
          <w:tcPr>
            <w:tcW w:w="874" w:type="pct"/>
            <w:hideMark/>
          </w:tcPr>
          <w:p w14:paraId="2808DB60" w14:textId="77777777" w:rsidR="0056135A" w:rsidRPr="00A765CC" w:rsidRDefault="0056135A" w:rsidP="00A765CC">
            <w:r w:rsidRPr="00A765CC">
              <w:rPr>
                <w:b/>
                <w:bCs/>
              </w:rPr>
              <w:t>Chair </w:t>
            </w:r>
          </w:p>
        </w:tc>
      </w:tr>
    </w:tbl>
    <w:p w14:paraId="1B3E5208" w14:textId="77777777" w:rsidR="008D4CFB" w:rsidRDefault="008D4CFB"/>
    <w:sectPr w:rsidR="008D4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4C6"/>
    <w:multiLevelType w:val="multilevel"/>
    <w:tmpl w:val="0E4A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631DC"/>
    <w:multiLevelType w:val="multilevel"/>
    <w:tmpl w:val="F7E8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17857"/>
    <w:multiLevelType w:val="multilevel"/>
    <w:tmpl w:val="C1B4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A54B9"/>
    <w:multiLevelType w:val="multilevel"/>
    <w:tmpl w:val="FAC6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6392B"/>
    <w:multiLevelType w:val="hybridMultilevel"/>
    <w:tmpl w:val="C878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6733"/>
    <w:multiLevelType w:val="hybridMultilevel"/>
    <w:tmpl w:val="C32A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E7543"/>
    <w:multiLevelType w:val="multilevel"/>
    <w:tmpl w:val="C27E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05CDE"/>
    <w:multiLevelType w:val="multilevel"/>
    <w:tmpl w:val="D8D2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744098">
    <w:abstractNumId w:val="3"/>
  </w:num>
  <w:num w:numId="2" w16cid:durableId="542834862">
    <w:abstractNumId w:val="1"/>
  </w:num>
  <w:num w:numId="3" w16cid:durableId="1979676816">
    <w:abstractNumId w:val="7"/>
  </w:num>
  <w:num w:numId="4" w16cid:durableId="911700180">
    <w:abstractNumId w:val="0"/>
  </w:num>
  <w:num w:numId="5" w16cid:durableId="54398409">
    <w:abstractNumId w:val="6"/>
  </w:num>
  <w:num w:numId="6" w16cid:durableId="173692088">
    <w:abstractNumId w:val="2"/>
  </w:num>
  <w:num w:numId="7" w16cid:durableId="133527217">
    <w:abstractNumId w:val="4"/>
  </w:num>
  <w:num w:numId="8" w16cid:durableId="738481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CC"/>
    <w:rsid w:val="0000095B"/>
    <w:rsid w:val="00004735"/>
    <w:rsid w:val="00011B31"/>
    <w:rsid w:val="000126BB"/>
    <w:rsid w:val="00013E2F"/>
    <w:rsid w:val="00014FFE"/>
    <w:rsid w:val="0001526F"/>
    <w:rsid w:val="00017743"/>
    <w:rsid w:val="00020392"/>
    <w:rsid w:val="0002118D"/>
    <w:rsid w:val="00021734"/>
    <w:rsid w:val="00026FAB"/>
    <w:rsid w:val="00027C1E"/>
    <w:rsid w:val="00031B2A"/>
    <w:rsid w:val="000327AC"/>
    <w:rsid w:val="00033842"/>
    <w:rsid w:val="00034273"/>
    <w:rsid w:val="00035287"/>
    <w:rsid w:val="00037898"/>
    <w:rsid w:val="00046FC1"/>
    <w:rsid w:val="0005082D"/>
    <w:rsid w:val="00051512"/>
    <w:rsid w:val="00051E13"/>
    <w:rsid w:val="000538F3"/>
    <w:rsid w:val="000539D4"/>
    <w:rsid w:val="00056A74"/>
    <w:rsid w:val="00057904"/>
    <w:rsid w:val="00060FD0"/>
    <w:rsid w:val="00064D14"/>
    <w:rsid w:val="00067199"/>
    <w:rsid w:val="000676FC"/>
    <w:rsid w:val="0007069A"/>
    <w:rsid w:val="00071722"/>
    <w:rsid w:val="0007180D"/>
    <w:rsid w:val="000720AB"/>
    <w:rsid w:val="00074BF9"/>
    <w:rsid w:val="00077827"/>
    <w:rsid w:val="00080683"/>
    <w:rsid w:val="000818CE"/>
    <w:rsid w:val="00083EEB"/>
    <w:rsid w:val="000849EC"/>
    <w:rsid w:val="00084DDC"/>
    <w:rsid w:val="00086AAB"/>
    <w:rsid w:val="00086D21"/>
    <w:rsid w:val="000950F1"/>
    <w:rsid w:val="00097266"/>
    <w:rsid w:val="000A2567"/>
    <w:rsid w:val="000A295C"/>
    <w:rsid w:val="000A3627"/>
    <w:rsid w:val="000A3629"/>
    <w:rsid w:val="000A38F4"/>
    <w:rsid w:val="000A4BA8"/>
    <w:rsid w:val="000A5FD2"/>
    <w:rsid w:val="000A605D"/>
    <w:rsid w:val="000A79C3"/>
    <w:rsid w:val="000B21C6"/>
    <w:rsid w:val="000B6FDD"/>
    <w:rsid w:val="000C2A7C"/>
    <w:rsid w:val="000C3E15"/>
    <w:rsid w:val="000C681F"/>
    <w:rsid w:val="000D1D6E"/>
    <w:rsid w:val="000D2AA6"/>
    <w:rsid w:val="000D2DD4"/>
    <w:rsid w:val="000D3D9F"/>
    <w:rsid w:val="000D40DF"/>
    <w:rsid w:val="000D4E42"/>
    <w:rsid w:val="000D76BE"/>
    <w:rsid w:val="000E005A"/>
    <w:rsid w:val="000E058B"/>
    <w:rsid w:val="000E090B"/>
    <w:rsid w:val="000E3830"/>
    <w:rsid w:val="000F0944"/>
    <w:rsid w:val="000F3777"/>
    <w:rsid w:val="000F52EF"/>
    <w:rsid w:val="000F58C1"/>
    <w:rsid w:val="000F64AA"/>
    <w:rsid w:val="000F70C5"/>
    <w:rsid w:val="00100AAA"/>
    <w:rsid w:val="0010261B"/>
    <w:rsid w:val="0010298F"/>
    <w:rsid w:val="00116235"/>
    <w:rsid w:val="00120156"/>
    <w:rsid w:val="0012134C"/>
    <w:rsid w:val="00127DC3"/>
    <w:rsid w:val="00132B60"/>
    <w:rsid w:val="001336D5"/>
    <w:rsid w:val="00134CED"/>
    <w:rsid w:val="0013518E"/>
    <w:rsid w:val="00137847"/>
    <w:rsid w:val="0014037D"/>
    <w:rsid w:val="00140C27"/>
    <w:rsid w:val="00142093"/>
    <w:rsid w:val="00145738"/>
    <w:rsid w:val="001461EE"/>
    <w:rsid w:val="00147697"/>
    <w:rsid w:val="001516C2"/>
    <w:rsid w:val="00154703"/>
    <w:rsid w:val="0015628A"/>
    <w:rsid w:val="00156453"/>
    <w:rsid w:val="00160004"/>
    <w:rsid w:val="001606CD"/>
    <w:rsid w:val="00167D02"/>
    <w:rsid w:val="00172DFC"/>
    <w:rsid w:val="00174AAE"/>
    <w:rsid w:val="00177F77"/>
    <w:rsid w:val="0018164B"/>
    <w:rsid w:val="00183A54"/>
    <w:rsid w:val="00185A3F"/>
    <w:rsid w:val="001916D6"/>
    <w:rsid w:val="001945DF"/>
    <w:rsid w:val="001961AB"/>
    <w:rsid w:val="00197DE6"/>
    <w:rsid w:val="001A0DA0"/>
    <w:rsid w:val="001A1101"/>
    <w:rsid w:val="001A47FB"/>
    <w:rsid w:val="001A6E6D"/>
    <w:rsid w:val="001B0DFA"/>
    <w:rsid w:val="001B0E0D"/>
    <w:rsid w:val="001B2EE5"/>
    <w:rsid w:val="001B3E50"/>
    <w:rsid w:val="001B6919"/>
    <w:rsid w:val="001C0CC7"/>
    <w:rsid w:val="001C1FD7"/>
    <w:rsid w:val="001C7ECC"/>
    <w:rsid w:val="001E095D"/>
    <w:rsid w:val="001E1E53"/>
    <w:rsid w:val="001E2DA7"/>
    <w:rsid w:val="001E484D"/>
    <w:rsid w:val="001E6E50"/>
    <w:rsid w:val="001E7120"/>
    <w:rsid w:val="001F2CAC"/>
    <w:rsid w:val="002018C9"/>
    <w:rsid w:val="00202485"/>
    <w:rsid w:val="00202ABA"/>
    <w:rsid w:val="002032B5"/>
    <w:rsid w:val="0021054E"/>
    <w:rsid w:val="00210DB5"/>
    <w:rsid w:val="002144AE"/>
    <w:rsid w:val="002148E2"/>
    <w:rsid w:val="00223659"/>
    <w:rsid w:val="002236BE"/>
    <w:rsid w:val="0022624C"/>
    <w:rsid w:val="00226934"/>
    <w:rsid w:val="00226B64"/>
    <w:rsid w:val="00226F76"/>
    <w:rsid w:val="0022768B"/>
    <w:rsid w:val="0023302B"/>
    <w:rsid w:val="002357C9"/>
    <w:rsid w:val="00240054"/>
    <w:rsid w:val="00240829"/>
    <w:rsid w:val="002423CC"/>
    <w:rsid w:val="0024273C"/>
    <w:rsid w:val="0025482D"/>
    <w:rsid w:val="00255796"/>
    <w:rsid w:val="00261595"/>
    <w:rsid w:val="00262FFC"/>
    <w:rsid w:val="002636A3"/>
    <w:rsid w:val="00270EA4"/>
    <w:rsid w:val="002714D4"/>
    <w:rsid w:val="002737FC"/>
    <w:rsid w:val="0028124F"/>
    <w:rsid w:val="00287C66"/>
    <w:rsid w:val="0029156C"/>
    <w:rsid w:val="00294F53"/>
    <w:rsid w:val="002A06F1"/>
    <w:rsid w:val="002A1E26"/>
    <w:rsid w:val="002A2B5E"/>
    <w:rsid w:val="002A4F3D"/>
    <w:rsid w:val="002A51AD"/>
    <w:rsid w:val="002B1C34"/>
    <w:rsid w:val="002B22B1"/>
    <w:rsid w:val="002D22AD"/>
    <w:rsid w:val="002D27E4"/>
    <w:rsid w:val="002D4682"/>
    <w:rsid w:val="002D72B3"/>
    <w:rsid w:val="002E0E68"/>
    <w:rsid w:val="002F4621"/>
    <w:rsid w:val="002F4CC1"/>
    <w:rsid w:val="002F4F85"/>
    <w:rsid w:val="002F73A8"/>
    <w:rsid w:val="00302CC0"/>
    <w:rsid w:val="00307040"/>
    <w:rsid w:val="003079B9"/>
    <w:rsid w:val="00312322"/>
    <w:rsid w:val="00314A61"/>
    <w:rsid w:val="0032192A"/>
    <w:rsid w:val="0032404E"/>
    <w:rsid w:val="003309F6"/>
    <w:rsid w:val="0033156B"/>
    <w:rsid w:val="00332907"/>
    <w:rsid w:val="003330E7"/>
    <w:rsid w:val="00334648"/>
    <w:rsid w:val="00336744"/>
    <w:rsid w:val="00340E3B"/>
    <w:rsid w:val="003506FA"/>
    <w:rsid w:val="00354F7A"/>
    <w:rsid w:val="00360A01"/>
    <w:rsid w:val="003644E0"/>
    <w:rsid w:val="00367A81"/>
    <w:rsid w:val="00371379"/>
    <w:rsid w:val="00372075"/>
    <w:rsid w:val="00372584"/>
    <w:rsid w:val="00372AD2"/>
    <w:rsid w:val="00372D8C"/>
    <w:rsid w:val="003767ED"/>
    <w:rsid w:val="00383734"/>
    <w:rsid w:val="003921B3"/>
    <w:rsid w:val="00392459"/>
    <w:rsid w:val="003979F5"/>
    <w:rsid w:val="003A01F9"/>
    <w:rsid w:val="003A110E"/>
    <w:rsid w:val="003B0210"/>
    <w:rsid w:val="003B086D"/>
    <w:rsid w:val="003B0DDC"/>
    <w:rsid w:val="003B2498"/>
    <w:rsid w:val="003B3843"/>
    <w:rsid w:val="003B50FC"/>
    <w:rsid w:val="003B5A7A"/>
    <w:rsid w:val="003B5F4F"/>
    <w:rsid w:val="003B6210"/>
    <w:rsid w:val="003B6F79"/>
    <w:rsid w:val="003C314D"/>
    <w:rsid w:val="003C3DF4"/>
    <w:rsid w:val="003C50B1"/>
    <w:rsid w:val="003D07B0"/>
    <w:rsid w:val="003D314F"/>
    <w:rsid w:val="003D7964"/>
    <w:rsid w:val="003E2A8F"/>
    <w:rsid w:val="003E3C80"/>
    <w:rsid w:val="003E7955"/>
    <w:rsid w:val="003F266F"/>
    <w:rsid w:val="003F498B"/>
    <w:rsid w:val="003F53F5"/>
    <w:rsid w:val="003F5F06"/>
    <w:rsid w:val="0040036D"/>
    <w:rsid w:val="00404657"/>
    <w:rsid w:val="0040574A"/>
    <w:rsid w:val="00407275"/>
    <w:rsid w:val="00407AF6"/>
    <w:rsid w:val="00411E9F"/>
    <w:rsid w:val="00414574"/>
    <w:rsid w:val="004158FC"/>
    <w:rsid w:val="00417D21"/>
    <w:rsid w:val="00420E37"/>
    <w:rsid w:val="0042242A"/>
    <w:rsid w:val="004224DC"/>
    <w:rsid w:val="00424B33"/>
    <w:rsid w:val="00426D39"/>
    <w:rsid w:val="004348F5"/>
    <w:rsid w:val="00437B10"/>
    <w:rsid w:val="004412DB"/>
    <w:rsid w:val="0044245C"/>
    <w:rsid w:val="0044278E"/>
    <w:rsid w:val="00446F0B"/>
    <w:rsid w:val="00450A6D"/>
    <w:rsid w:val="00450D31"/>
    <w:rsid w:val="00451EE9"/>
    <w:rsid w:val="00453B7F"/>
    <w:rsid w:val="004633B2"/>
    <w:rsid w:val="00472C92"/>
    <w:rsid w:val="0047745F"/>
    <w:rsid w:val="00480803"/>
    <w:rsid w:val="00481527"/>
    <w:rsid w:val="004818BA"/>
    <w:rsid w:val="0048355A"/>
    <w:rsid w:val="00484111"/>
    <w:rsid w:val="00487504"/>
    <w:rsid w:val="004875F9"/>
    <w:rsid w:val="00491AFD"/>
    <w:rsid w:val="00493B0E"/>
    <w:rsid w:val="00495337"/>
    <w:rsid w:val="004A339E"/>
    <w:rsid w:val="004A362C"/>
    <w:rsid w:val="004A3C89"/>
    <w:rsid w:val="004A51CE"/>
    <w:rsid w:val="004A5F21"/>
    <w:rsid w:val="004B027E"/>
    <w:rsid w:val="004B2994"/>
    <w:rsid w:val="004B3EC7"/>
    <w:rsid w:val="004B570D"/>
    <w:rsid w:val="004B65F1"/>
    <w:rsid w:val="004B734C"/>
    <w:rsid w:val="004C1898"/>
    <w:rsid w:val="004C1FD5"/>
    <w:rsid w:val="004C3110"/>
    <w:rsid w:val="004C3D86"/>
    <w:rsid w:val="004D14E0"/>
    <w:rsid w:val="004D202C"/>
    <w:rsid w:val="004F094E"/>
    <w:rsid w:val="004F097A"/>
    <w:rsid w:val="004F0ADE"/>
    <w:rsid w:val="004F3C75"/>
    <w:rsid w:val="004F4333"/>
    <w:rsid w:val="004F50B0"/>
    <w:rsid w:val="004F5AFB"/>
    <w:rsid w:val="004F6DD4"/>
    <w:rsid w:val="004F768A"/>
    <w:rsid w:val="00501CE0"/>
    <w:rsid w:val="005036B8"/>
    <w:rsid w:val="00511659"/>
    <w:rsid w:val="0051172D"/>
    <w:rsid w:val="00515007"/>
    <w:rsid w:val="005151A7"/>
    <w:rsid w:val="005221D4"/>
    <w:rsid w:val="00524E80"/>
    <w:rsid w:val="00525E4A"/>
    <w:rsid w:val="00527D10"/>
    <w:rsid w:val="00533054"/>
    <w:rsid w:val="00536386"/>
    <w:rsid w:val="005432F3"/>
    <w:rsid w:val="005436E5"/>
    <w:rsid w:val="00546810"/>
    <w:rsid w:val="005559E3"/>
    <w:rsid w:val="00557FC1"/>
    <w:rsid w:val="005603CD"/>
    <w:rsid w:val="005606EF"/>
    <w:rsid w:val="0056135A"/>
    <w:rsid w:val="00561D53"/>
    <w:rsid w:val="00562075"/>
    <w:rsid w:val="00571EE8"/>
    <w:rsid w:val="00575A11"/>
    <w:rsid w:val="00575B8D"/>
    <w:rsid w:val="00580ABD"/>
    <w:rsid w:val="00584F84"/>
    <w:rsid w:val="005873AC"/>
    <w:rsid w:val="00591B75"/>
    <w:rsid w:val="005945B9"/>
    <w:rsid w:val="00596F6A"/>
    <w:rsid w:val="005A03E3"/>
    <w:rsid w:val="005A6957"/>
    <w:rsid w:val="005B2C53"/>
    <w:rsid w:val="005B3CD0"/>
    <w:rsid w:val="005B414D"/>
    <w:rsid w:val="005B42CC"/>
    <w:rsid w:val="005B46AA"/>
    <w:rsid w:val="005B55BD"/>
    <w:rsid w:val="005B75FC"/>
    <w:rsid w:val="005B7D3B"/>
    <w:rsid w:val="005C26D9"/>
    <w:rsid w:val="005C60DB"/>
    <w:rsid w:val="005C7DCF"/>
    <w:rsid w:val="005D45C9"/>
    <w:rsid w:val="005E2714"/>
    <w:rsid w:val="005E59BE"/>
    <w:rsid w:val="005F09BE"/>
    <w:rsid w:val="005F0D4D"/>
    <w:rsid w:val="005F1452"/>
    <w:rsid w:val="005F312E"/>
    <w:rsid w:val="005F32D8"/>
    <w:rsid w:val="005F6CE0"/>
    <w:rsid w:val="005F7756"/>
    <w:rsid w:val="0060249F"/>
    <w:rsid w:val="00602883"/>
    <w:rsid w:val="006046C2"/>
    <w:rsid w:val="006072F0"/>
    <w:rsid w:val="00607D45"/>
    <w:rsid w:val="006135A2"/>
    <w:rsid w:val="00613833"/>
    <w:rsid w:val="00615801"/>
    <w:rsid w:val="0061659F"/>
    <w:rsid w:val="00617077"/>
    <w:rsid w:val="00617FE4"/>
    <w:rsid w:val="00625047"/>
    <w:rsid w:val="006254EB"/>
    <w:rsid w:val="006258CE"/>
    <w:rsid w:val="0062599C"/>
    <w:rsid w:val="00633799"/>
    <w:rsid w:val="00641B78"/>
    <w:rsid w:val="00643010"/>
    <w:rsid w:val="006439BA"/>
    <w:rsid w:val="0065074A"/>
    <w:rsid w:val="00652DA0"/>
    <w:rsid w:val="006550CE"/>
    <w:rsid w:val="0065597F"/>
    <w:rsid w:val="0066223B"/>
    <w:rsid w:val="006628D9"/>
    <w:rsid w:val="0066389B"/>
    <w:rsid w:val="00664F51"/>
    <w:rsid w:val="00667A16"/>
    <w:rsid w:val="006701DF"/>
    <w:rsid w:val="00675C1E"/>
    <w:rsid w:val="006762FD"/>
    <w:rsid w:val="00676F39"/>
    <w:rsid w:val="00682E48"/>
    <w:rsid w:val="00695351"/>
    <w:rsid w:val="00696B1C"/>
    <w:rsid w:val="00696FC8"/>
    <w:rsid w:val="006B0ED7"/>
    <w:rsid w:val="006B2A88"/>
    <w:rsid w:val="006B445C"/>
    <w:rsid w:val="006C1690"/>
    <w:rsid w:val="006C3684"/>
    <w:rsid w:val="006C639D"/>
    <w:rsid w:val="006C7475"/>
    <w:rsid w:val="006D0CD0"/>
    <w:rsid w:val="006D296C"/>
    <w:rsid w:val="006E5CCB"/>
    <w:rsid w:val="006E5E1F"/>
    <w:rsid w:val="006E7458"/>
    <w:rsid w:val="006F0E55"/>
    <w:rsid w:val="006F1409"/>
    <w:rsid w:val="006F1F5D"/>
    <w:rsid w:val="006F4888"/>
    <w:rsid w:val="006F4BF8"/>
    <w:rsid w:val="006F69E7"/>
    <w:rsid w:val="007006BC"/>
    <w:rsid w:val="00700D26"/>
    <w:rsid w:val="00704F48"/>
    <w:rsid w:val="007102CB"/>
    <w:rsid w:val="007104C5"/>
    <w:rsid w:val="00711954"/>
    <w:rsid w:val="00712452"/>
    <w:rsid w:val="00717207"/>
    <w:rsid w:val="00720868"/>
    <w:rsid w:val="00720E78"/>
    <w:rsid w:val="00725854"/>
    <w:rsid w:val="00726DB7"/>
    <w:rsid w:val="00727CC5"/>
    <w:rsid w:val="00731C58"/>
    <w:rsid w:val="00740121"/>
    <w:rsid w:val="00750ACE"/>
    <w:rsid w:val="00750FEE"/>
    <w:rsid w:val="0075338D"/>
    <w:rsid w:val="00756428"/>
    <w:rsid w:val="00756E42"/>
    <w:rsid w:val="00760299"/>
    <w:rsid w:val="0076236C"/>
    <w:rsid w:val="00763C10"/>
    <w:rsid w:val="00766CED"/>
    <w:rsid w:val="00770A8F"/>
    <w:rsid w:val="00781353"/>
    <w:rsid w:val="0078333D"/>
    <w:rsid w:val="00783682"/>
    <w:rsid w:val="00784C58"/>
    <w:rsid w:val="00790B75"/>
    <w:rsid w:val="00790B92"/>
    <w:rsid w:val="0079440F"/>
    <w:rsid w:val="00796137"/>
    <w:rsid w:val="007A2208"/>
    <w:rsid w:val="007A5C05"/>
    <w:rsid w:val="007A6538"/>
    <w:rsid w:val="007B19E4"/>
    <w:rsid w:val="007B2189"/>
    <w:rsid w:val="007B7AAD"/>
    <w:rsid w:val="007B7E9D"/>
    <w:rsid w:val="007C027C"/>
    <w:rsid w:val="007C236E"/>
    <w:rsid w:val="007C3171"/>
    <w:rsid w:val="007C424D"/>
    <w:rsid w:val="007C4819"/>
    <w:rsid w:val="007D28A9"/>
    <w:rsid w:val="007E1D4E"/>
    <w:rsid w:val="007E4362"/>
    <w:rsid w:val="007F12E6"/>
    <w:rsid w:val="007F18D2"/>
    <w:rsid w:val="007F25D5"/>
    <w:rsid w:val="007F26AD"/>
    <w:rsid w:val="007F3003"/>
    <w:rsid w:val="007F597E"/>
    <w:rsid w:val="007F6580"/>
    <w:rsid w:val="0080034B"/>
    <w:rsid w:val="00800C68"/>
    <w:rsid w:val="00800FEF"/>
    <w:rsid w:val="0080136D"/>
    <w:rsid w:val="00802EEB"/>
    <w:rsid w:val="00803490"/>
    <w:rsid w:val="00804808"/>
    <w:rsid w:val="00820FF5"/>
    <w:rsid w:val="00821F80"/>
    <w:rsid w:val="008221AC"/>
    <w:rsid w:val="00824A7E"/>
    <w:rsid w:val="0082642A"/>
    <w:rsid w:val="008266C5"/>
    <w:rsid w:val="008269AF"/>
    <w:rsid w:val="00832336"/>
    <w:rsid w:val="008344A2"/>
    <w:rsid w:val="00834AEF"/>
    <w:rsid w:val="00835ADD"/>
    <w:rsid w:val="008372D0"/>
    <w:rsid w:val="00837C18"/>
    <w:rsid w:val="00841C62"/>
    <w:rsid w:val="008430A1"/>
    <w:rsid w:val="00844502"/>
    <w:rsid w:val="00851030"/>
    <w:rsid w:val="00853EAD"/>
    <w:rsid w:val="0085612E"/>
    <w:rsid w:val="008564F2"/>
    <w:rsid w:val="008565F1"/>
    <w:rsid w:val="00861ECF"/>
    <w:rsid w:val="0086347B"/>
    <w:rsid w:val="0086542D"/>
    <w:rsid w:val="008658C2"/>
    <w:rsid w:val="008670DC"/>
    <w:rsid w:val="008672C2"/>
    <w:rsid w:val="0086794C"/>
    <w:rsid w:val="008727E4"/>
    <w:rsid w:val="00882831"/>
    <w:rsid w:val="00885737"/>
    <w:rsid w:val="00886B0A"/>
    <w:rsid w:val="00896A81"/>
    <w:rsid w:val="008B14E4"/>
    <w:rsid w:val="008B271E"/>
    <w:rsid w:val="008B75F5"/>
    <w:rsid w:val="008C16E3"/>
    <w:rsid w:val="008C1864"/>
    <w:rsid w:val="008C25A6"/>
    <w:rsid w:val="008C508C"/>
    <w:rsid w:val="008C5CC4"/>
    <w:rsid w:val="008D035F"/>
    <w:rsid w:val="008D23E7"/>
    <w:rsid w:val="008D3628"/>
    <w:rsid w:val="008D38DD"/>
    <w:rsid w:val="008D4CFB"/>
    <w:rsid w:val="008D5A7F"/>
    <w:rsid w:val="008D7691"/>
    <w:rsid w:val="008E150D"/>
    <w:rsid w:val="008E3328"/>
    <w:rsid w:val="008E4F6B"/>
    <w:rsid w:val="008E6290"/>
    <w:rsid w:val="008E7BB6"/>
    <w:rsid w:val="008F0D11"/>
    <w:rsid w:val="008F35FE"/>
    <w:rsid w:val="008F3AFB"/>
    <w:rsid w:val="008F465F"/>
    <w:rsid w:val="00900960"/>
    <w:rsid w:val="00904060"/>
    <w:rsid w:val="009047E7"/>
    <w:rsid w:val="00905205"/>
    <w:rsid w:val="009077C0"/>
    <w:rsid w:val="0091583D"/>
    <w:rsid w:val="009177CC"/>
    <w:rsid w:val="00920104"/>
    <w:rsid w:val="00923C08"/>
    <w:rsid w:val="009260B6"/>
    <w:rsid w:val="00932EE5"/>
    <w:rsid w:val="009362E9"/>
    <w:rsid w:val="00937AAA"/>
    <w:rsid w:val="009407F3"/>
    <w:rsid w:val="00941BEA"/>
    <w:rsid w:val="00941EDF"/>
    <w:rsid w:val="0094317D"/>
    <w:rsid w:val="00945144"/>
    <w:rsid w:val="00946B43"/>
    <w:rsid w:val="009512BE"/>
    <w:rsid w:val="00954399"/>
    <w:rsid w:val="0095459B"/>
    <w:rsid w:val="00954ABB"/>
    <w:rsid w:val="00957031"/>
    <w:rsid w:val="00961A60"/>
    <w:rsid w:val="00962844"/>
    <w:rsid w:val="00965CF6"/>
    <w:rsid w:val="00966C26"/>
    <w:rsid w:val="00974764"/>
    <w:rsid w:val="0098096C"/>
    <w:rsid w:val="00982DED"/>
    <w:rsid w:val="0098365C"/>
    <w:rsid w:val="00984C84"/>
    <w:rsid w:val="00986CCF"/>
    <w:rsid w:val="0098737F"/>
    <w:rsid w:val="0099163C"/>
    <w:rsid w:val="00997698"/>
    <w:rsid w:val="009A4868"/>
    <w:rsid w:val="009A626F"/>
    <w:rsid w:val="009B165E"/>
    <w:rsid w:val="009B1692"/>
    <w:rsid w:val="009B1D2F"/>
    <w:rsid w:val="009B2FBA"/>
    <w:rsid w:val="009B4CD4"/>
    <w:rsid w:val="009B7F04"/>
    <w:rsid w:val="009C0A7B"/>
    <w:rsid w:val="009C0AFC"/>
    <w:rsid w:val="009C26E4"/>
    <w:rsid w:val="009D03C0"/>
    <w:rsid w:val="009D0839"/>
    <w:rsid w:val="009D1329"/>
    <w:rsid w:val="009D2313"/>
    <w:rsid w:val="009D4D7E"/>
    <w:rsid w:val="009E161E"/>
    <w:rsid w:val="009E189A"/>
    <w:rsid w:val="009F0303"/>
    <w:rsid w:val="009F4328"/>
    <w:rsid w:val="009F5587"/>
    <w:rsid w:val="009F5856"/>
    <w:rsid w:val="009F6C3E"/>
    <w:rsid w:val="009F7154"/>
    <w:rsid w:val="009F7950"/>
    <w:rsid w:val="00A0305B"/>
    <w:rsid w:val="00A141C7"/>
    <w:rsid w:val="00A153B9"/>
    <w:rsid w:val="00A15972"/>
    <w:rsid w:val="00A2072B"/>
    <w:rsid w:val="00A22E59"/>
    <w:rsid w:val="00A260CC"/>
    <w:rsid w:val="00A32604"/>
    <w:rsid w:val="00A36AF4"/>
    <w:rsid w:val="00A4030C"/>
    <w:rsid w:val="00A405F7"/>
    <w:rsid w:val="00A443B9"/>
    <w:rsid w:val="00A4489E"/>
    <w:rsid w:val="00A4756E"/>
    <w:rsid w:val="00A5232D"/>
    <w:rsid w:val="00A5799D"/>
    <w:rsid w:val="00A618CF"/>
    <w:rsid w:val="00A61D4D"/>
    <w:rsid w:val="00A63BA7"/>
    <w:rsid w:val="00A6492B"/>
    <w:rsid w:val="00A64A4D"/>
    <w:rsid w:val="00A7009C"/>
    <w:rsid w:val="00A722DB"/>
    <w:rsid w:val="00A72642"/>
    <w:rsid w:val="00A7599B"/>
    <w:rsid w:val="00A765CC"/>
    <w:rsid w:val="00A77571"/>
    <w:rsid w:val="00A80F45"/>
    <w:rsid w:val="00A81458"/>
    <w:rsid w:val="00A83D86"/>
    <w:rsid w:val="00A84911"/>
    <w:rsid w:val="00A86551"/>
    <w:rsid w:val="00A86F68"/>
    <w:rsid w:val="00A9053C"/>
    <w:rsid w:val="00A90618"/>
    <w:rsid w:val="00A926C4"/>
    <w:rsid w:val="00A94992"/>
    <w:rsid w:val="00A95893"/>
    <w:rsid w:val="00A95F61"/>
    <w:rsid w:val="00A962AD"/>
    <w:rsid w:val="00AA2E52"/>
    <w:rsid w:val="00AA3E1A"/>
    <w:rsid w:val="00AA7DCB"/>
    <w:rsid w:val="00AB2937"/>
    <w:rsid w:val="00AB66C5"/>
    <w:rsid w:val="00AC0571"/>
    <w:rsid w:val="00AC0FBC"/>
    <w:rsid w:val="00AC1416"/>
    <w:rsid w:val="00AC2A7F"/>
    <w:rsid w:val="00AC30A8"/>
    <w:rsid w:val="00AC6BD7"/>
    <w:rsid w:val="00AC7223"/>
    <w:rsid w:val="00AD252D"/>
    <w:rsid w:val="00AD3477"/>
    <w:rsid w:val="00AD3B6A"/>
    <w:rsid w:val="00AD4B5C"/>
    <w:rsid w:val="00AD5F8E"/>
    <w:rsid w:val="00AE2B8B"/>
    <w:rsid w:val="00AF37D3"/>
    <w:rsid w:val="00AF46DF"/>
    <w:rsid w:val="00AF76CC"/>
    <w:rsid w:val="00B04B28"/>
    <w:rsid w:val="00B06181"/>
    <w:rsid w:val="00B07705"/>
    <w:rsid w:val="00B11F9F"/>
    <w:rsid w:val="00B13022"/>
    <w:rsid w:val="00B1427B"/>
    <w:rsid w:val="00B15AC2"/>
    <w:rsid w:val="00B24967"/>
    <w:rsid w:val="00B255EF"/>
    <w:rsid w:val="00B301B3"/>
    <w:rsid w:val="00B33AA2"/>
    <w:rsid w:val="00B3521D"/>
    <w:rsid w:val="00B357A9"/>
    <w:rsid w:val="00B36C83"/>
    <w:rsid w:val="00B401C9"/>
    <w:rsid w:val="00B44F59"/>
    <w:rsid w:val="00B4536A"/>
    <w:rsid w:val="00B46FAF"/>
    <w:rsid w:val="00B54238"/>
    <w:rsid w:val="00B56CD7"/>
    <w:rsid w:val="00B63F6B"/>
    <w:rsid w:val="00B7228B"/>
    <w:rsid w:val="00B753D1"/>
    <w:rsid w:val="00B76E7B"/>
    <w:rsid w:val="00B836CC"/>
    <w:rsid w:val="00B876A9"/>
    <w:rsid w:val="00B91B76"/>
    <w:rsid w:val="00B91BB9"/>
    <w:rsid w:val="00B94E56"/>
    <w:rsid w:val="00B952AE"/>
    <w:rsid w:val="00B95A49"/>
    <w:rsid w:val="00B95E24"/>
    <w:rsid w:val="00B95FE5"/>
    <w:rsid w:val="00B9650A"/>
    <w:rsid w:val="00B96879"/>
    <w:rsid w:val="00BA50EE"/>
    <w:rsid w:val="00BA6F80"/>
    <w:rsid w:val="00BB139A"/>
    <w:rsid w:val="00BB1437"/>
    <w:rsid w:val="00BB213A"/>
    <w:rsid w:val="00BB24C4"/>
    <w:rsid w:val="00BB3660"/>
    <w:rsid w:val="00BB4C48"/>
    <w:rsid w:val="00BB527F"/>
    <w:rsid w:val="00BC74B0"/>
    <w:rsid w:val="00BD0663"/>
    <w:rsid w:val="00BD27C1"/>
    <w:rsid w:val="00BD43B0"/>
    <w:rsid w:val="00BD454A"/>
    <w:rsid w:val="00BE0710"/>
    <w:rsid w:val="00BE467F"/>
    <w:rsid w:val="00BE66C1"/>
    <w:rsid w:val="00BE6745"/>
    <w:rsid w:val="00BF2A84"/>
    <w:rsid w:val="00BF3DEB"/>
    <w:rsid w:val="00BF6BDF"/>
    <w:rsid w:val="00BF7CD4"/>
    <w:rsid w:val="00C00B45"/>
    <w:rsid w:val="00C020F5"/>
    <w:rsid w:val="00C04EA0"/>
    <w:rsid w:val="00C11C9B"/>
    <w:rsid w:val="00C14DDC"/>
    <w:rsid w:val="00C177E5"/>
    <w:rsid w:val="00C21032"/>
    <w:rsid w:val="00C24126"/>
    <w:rsid w:val="00C2575D"/>
    <w:rsid w:val="00C26055"/>
    <w:rsid w:val="00C307BF"/>
    <w:rsid w:val="00C30BD1"/>
    <w:rsid w:val="00C3637D"/>
    <w:rsid w:val="00C37078"/>
    <w:rsid w:val="00C44966"/>
    <w:rsid w:val="00C454FA"/>
    <w:rsid w:val="00C51BE6"/>
    <w:rsid w:val="00C51D74"/>
    <w:rsid w:val="00C6026A"/>
    <w:rsid w:val="00C65074"/>
    <w:rsid w:val="00C666C7"/>
    <w:rsid w:val="00C673BA"/>
    <w:rsid w:val="00C67940"/>
    <w:rsid w:val="00C700C1"/>
    <w:rsid w:val="00C7044E"/>
    <w:rsid w:val="00C71DEC"/>
    <w:rsid w:val="00C7304D"/>
    <w:rsid w:val="00C7413A"/>
    <w:rsid w:val="00C75292"/>
    <w:rsid w:val="00C75B63"/>
    <w:rsid w:val="00C76712"/>
    <w:rsid w:val="00C82359"/>
    <w:rsid w:val="00C8240C"/>
    <w:rsid w:val="00C83B73"/>
    <w:rsid w:val="00C84B93"/>
    <w:rsid w:val="00C90849"/>
    <w:rsid w:val="00C95B83"/>
    <w:rsid w:val="00C96AA8"/>
    <w:rsid w:val="00C97EDE"/>
    <w:rsid w:val="00CA03FD"/>
    <w:rsid w:val="00CA2FC5"/>
    <w:rsid w:val="00CA44A4"/>
    <w:rsid w:val="00CA71DA"/>
    <w:rsid w:val="00CA79AA"/>
    <w:rsid w:val="00CB2FC7"/>
    <w:rsid w:val="00CB4D61"/>
    <w:rsid w:val="00CB7145"/>
    <w:rsid w:val="00CB7AEA"/>
    <w:rsid w:val="00CC12CB"/>
    <w:rsid w:val="00CC1C1A"/>
    <w:rsid w:val="00CC5409"/>
    <w:rsid w:val="00CC57FE"/>
    <w:rsid w:val="00CC59B0"/>
    <w:rsid w:val="00CD1AD6"/>
    <w:rsid w:val="00CD6C60"/>
    <w:rsid w:val="00CE5667"/>
    <w:rsid w:val="00CF1FE2"/>
    <w:rsid w:val="00CF23D7"/>
    <w:rsid w:val="00CF3375"/>
    <w:rsid w:val="00CF6259"/>
    <w:rsid w:val="00CF6CBA"/>
    <w:rsid w:val="00D0069D"/>
    <w:rsid w:val="00D01CCE"/>
    <w:rsid w:val="00D058AD"/>
    <w:rsid w:val="00D05C38"/>
    <w:rsid w:val="00D10D2A"/>
    <w:rsid w:val="00D2353D"/>
    <w:rsid w:val="00D238A7"/>
    <w:rsid w:val="00D24235"/>
    <w:rsid w:val="00D242BD"/>
    <w:rsid w:val="00D3048F"/>
    <w:rsid w:val="00D3147E"/>
    <w:rsid w:val="00D373D9"/>
    <w:rsid w:val="00D40C3E"/>
    <w:rsid w:val="00D41EC5"/>
    <w:rsid w:val="00D43B8B"/>
    <w:rsid w:val="00D43EAD"/>
    <w:rsid w:val="00D441F1"/>
    <w:rsid w:val="00D45808"/>
    <w:rsid w:val="00D64544"/>
    <w:rsid w:val="00D724A0"/>
    <w:rsid w:val="00D767FA"/>
    <w:rsid w:val="00D777FC"/>
    <w:rsid w:val="00D81A4E"/>
    <w:rsid w:val="00D83937"/>
    <w:rsid w:val="00D83C49"/>
    <w:rsid w:val="00D85555"/>
    <w:rsid w:val="00D8562E"/>
    <w:rsid w:val="00D85FD4"/>
    <w:rsid w:val="00D92670"/>
    <w:rsid w:val="00D96247"/>
    <w:rsid w:val="00D965BA"/>
    <w:rsid w:val="00D9725C"/>
    <w:rsid w:val="00DA03DA"/>
    <w:rsid w:val="00DA3397"/>
    <w:rsid w:val="00DA624C"/>
    <w:rsid w:val="00DA6C87"/>
    <w:rsid w:val="00DA7B35"/>
    <w:rsid w:val="00DA7F42"/>
    <w:rsid w:val="00DB01D8"/>
    <w:rsid w:val="00DB19BE"/>
    <w:rsid w:val="00DB452E"/>
    <w:rsid w:val="00DB5442"/>
    <w:rsid w:val="00DB5921"/>
    <w:rsid w:val="00DB5C56"/>
    <w:rsid w:val="00DB663A"/>
    <w:rsid w:val="00DB71C5"/>
    <w:rsid w:val="00DC3765"/>
    <w:rsid w:val="00DC77BD"/>
    <w:rsid w:val="00DC7FCA"/>
    <w:rsid w:val="00DD116F"/>
    <w:rsid w:val="00DD136D"/>
    <w:rsid w:val="00DD2B2B"/>
    <w:rsid w:val="00DF0AF2"/>
    <w:rsid w:val="00DF1802"/>
    <w:rsid w:val="00DF1F36"/>
    <w:rsid w:val="00DF7EB9"/>
    <w:rsid w:val="00E119C4"/>
    <w:rsid w:val="00E139C9"/>
    <w:rsid w:val="00E14858"/>
    <w:rsid w:val="00E14F6D"/>
    <w:rsid w:val="00E150FE"/>
    <w:rsid w:val="00E21157"/>
    <w:rsid w:val="00E225FA"/>
    <w:rsid w:val="00E2642F"/>
    <w:rsid w:val="00E26CCC"/>
    <w:rsid w:val="00E3158A"/>
    <w:rsid w:val="00E32595"/>
    <w:rsid w:val="00E4141A"/>
    <w:rsid w:val="00E4273B"/>
    <w:rsid w:val="00E46C13"/>
    <w:rsid w:val="00E51A57"/>
    <w:rsid w:val="00E55441"/>
    <w:rsid w:val="00E565EE"/>
    <w:rsid w:val="00E572E3"/>
    <w:rsid w:val="00E57A9B"/>
    <w:rsid w:val="00E623B2"/>
    <w:rsid w:val="00E65E91"/>
    <w:rsid w:val="00E669C8"/>
    <w:rsid w:val="00E67353"/>
    <w:rsid w:val="00E71314"/>
    <w:rsid w:val="00E741C8"/>
    <w:rsid w:val="00E772FC"/>
    <w:rsid w:val="00E77F8B"/>
    <w:rsid w:val="00E81159"/>
    <w:rsid w:val="00E81A4A"/>
    <w:rsid w:val="00E854AD"/>
    <w:rsid w:val="00E85766"/>
    <w:rsid w:val="00E90298"/>
    <w:rsid w:val="00E90319"/>
    <w:rsid w:val="00E94349"/>
    <w:rsid w:val="00E972AE"/>
    <w:rsid w:val="00EA5B9D"/>
    <w:rsid w:val="00EA5F83"/>
    <w:rsid w:val="00EB265C"/>
    <w:rsid w:val="00EB4DBD"/>
    <w:rsid w:val="00EC014C"/>
    <w:rsid w:val="00EC12E8"/>
    <w:rsid w:val="00EC1FAB"/>
    <w:rsid w:val="00ED1987"/>
    <w:rsid w:val="00ED2EBF"/>
    <w:rsid w:val="00EE0EC9"/>
    <w:rsid w:val="00EE3DB5"/>
    <w:rsid w:val="00EF4CB0"/>
    <w:rsid w:val="00EF5F01"/>
    <w:rsid w:val="00EF6187"/>
    <w:rsid w:val="00F00685"/>
    <w:rsid w:val="00F00DBB"/>
    <w:rsid w:val="00F01B54"/>
    <w:rsid w:val="00F110F0"/>
    <w:rsid w:val="00F12154"/>
    <w:rsid w:val="00F231D6"/>
    <w:rsid w:val="00F23B37"/>
    <w:rsid w:val="00F256C6"/>
    <w:rsid w:val="00F26190"/>
    <w:rsid w:val="00F27AF0"/>
    <w:rsid w:val="00F30425"/>
    <w:rsid w:val="00F34545"/>
    <w:rsid w:val="00F415BE"/>
    <w:rsid w:val="00F42E7B"/>
    <w:rsid w:val="00F44532"/>
    <w:rsid w:val="00F4501E"/>
    <w:rsid w:val="00F508CD"/>
    <w:rsid w:val="00F54A71"/>
    <w:rsid w:val="00F640E1"/>
    <w:rsid w:val="00F64815"/>
    <w:rsid w:val="00F704FD"/>
    <w:rsid w:val="00F71252"/>
    <w:rsid w:val="00F71B8F"/>
    <w:rsid w:val="00F7270A"/>
    <w:rsid w:val="00F76A9D"/>
    <w:rsid w:val="00F83F3C"/>
    <w:rsid w:val="00F844FB"/>
    <w:rsid w:val="00F85181"/>
    <w:rsid w:val="00F91924"/>
    <w:rsid w:val="00F92A37"/>
    <w:rsid w:val="00F95066"/>
    <w:rsid w:val="00FA152C"/>
    <w:rsid w:val="00FA4774"/>
    <w:rsid w:val="00FA5036"/>
    <w:rsid w:val="00FA5326"/>
    <w:rsid w:val="00FA6F48"/>
    <w:rsid w:val="00FA7D72"/>
    <w:rsid w:val="00FB0160"/>
    <w:rsid w:val="00FC12BE"/>
    <w:rsid w:val="00FC23BF"/>
    <w:rsid w:val="00FC49E6"/>
    <w:rsid w:val="00FD0EDF"/>
    <w:rsid w:val="00FD3130"/>
    <w:rsid w:val="00FD6C32"/>
    <w:rsid w:val="00FE07F6"/>
    <w:rsid w:val="00FE2FDA"/>
    <w:rsid w:val="00FE7513"/>
    <w:rsid w:val="00FF01C4"/>
    <w:rsid w:val="00FF0EDF"/>
    <w:rsid w:val="00FF4AF2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1E01"/>
  <w15:chartTrackingRefBased/>
  <w15:docId w15:val="{1E95B631-4425-4DC2-895C-F6766BEA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5C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3C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15187-4D48-4980-AF9F-7805B845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Company</Company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Kristin (SPC)</dc:creator>
  <cp:keywords/>
  <dc:description/>
  <cp:lastModifiedBy>Cook, Kristin (SPC)</cp:lastModifiedBy>
  <cp:revision>2</cp:revision>
  <dcterms:created xsi:type="dcterms:W3CDTF">2025-09-24T19:01:00Z</dcterms:created>
  <dcterms:modified xsi:type="dcterms:W3CDTF">2025-09-24T19:01:00Z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3826ce-7c18-471d-9596-93de5bae332e_Enabled">
    <vt:lpwstr>true</vt:lpwstr>
  </property>
  <property fmtid="{D5CDD505-2E9C-101B-9397-08002B2CF9AE}" pid="3" name="MSIP_Label_ed3826ce-7c18-471d-9596-93de5bae332e_SetDate">
    <vt:lpwstr>2025-02-24T17:29:16Z</vt:lpwstr>
  </property>
  <property fmtid="{D5CDD505-2E9C-101B-9397-08002B2CF9AE}" pid="4" name="MSIP_Label_ed3826ce-7c18-471d-9596-93de5bae332e_Method">
    <vt:lpwstr>Standard</vt:lpwstr>
  </property>
  <property fmtid="{D5CDD505-2E9C-101B-9397-08002B2CF9AE}" pid="5" name="MSIP_Label_ed3826ce-7c18-471d-9596-93de5bae332e_Name">
    <vt:lpwstr>Internal</vt:lpwstr>
  </property>
  <property fmtid="{D5CDD505-2E9C-101B-9397-08002B2CF9AE}" pid="6" name="MSIP_Label_ed3826ce-7c18-471d-9596-93de5bae332e_SiteId">
    <vt:lpwstr>c0a02e2d-1186-410a-8895-0a4a252ebf17</vt:lpwstr>
  </property>
  <property fmtid="{D5CDD505-2E9C-101B-9397-08002B2CF9AE}" pid="7" name="MSIP_Label_ed3826ce-7c18-471d-9596-93de5bae332e_ActionId">
    <vt:lpwstr>1b50d964-291c-4e9f-a23b-8baf8ad65ef5</vt:lpwstr>
  </property>
  <property fmtid="{D5CDD505-2E9C-101B-9397-08002B2CF9AE}" pid="8" name="MSIP_Label_ed3826ce-7c18-471d-9596-93de5bae332e_ContentBits">
    <vt:lpwstr>0</vt:lpwstr>
  </property>
</Properties>
</file>