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935CB2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0FEC1" w14:textId="77777777" w:rsidR="00152993" w:rsidRDefault="00EE6681" w:rsidP="003C5FC4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9FB9E" w14:textId="77C1C520" w:rsidR="00152993" w:rsidRDefault="00F56919" w:rsidP="00F56919">
            <w:pPr>
              <w:pStyle w:val="Header"/>
              <w:jc w:val="center"/>
            </w:pPr>
            <w:hyperlink r:id="rId8" w:history="1">
              <w:r w:rsidRPr="00C46E55">
                <w:rPr>
                  <w:rStyle w:val="Hyperlink"/>
                </w:rPr>
                <w:t>12</w:t>
              </w:r>
              <w:r w:rsidR="00C46E55" w:rsidRPr="00C46E55">
                <w:rPr>
                  <w:rStyle w:val="Hyperlink"/>
                </w:rPr>
                <w:t>95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6BD8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0E74A" w14:textId="682DDAE8" w:rsidR="00152993" w:rsidRDefault="00C46E55" w:rsidP="00F56919">
            <w:pPr>
              <w:pStyle w:val="Header"/>
              <w:spacing w:before="120" w:after="120"/>
            </w:pPr>
            <w:r>
              <w:t>GTC Exit Solutions</w:t>
            </w:r>
          </w:p>
        </w:tc>
      </w:tr>
      <w:tr w:rsidR="00152993" w14:paraId="547CD167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FD67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33C4B" w14:textId="77777777" w:rsidR="00152993" w:rsidRDefault="00152993">
            <w:pPr>
              <w:pStyle w:val="NormalArial"/>
            </w:pPr>
          </w:p>
        </w:tc>
      </w:tr>
      <w:tr w:rsidR="00152993" w14:paraId="36CEEB2E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2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F4" w14:textId="7078B682" w:rsidR="00152993" w:rsidRDefault="00C46E55">
            <w:pPr>
              <w:pStyle w:val="NormalArial"/>
            </w:pPr>
            <w:r>
              <w:t>September</w:t>
            </w:r>
            <w:r w:rsidR="00F56919">
              <w:t xml:space="preserve"> </w:t>
            </w:r>
            <w:r w:rsidR="00473FD2">
              <w:t>24</w:t>
            </w:r>
            <w:r w:rsidR="00F56919">
              <w:t xml:space="preserve">, </w:t>
            </w:r>
            <w:r w:rsidR="004E65BA">
              <w:t>202</w:t>
            </w:r>
            <w:r w:rsidR="00FA629D">
              <w:t>5</w:t>
            </w:r>
          </w:p>
        </w:tc>
      </w:tr>
      <w:tr w:rsidR="00152993" w14:paraId="6FD3F0F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029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A73" w14:textId="77777777" w:rsidR="00152993" w:rsidRDefault="00152993">
            <w:pPr>
              <w:pStyle w:val="NormalArial"/>
            </w:pPr>
          </w:p>
        </w:tc>
      </w:tr>
      <w:tr w:rsidR="00152993" w14:paraId="17352CE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F2E6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4328184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090FFB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CB6FD80" w14:textId="26B38778" w:rsidR="00152993" w:rsidRDefault="00837083">
            <w:pPr>
              <w:pStyle w:val="NormalArial"/>
            </w:pPr>
            <w:r>
              <w:t>Ping Yan</w:t>
            </w:r>
            <w:r w:rsidR="00F65575">
              <w:t xml:space="preserve">; </w:t>
            </w:r>
            <w:r w:rsidR="009467F0">
              <w:t>Matthew</w:t>
            </w:r>
            <w:r w:rsidR="004F1932">
              <w:t xml:space="preserve"> Arth</w:t>
            </w:r>
          </w:p>
        </w:tc>
      </w:tr>
      <w:tr w:rsidR="00152993" w14:paraId="7A7F3DC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9251A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F513C33" w14:textId="13C0693C" w:rsidR="00152993" w:rsidRDefault="00FA629D">
            <w:pPr>
              <w:pStyle w:val="NormalArial"/>
            </w:pPr>
            <w:hyperlink r:id="rId9" w:history="1">
              <w:r w:rsidRPr="00B5119F">
                <w:rPr>
                  <w:rStyle w:val="Hyperlink"/>
                </w:rPr>
                <w:t>ping.yan@ercot.com</w:t>
              </w:r>
            </w:hyperlink>
            <w:r w:rsidR="009467F0">
              <w:t xml:space="preserve">; </w:t>
            </w:r>
            <w:hyperlink r:id="rId10" w:history="1">
              <w:r w:rsidR="007629D1" w:rsidRPr="00AD0534">
                <w:rPr>
                  <w:rStyle w:val="Hyperlink"/>
                </w:rPr>
                <w:t>matthew.arth@ercot.com</w:t>
              </w:r>
            </w:hyperlink>
            <w:r w:rsidR="007629D1">
              <w:t xml:space="preserve"> </w:t>
            </w:r>
          </w:p>
        </w:tc>
      </w:tr>
      <w:tr w:rsidR="00152993" w14:paraId="362E3D3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71DF8B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199D932" w14:textId="55C2AF93" w:rsidR="00152993" w:rsidRDefault="00837083">
            <w:pPr>
              <w:pStyle w:val="NormalArial"/>
            </w:pPr>
            <w:r>
              <w:t>Electric Reliability Council of Texas, Inc. (ERCOT)</w:t>
            </w:r>
          </w:p>
        </w:tc>
      </w:tr>
      <w:tr w:rsidR="00152993" w14:paraId="52B9FA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E352D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B7AD7EA" w14:textId="0A9E7516" w:rsidR="00152993" w:rsidRDefault="004E65BA">
            <w:pPr>
              <w:pStyle w:val="NormalArial"/>
            </w:pPr>
            <w:r>
              <w:t>512-</w:t>
            </w:r>
            <w:r w:rsidR="00837083">
              <w:t>248-4153</w:t>
            </w:r>
            <w:r w:rsidR="009467F0">
              <w:t xml:space="preserve"> (</w:t>
            </w:r>
            <w:r w:rsidR="00690C60">
              <w:t>Yan</w:t>
            </w:r>
            <w:r w:rsidR="009467F0">
              <w:t>); 512-275-7435 (</w:t>
            </w:r>
            <w:r w:rsidR="00690C60">
              <w:t>Arth</w:t>
            </w:r>
            <w:r w:rsidR="009467F0">
              <w:t>)</w:t>
            </w:r>
          </w:p>
        </w:tc>
      </w:tr>
      <w:tr w:rsidR="00152993" w14:paraId="4A53A1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C47B6C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63BFA617" w14:textId="191CC9AA" w:rsidR="00152993" w:rsidRDefault="00152993">
            <w:pPr>
              <w:pStyle w:val="NormalArial"/>
            </w:pPr>
          </w:p>
        </w:tc>
      </w:tr>
      <w:tr w:rsidR="00075A94" w14:paraId="4FFF52A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BD509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D87B4F" w14:textId="30A30454" w:rsidR="00075A94" w:rsidRDefault="00837083">
            <w:pPr>
              <w:pStyle w:val="NormalArial"/>
            </w:pPr>
            <w:r>
              <w:t>N</w:t>
            </w:r>
            <w:r w:rsidR="007629D1">
              <w:t>ot Applicable</w:t>
            </w:r>
          </w:p>
        </w:tc>
      </w:tr>
    </w:tbl>
    <w:p w14:paraId="11864D09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617120E5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6846066B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C07CBDB" w14:textId="77777777" w:rsidR="00152993" w:rsidRDefault="00152993">
      <w:pPr>
        <w:pStyle w:val="NormalArial"/>
      </w:pPr>
    </w:p>
    <w:p w14:paraId="39120A50" w14:textId="4C742B8A" w:rsidR="00FA629D" w:rsidRDefault="00FA629D" w:rsidP="00C6121C">
      <w:pPr>
        <w:pStyle w:val="NormalArial"/>
        <w:rPr>
          <w:rFonts w:cs="Arial"/>
          <w:color w:val="242424"/>
          <w:shd w:val="clear" w:color="auto" w:fill="FFFFFF"/>
        </w:rPr>
      </w:pPr>
      <w:r>
        <w:rPr>
          <w:rFonts w:cs="Arial"/>
          <w:color w:val="242424"/>
          <w:shd w:val="clear" w:color="auto" w:fill="FFFFFF"/>
        </w:rPr>
        <w:t>ERCOT</w:t>
      </w:r>
      <w:r w:rsidRPr="00F0095A">
        <w:rPr>
          <w:rFonts w:cs="Arial"/>
          <w:color w:val="242424"/>
          <w:shd w:val="clear" w:color="auto" w:fill="FFFFFF"/>
        </w:rPr>
        <w:t xml:space="preserve"> provide</w:t>
      </w:r>
      <w:r>
        <w:rPr>
          <w:rFonts w:cs="Arial"/>
          <w:color w:val="242424"/>
          <w:shd w:val="clear" w:color="auto" w:fill="FFFFFF"/>
        </w:rPr>
        <w:t>s th</w:t>
      </w:r>
      <w:r w:rsidR="00093736">
        <w:rPr>
          <w:rFonts w:cs="Arial"/>
          <w:color w:val="242424"/>
          <w:shd w:val="clear" w:color="auto" w:fill="FFFFFF"/>
        </w:rPr>
        <w:t>e following</w:t>
      </w:r>
      <w:r w:rsidRPr="00F0095A">
        <w:rPr>
          <w:rFonts w:cs="Arial"/>
          <w:color w:val="242424"/>
          <w:shd w:val="clear" w:color="auto" w:fill="FFFFFF"/>
        </w:rPr>
        <w:t xml:space="preserve"> comments </w:t>
      </w:r>
      <w:r>
        <w:rPr>
          <w:rFonts w:cs="Arial"/>
          <w:color w:val="242424"/>
          <w:shd w:val="clear" w:color="auto" w:fill="FFFFFF"/>
        </w:rPr>
        <w:t>to</w:t>
      </w:r>
      <w:r w:rsidRPr="00F0095A">
        <w:rPr>
          <w:rFonts w:cs="Arial"/>
          <w:color w:val="242424"/>
          <w:shd w:val="clear" w:color="auto" w:fill="FFFFFF"/>
        </w:rPr>
        <w:t xml:space="preserve"> </w:t>
      </w:r>
      <w:r>
        <w:rPr>
          <w:rFonts w:cs="Arial"/>
          <w:color w:val="242424"/>
          <w:shd w:val="clear" w:color="auto" w:fill="FFFFFF"/>
        </w:rPr>
        <w:t>Nodal Protocol Revision Request (</w:t>
      </w:r>
      <w:r w:rsidRPr="00F0095A">
        <w:rPr>
          <w:rFonts w:cs="Arial"/>
          <w:color w:val="242424"/>
          <w:shd w:val="clear" w:color="auto" w:fill="FFFFFF"/>
        </w:rPr>
        <w:t>NPRR</w:t>
      </w:r>
      <w:r>
        <w:rPr>
          <w:rFonts w:cs="Arial"/>
          <w:color w:val="242424"/>
          <w:shd w:val="clear" w:color="auto" w:fill="FFFFFF"/>
        </w:rPr>
        <w:t xml:space="preserve">) </w:t>
      </w:r>
      <w:r w:rsidRPr="00F0095A">
        <w:rPr>
          <w:rFonts w:cs="Arial"/>
          <w:color w:val="242424"/>
          <w:shd w:val="clear" w:color="auto" w:fill="FFFFFF"/>
        </w:rPr>
        <w:t>12</w:t>
      </w:r>
      <w:r w:rsidR="00C46E55">
        <w:rPr>
          <w:rFonts w:cs="Arial"/>
          <w:color w:val="242424"/>
          <w:shd w:val="clear" w:color="auto" w:fill="FFFFFF"/>
        </w:rPr>
        <w:t>95</w:t>
      </w:r>
      <w:r>
        <w:rPr>
          <w:rFonts w:cs="Arial"/>
          <w:color w:val="242424"/>
          <w:shd w:val="clear" w:color="auto" w:fill="FFFFFF"/>
        </w:rPr>
        <w:t xml:space="preserve">. </w:t>
      </w:r>
    </w:p>
    <w:p w14:paraId="76C5D528" w14:textId="77777777" w:rsidR="00EA1C26" w:rsidRDefault="00EA1C26" w:rsidP="00C6121C">
      <w:pPr>
        <w:pStyle w:val="NormalArial"/>
      </w:pPr>
    </w:p>
    <w:p w14:paraId="2F6FBF5F" w14:textId="7F7EBBAD" w:rsidR="00C67BEC" w:rsidRPr="00AE5E0E" w:rsidRDefault="00093736" w:rsidP="00C67BEC">
      <w:pPr>
        <w:pStyle w:val="NormalArial"/>
        <w:numPr>
          <w:ilvl w:val="0"/>
          <w:numId w:val="20"/>
        </w:numPr>
      </w:pPr>
      <w:r>
        <w:t>NPRR1295 require</w:t>
      </w:r>
      <w:r w:rsidR="003C5FC4">
        <w:t>s</w:t>
      </w:r>
      <w:r>
        <w:t xml:space="preserve"> ERCOT </w:t>
      </w:r>
      <w:r w:rsidRPr="00093736">
        <w:t>to endorse</w:t>
      </w:r>
      <w:r w:rsidR="000F207C">
        <w:t>,</w:t>
      </w:r>
      <w:r w:rsidRPr="00093736">
        <w:t xml:space="preserve"> “any GTC solution option that is within $20 million of meeting the cost-to-benefit criteria when there are more than five GTCs….”</w:t>
      </w:r>
      <w:r>
        <w:t xml:space="preserve"> </w:t>
      </w:r>
      <w:r w:rsidR="00E27441">
        <w:t xml:space="preserve"> This proposal is inconsistent with </w:t>
      </w:r>
      <w:r>
        <w:t>Public Utility Commission of Texas (</w:t>
      </w:r>
      <w:r w:rsidRPr="00457F19">
        <w:t>PUC</w:t>
      </w:r>
      <w:r>
        <w:t>T)</w:t>
      </w:r>
      <w:r w:rsidRPr="00457F19">
        <w:t xml:space="preserve"> </w:t>
      </w:r>
      <w:r>
        <w:t>R</w:t>
      </w:r>
      <w:r w:rsidRPr="00457F19">
        <w:t xml:space="preserve">ule 16 </w:t>
      </w:r>
      <w:r w:rsidR="00C67BEC" w:rsidRPr="00C67BEC">
        <w:t xml:space="preserve">Texas Administrative Code </w:t>
      </w:r>
      <w:r w:rsidR="00C67BEC">
        <w:t>(</w:t>
      </w:r>
      <w:r>
        <w:t>TAC</w:t>
      </w:r>
      <w:r w:rsidR="00C67BEC">
        <w:t>)</w:t>
      </w:r>
      <w:r w:rsidRPr="00457F19">
        <w:t xml:space="preserve"> § 25.101</w:t>
      </w:r>
      <w:r w:rsidR="0029532E">
        <w:t xml:space="preserve">, </w:t>
      </w:r>
      <w:r w:rsidR="0029532E" w:rsidRPr="0029532E">
        <w:t>Certification Criteria</w:t>
      </w:r>
      <w:r w:rsidR="00E27441">
        <w:t>, which</w:t>
      </w:r>
      <w:r w:rsidR="00A82EA1">
        <w:t xml:space="preserve"> </w:t>
      </w:r>
      <w:r w:rsidR="00E27441">
        <w:t>establishes that</w:t>
      </w:r>
      <w:r w:rsidR="00C67BEC" w:rsidRPr="00C67BEC">
        <w:t xml:space="preserve"> a transmission line </w:t>
      </w:r>
      <w:r w:rsidR="00E27441">
        <w:t xml:space="preserve">is needed </w:t>
      </w:r>
      <w:r w:rsidR="00872111">
        <w:t xml:space="preserve">only if it </w:t>
      </w:r>
      <w:r w:rsidR="00E27441">
        <w:t>meets the specified economic</w:t>
      </w:r>
      <w:r w:rsidR="00AF33FD">
        <w:t xml:space="preserve"> or</w:t>
      </w:r>
      <w:r w:rsidR="00E27441">
        <w:t xml:space="preserve"> reliability criteria described in the </w:t>
      </w:r>
      <w:r w:rsidR="0029532E">
        <w:t xml:space="preserve">Rule </w:t>
      </w:r>
      <w:r w:rsidR="00843BD2">
        <w:t>(unless it satisfies the resiliency “plus factor” criteria</w:t>
      </w:r>
      <w:r w:rsidR="00C17F45">
        <w:t>)</w:t>
      </w:r>
      <w:r w:rsidR="00C17F45">
        <w:t>;</w:t>
      </w:r>
      <w:r w:rsidR="00C17F45">
        <w:t xml:space="preserve"> </w:t>
      </w:r>
      <w:r w:rsidR="00E27441">
        <w:t xml:space="preserve">NPRR1295 </w:t>
      </w:r>
      <w:r w:rsidR="00C17F45">
        <w:t xml:space="preserve">also </w:t>
      </w:r>
      <w:r w:rsidR="00E27441">
        <w:t>allow</w:t>
      </w:r>
      <w:r w:rsidR="0029532E">
        <w:t>s</w:t>
      </w:r>
      <w:r w:rsidR="00E27441">
        <w:t xml:space="preserve"> an endorsement of need for projects that fall short of these criteria.  With respect to economic criteria, ERCOT may endorse a transmission line as needed only if that project </w:t>
      </w:r>
      <w:r w:rsidR="00C67BEC" w:rsidRPr="00C67BEC">
        <w:t xml:space="preserve">demonstrates </w:t>
      </w:r>
      <w:r w:rsidR="00AC46B5">
        <w:t>sufficient</w:t>
      </w:r>
      <w:r w:rsidR="00C67BEC" w:rsidRPr="00C67BEC">
        <w:t xml:space="preserve"> </w:t>
      </w:r>
      <w:r w:rsidR="000672FB">
        <w:t xml:space="preserve">economic </w:t>
      </w:r>
      <w:r w:rsidR="00C67BEC" w:rsidRPr="00C67BEC">
        <w:t xml:space="preserve">savings under either the congestion cost savings test or the production cost savings test, </w:t>
      </w:r>
      <w:r w:rsidR="00E27441">
        <w:t xml:space="preserve">as described in 16 TAC § 25.101(b)(3)(A)(i)(IV).  </w:t>
      </w:r>
      <w:r w:rsidR="00641CE9">
        <w:t>T</w:t>
      </w:r>
      <w:r w:rsidR="00C67BEC" w:rsidRPr="00C67BEC">
        <w:t xml:space="preserve">his </w:t>
      </w:r>
      <w:r w:rsidR="00E27441">
        <w:t>NPRR allow</w:t>
      </w:r>
      <w:r w:rsidR="003C5FC4">
        <w:t>s</w:t>
      </w:r>
      <w:r w:rsidR="00E27441">
        <w:t xml:space="preserve"> endorsement of projects that do </w:t>
      </w:r>
      <w:r w:rsidR="00C67BEC" w:rsidRPr="00C67BEC">
        <w:t xml:space="preserve">not demonstrate </w:t>
      </w:r>
      <w:r w:rsidR="00AC46B5">
        <w:t xml:space="preserve">sufficient </w:t>
      </w:r>
      <w:r w:rsidR="00C67BEC" w:rsidRPr="00C67BEC">
        <w:t>savings under either test.</w:t>
      </w:r>
    </w:p>
    <w:p w14:paraId="34B8AD8C" w14:textId="7F99EC2F" w:rsidR="00AE5E0E" w:rsidRPr="00C67BEC" w:rsidRDefault="00AE5E0E" w:rsidP="00C67BEC">
      <w:pPr>
        <w:pStyle w:val="NormalArial"/>
        <w:numPr>
          <w:ilvl w:val="0"/>
          <w:numId w:val="20"/>
        </w:numPr>
      </w:pPr>
      <w:r>
        <w:rPr>
          <w:iCs/>
        </w:rPr>
        <w:t xml:space="preserve">Aside from the economic and reliability criteria permitted for transmission project evaluation by 16 TAC </w:t>
      </w:r>
      <w:r>
        <w:rPr>
          <w:rFonts w:cs="Arial"/>
          <w:iCs/>
        </w:rPr>
        <w:t>§</w:t>
      </w:r>
      <w:r>
        <w:rPr>
          <w:iCs/>
        </w:rPr>
        <w:t xml:space="preserve"> 25.101, the PUCT’s </w:t>
      </w:r>
      <w:r w:rsidR="005F6A3A">
        <w:rPr>
          <w:iCs/>
        </w:rPr>
        <w:t>R</w:t>
      </w:r>
      <w:r>
        <w:rPr>
          <w:iCs/>
        </w:rPr>
        <w:t xml:space="preserve">ule also includes a resiliency “plus factor” concept </w:t>
      </w:r>
      <w:r w:rsidR="00C17F45">
        <w:rPr>
          <w:iCs/>
        </w:rPr>
        <w:t>that enables</w:t>
      </w:r>
      <w:r>
        <w:rPr>
          <w:iCs/>
        </w:rPr>
        <w:t xml:space="preserve"> a project that is submitted as</w:t>
      </w:r>
      <w:r w:rsidR="00C17F45">
        <w:rPr>
          <w:iCs/>
        </w:rPr>
        <w:t>,</w:t>
      </w:r>
      <w:r>
        <w:rPr>
          <w:iCs/>
        </w:rPr>
        <w:t xml:space="preserve"> either</w:t>
      </w:r>
      <w:r w:rsidR="00C17F45">
        <w:rPr>
          <w:iCs/>
        </w:rPr>
        <w:t>,</w:t>
      </w:r>
      <w:r>
        <w:rPr>
          <w:iCs/>
        </w:rPr>
        <w:t xml:space="preserve"> an economic or reliability project </w:t>
      </w:r>
      <w:r w:rsidR="00C17F45">
        <w:rPr>
          <w:iCs/>
        </w:rPr>
        <w:t>despite</w:t>
      </w:r>
      <w:r>
        <w:rPr>
          <w:iCs/>
        </w:rPr>
        <w:t xml:space="preserve"> not meet</w:t>
      </w:r>
      <w:r w:rsidR="00C17F45">
        <w:rPr>
          <w:iCs/>
        </w:rPr>
        <w:t>ing</w:t>
      </w:r>
      <w:r>
        <w:rPr>
          <w:iCs/>
        </w:rPr>
        <w:t xml:space="preserve"> those criteria to</w:t>
      </w:r>
      <w:r w:rsidR="00C17F45">
        <w:rPr>
          <w:iCs/>
        </w:rPr>
        <w:t>,</w:t>
      </w:r>
      <w:r>
        <w:rPr>
          <w:iCs/>
        </w:rPr>
        <w:t xml:space="preserve"> nevertheless</w:t>
      </w:r>
      <w:r w:rsidR="00C17F45">
        <w:rPr>
          <w:iCs/>
        </w:rPr>
        <w:t>,</w:t>
      </w:r>
      <w:r>
        <w:rPr>
          <w:iCs/>
        </w:rPr>
        <w:t xml:space="preserve"> be recommended for approval based on the project’s resiliency benefits. </w:t>
      </w:r>
      <w:r w:rsidR="003B276F">
        <w:rPr>
          <w:iCs/>
        </w:rPr>
        <w:t xml:space="preserve"> </w:t>
      </w:r>
      <w:r>
        <w:rPr>
          <w:iCs/>
        </w:rPr>
        <w:t xml:space="preserve">NPRR1295 appears to attempt to leverage the resiliency </w:t>
      </w:r>
      <w:r w:rsidR="00C17F45">
        <w:rPr>
          <w:iCs/>
        </w:rPr>
        <w:t>“</w:t>
      </w:r>
      <w:r>
        <w:rPr>
          <w:iCs/>
        </w:rPr>
        <w:t>plus factor</w:t>
      </w:r>
      <w:r w:rsidR="00C17F45">
        <w:rPr>
          <w:iCs/>
        </w:rPr>
        <w:t>”</w:t>
      </w:r>
      <w:r>
        <w:rPr>
          <w:iCs/>
        </w:rPr>
        <w:t xml:space="preserve"> by stating that ERCOT endorsement is merited</w:t>
      </w:r>
      <w:r w:rsidR="000F207C">
        <w:rPr>
          <w:iCs/>
        </w:rPr>
        <w:t>,</w:t>
      </w:r>
      <w:r>
        <w:rPr>
          <w:iCs/>
        </w:rPr>
        <w:t xml:space="preserve"> “to reflect the intangible resiliency value of reducing the number of </w:t>
      </w:r>
      <w:r w:rsidR="000F207C" w:rsidRPr="000F207C">
        <w:rPr>
          <w:iCs/>
        </w:rPr>
        <w:t>Generic Transmission Constraint</w:t>
      </w:r>
      <w:r w:rsidR="000F207C">
        <w:rPr>
          <w:iCs/>
        </w:rPr>
        <w:t>s</w:t>
      </w:r>
      <w:r w:rsidR="000F207C" w:rsidRPr="000F207C">
        <w:rPr>
          <w:iCs/>
        </w:rPr>
        <w:t xml:space="preserve"> </w:t>
      </w:r>
      <w:r w:rsidR="000F207C">
        <w:rPr>
          <w:iCs/>
        </w:rPr>
        <w:t>(</w:t>
      </w:r>
      <w:r>
        <w:rPr>
          <w:iCs/>
        </w:rPr>
        <w:t>GTCs</w:t>
      </w:r>
      <w:r w:rsidR="000F207C">
        <w:rPr>
          <w:iCs/>
        </w:rPr>
        <w:t>)</w:t>
      </w:r>
      <w:r>
        <w:rPr>
          <w:iCs/>
        </w:rPr>
        <w:t xml:space="preserve"> impacting system operations”</w:t>
      </w:r>
      <w:r w:rsidR="000F207C">
        <w:rPr>
          <w:iCs/>
        </w:rPr>
        <w:t>,</w:t>
      </w:r>
      <w:r>
        <w:rPr>
          <w:iCs/>
        </w:rPr>
        <w:t xml:space="preserve"> and stating that information available from</w:t>
      </w:r>
      <w:r w:rsidR="000F207C">
        <w:rPr>
          <w:iCs/>
        </w:rPr>
        <w:t>,</w:t>
      </w:r>
      <w:r>
        <w:rPr>
          <w:iCs/>
        </w:rPr>
        <w:t xml:space="preserve"> “resiliency studies….may be used to estimate the value of improved deliverability of </w:t>
      </w:r>
      <w:r>
        <w:rPr>
          <w:iCs/>
        </w:rPr>
        <w:lastRenderedPageBreak/>
        <w:t xml:space="preserve">generation due to relieving GTCs.”  </w:t>
      </w:r>
      <w:r w:rsidR="00C82DB4">
        <w:rPr>
          <w:iCs/>
        </w:rPr>
        <w:t xml:space="preserve">Section 25.101(b)(3)(A)(iii) states that ERCOT may recommend a project that is submitted as an economic or reliability project </w:t>
      </w:r>
      <w:r w:rsidR="00C17F45">
        <w:rPr>
          <w:iCs/>
        </w:rPr>
        <w:t>despite</w:t>
      </w:r>
      <w:r w:rsidR="00C82DB4">
        <w:rPr>
          <w:iCs/>
        </w:rPr>
        <w:t xml:space="preserve"> not meet</w:t>
      </w:r>
      <w:r w:rsidR="00C17F45">
        <w:rPr>
          <w:iCs/>
        </w:rPr>
        <w:t>ing</w:t>
      </w:r>
      <w:r w:rsidR="00C82DB4">
        <w:rPr>
          <w:iCs/>
        </w:rPr>
        <w:t xml:space="preserve"> those criteria</w:t>
      </w:r>
      <w:r w:rsidR="000F207C">
        <w:rPr>
          <w:iCs/>
        </w:rPr>
        <w:t>,</w:t>
      </w:r>
      <w:r w:rsidR="00C82DB4">
        <w:rPr>
          <w:iCs/>
        </w:rPr>
        <w:t xml:space="preserve"> “if ERCOT determines the line would address a resiliency issue identified in the grid reliability and resiliency assessment [(GRRA)] required by [16 TAC </w:t>
      </w:r>
      <w:r w:rsidR="00C82DB4">
        <w:rPr>
          <w:rFonts w:cs="Arial"/>
          <w:iCs/>
        </w:rPr>
        <w:t>§</w:t>
      </w:r>
      <w:r w:rsidR="00D1482E">
        <w:rPr>
          <w:iCs/>
        </w:rPr>
        <w:t> </w:t>
      </w:r>
      <w:r w:rsidR="00C82DB4">
        <w:rPr>
          <w:iCs/>
        </w:rPr>
        <w:t xml:space="preserve">25.101(b)(3)(E)].”  Accordingly, the resiliency </w:t>
      </w:r>
      <w:r w:rsidR="00C17F45">
        <w:rPr>
          <w:iCs/>
        </w:rPr>
        <w:t>“</w:t>
      </w:r>
      <w:r w:rsidR="00C82DB4">
        <w:rPr>
          <w:iCs/>
        </w:rPr>
        <w:t>plus factor</w:t>
      </w:r>
      <w:r w:rsidR="00C17F45">
        <w:rPr>
          <w:iCs/>
        </w:rPr>
        <w:t>”</w:t>
      </w:r>
      <w:r w:rsidR="00C82DB4">
        <w:rPr>
          <w:iCs/>
        </w:rPr>
        <w:t xml:space="preserve"> may only be used</w:t>
      </w:r>
      <w:r w:rsidR="009831E6">
        <w:rPr>
          <w:iCs/>
        </w:rPr>
        <w:t xml:space="preserve"> for transmission project endorsement</w:t>
      </w:r>
      <w:r w:rsidR="00C82DB4">
        <w:rPr>
          <w:iCs/>
        </w:rPr>
        <w:t xml:space="preserve"> if the project addresses a resiliency issue identified in the GRRA.  The GRRA assesses the ERCOT System’s reliability and resiliency in extreme weather scenarios; the GRRA posted in December 2024 assesses an extreme winter weather scenario and a </w:t>
      </w:r>
      <w:r w:rsidR="009831E6">
        <w:rPr>
          <w:iCs/>
        </w:rPr>
        <w:t xml:space="preserve">summer </w:t>
      </w:r>
      <w:r w:rsidR="00C82DB4">
        <w:rPr>
          <w:iCs/>
        </w:rPr>
        <w:t>hurricane scenario.</w:t>
      </w:r>
      <w:r w:rsidR="0081429A">
        <w:rPr>
          <w:rStyle w:val="FootnoteReference"/>
          <w:iCs/>
        </w:rPr>
        <w:footnoteReference w:id="1"/>
      </w:r>
      <w:r w:rsidR="009831E6">
        <w:rPr>
          <w:iCs/>
        </w:rPr>
        <w:t xml:space="preserve">  GTCs are instituted to manage </w:t>
      </w:r>
      <w:r w:rsidR="002F0841" w:rsidRPr="002F0841">
        <w:rPr>
          <w:iCs/>
        </w:rPr>
        <w:t>stability and other non-thermal reliability limits</w:t>
      </w:r>
      <w:r w:rsidR="00C17F45">
        <w:rPr>
          <w:iCs/>
        </w:rPr>
        <w:t>;</w:t>
      </w:r>
      <w:r w:rsidR="002F0841">
        <w:rPr>
          <w:iCs/>
        </w:rPr>
        <w:t xml:space="preserve"> </w:t>
      </w:r>
      <w:r w:rsidR="009831E6">
        <w:rPr>
          <w:iCs/>
        </w:rPr>
        <w:t xml:space="preserve">a transmission project that reduces </w:t>
      </w:r>
      <w:r w:rsidR="00E45115">
        <w:rPr>
          <w:iCs/>
        </w:rPr>
        <w:t xml:space="preserve">Generic Transmission Limits (GTLs) </w:t>
      </w:r>
      <w:r w:rsidR="009831E6">
        <w:rPr>
          <w:iCs/>
        </w:rPr>
        <w:t xml:space="preserve">or eliminates GTCs would </w:t>
      </w:r>
      <w:r w:rsidR="00D1482E">
        <w:rPr>
          <w:iCs/>
        </w:rPr>
        <w:t>not necessarily</w:t>
      </w:r>
      <w:r w:rsidR="009831E6">
        <w:rPr>
          <w:iCs/>
        </w:rPr>
        <w:t xml:space="preserve"> mitigate resiliency issues related to extreme weather scenarios assessed in the GRRA.</w:t>
      </w:r>
    </w:p>
    <w:p w14:paraId="1380D53D" w14:textId="058D2F3F" w:rsidR="00BC02D1" w:rsidRDefault="00C67BEC" w:rsidP="00093736">
      <w:pPr>
        <w:pStyle w:val="NormalArial"/>
        <w:numPr>
          <w:ilvl w:val="0"/>
          <w:numId w:val="20"/>
        </w:numPr>
      </w:pPr>
      <w:r>
        <w:t xml:space="preserve">NPRR1295 also </w:t>
      </w:r>
      <w:r w:rsidR="00AC46B5">
        <w:t>allow</w:t>
      </w:r>
      <w:r w:rsidR="00A8038F">
        <w:t>s</w:t>
      </w:r>
      <w:r>
        <w:t xml:space="preserve"> individual stakeholder(s) to pay part of the capital cost of a transmission project </w:t>
      </w:r>
      <w:r w:rsidR="00AC46B5">
        <w:t>if there is still a shortfall in benefit after lowering the bar by $20 million and require</w:t>
      </w:r>
      <w:r w:rsidR="00C17F45">
        <w:t>s</w:t>
      </w:r>
      <w:r w:rsidR="00AC46B5">
        <w:t xml:space="preserve"> ERCOT to endorse </w:t>
      </w:r>
      <w:r w:rsidR="001316DC">
        <w:t>such</w:t>
      </w:r>
      <w:r w:rsidR="00AC46B5">
        <w:t xml:space="preserve"> project. </w:t>
      </w:r>
      <w:r w:rsidR="00A8038F">
        <w:t xml:space="preserve"> </w:t>
      </w:r>
      <w:r w:rsidR="00131BCF">
        <w:t xml:space="preserve">Section 3.11.4.11, </w:t>
      </w:r>
      <w:r w:rsidR="00131BCF" w:rsidRPr="00E14DBD">
        <w:t>Customer or Resource Entity Funded Transmission Projects</w:t>
      </w:r>
      <w:r w:rsidR="00131BCF">
        <w:t xml:space="preserve">, </w:t>
      </w:r>
      <w:r w:rsidR="006E198A">
        <w:t xml:space="preserve">describes the process to evaluate transmission projects fully funded by </w:t>
      </w:r>
      <w:r w:rsidR="00652F16">
        <w:t xml:space="preserve">a </w:t>
      </w:r>
      <w:r w:rsidR="000F207C">
        <w:t>Customer</w:t>
      </w:r>
      <w:r w:rsidR="006E198A">
        <w:t xml:space="preserve"> or Resource Entity. </w:t>
      </w:r>
      <w:r w:rsidR="00A8038F">
        <w:t xml:space="preserve"> </w:t>
      </w:r>
      <w:r w:rsidR="00843BD2">
        <w:t xml:space="preserve">That </w:t>
      </w:r>
      <w:r w:rsidR="00652F16">
        <w:t>process</w:t>
      </w:r>
      <w:r w:rsidR="006E198A">
        <w:t xml:space="preserve"> </w:t>
      </w:r>
      <w:r w:rsidR="00131BCF">
        <w:t xml:space="preserve">does not </w:t>
      </w:r>
      <w:r w:rsidR="00843BD2">
        <w:t xml:space="preserve">contemplate </w:t>
      </w:r>
      <w:r w:rsidR="00843BD2" w:rsidRPr="00843BD2">
        <w:rPr>
          <w:i/>
          <w:iCs/>
        </w:rPr>
        <w:t xml:space="preserve">partial </w:t>
      </w:r>
      <w:r w:rsidR="00843BD2">
        <w:t xml:space="preserve">funding of a transmission project by a </w:t>
      </w:r>
      <w:r w:rsidR="000F207C">
        <w:t xml:space="preserve">Customer </w:t>
      </w:r>
      <w:r w:rsidR="00843BD2">
        <w:t xml:space="preserve">or Resource Entity, nor does it </w:t>
      </w:r>
      <w:r w:rsidR="00652F16">
        <w:t>include</w:t>
      </w:r>
      <w:r w:rsidR="00131BCF">
        <w:t xml:space="preserve"> ERCOT endorse</w:t>
      </w:r>
      <w:r w:rsidR="00652F16">
        <w:t>ment of</w:t>
      </w:r>
      <w:r w:rsidR="00131BCF">
        <w:t xml:space="preserve"> </w:t>
      </w:r>
      <w:r w:rsidR="000F207C">
        <w:t>Customer</w:t>
      </w:r>
      <w:r w:rsidR="00843BD2">
        <w:t>-</w:t>
      </w:r>
      <w:r w:rsidR="00131BCF">
        <w:t xml:space="preserve"> or Resource Entity</w:t>
      </w:r>
      <w:r w:rsidR="00652F16">
        <w:t>-</w:t>
      </w:r>
      <w:r w:rsidR="00131BCF">
        <w:t>funded transmission projects.</w:t>
      </w:r>
    </w:p>
    <w:p w14:paraId="0085BB19" w14:textId="04DA02E9" w:rsidR="00E327C9" w:rsidRDefault="006E198A" w:rsidP="00093736">
      <w:pPr>
        <w:pStyle w:val="NormalArial"/>
        <w:numPr>
          <w:ilvl w:val="0"/>
          <w:numId w:val="20"/>
        </w:numPr>
      </w:pPr>
      <w:r>
        <w:t xml:space="preserve">NPRR1295 </w:t>
      </w:r>
      <w:r w:rsidR="002C1964">
        <w:t xml:space="preserve">also </w:t>
      </w:r>
      <w:r>
        <w:t>require</w:t>
      </w:r>
      <w:r w:rsidR="003C5FC4">
        <w:t>s</w:t>
      </w:r>
      <w:r>
        <w:t xml:space="preserve"> ERCOT </w:t>
      </w:r>
      <w:r w:rsidR="002C1964">
        <w:t xml:space="preserve">to </w:t>
      </w:r>
      <w:r>
        <w:t xml:space="preserve">evaluate </w:t>
      </w:r>
      <w:r w:rsidR="002C1964">
        <w:t xml:space="preserve">each </w:t>
      </w:r>
      <w:r w:rsidR="00652F16">
        <w:t xml:space="preserve">project’s </w:t>
      </w:r>
      <w:r>
        <w:t>impact on near</w:t>
      </w:r>
      <w:r w:rsidR="001316DC">
        <w:t>b</w:t>
      </w:r>
      <w:r>
        <w:t>y</w:t>
      </w:r>
      <w:r w:rsidR="001316DC">
        <w:t xml:space="preserve"> </w:t>
      </w:r>
      <w:r>
        <w:t>GTCs, which is</w:t>
      </w:r>
      <w:r w:rsidR="00C17F45">
        <w:t xml:space="preserve"> both</w:t>
      </w:r>
      <w:r>
        <w:t xml:space="preserve"> impractical </w:t>
      </w:r>
      <w:r w:rsidR="00C17F45">
        <w:t>and</w:t>
      </w:r>
      <w:r>
        <w:t xml:space="preserve"> unnecessary. </w:t>
      </w:r>
      <w:r w:rsidR="003C5FC4">
        <w:t xml:space="preserve"> </w:t>
      </w:r>
      <w:r w:rsidR="00D97C1D">
        <w:t xml:space="preserve">The majority of GTCs are driven by stability issues, and </w:t>
      </w:r>
      <w:r w:rsidR="002C1964">
        <w:t xml:space="preserve">ERCOT’s </w:t>
      </w:r>
      <w:r w:rsidR="00D97C1D">
        <w:t xml:space="preserve">dynamic analysis typically takes significant time to complete. </w:t>
      </w:r>
      <w:r w:rsidR="003C5FC4">
        <w:t xml:space="preserve"> </w:t>
      </w:r>
      <w:r w:rsidR="00D97C1D">
        <w:t xml:space="preserve">Based on past experiences, most of the transmission projects may not have material impacts on the nearby GTCs. </w:t>
      </w:r>
    </w:p>
    <w:p w14:paraId="0B0B4BA7" w14:textId="77777777" w:rsidR="00033F24" w:rsidRDefault="00033F24" w:rsidP="00BC02D1">
      <w:pPr>
        <w:pStyle w:val="NormalArial"/>
      </w:pPr>
    </w:p>
    <w:p w14:paraId="4C342312" w14:textId="37332D95" w:rsidR="009F5A2D" w:rsidRDefault="009F5A2D" w:rsidP="00641135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2773996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DABC6" w14:textId="77777777" w:rsidR="009F5A2D" w:rsidRDefault="009F5A2D" w:rsidP="00275BE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8CFFEE6" w14:textId="77777777" w:rsidR="009F5A2D" w:rsidRDefault="009F5A2D" w:rsidP="009F5A2D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0938BCA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27D2A" w14:textId="77777777" w:rsidR="009F5A2D" w:rsidRDefault="009F5A2D" w:rsidP="00275BE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2DF69812" w14:textId="16EE300F" w:rsidR="00256245" w:rsidRPr="002E6A90" w:rsidRDefault="00C46E55" w:rsidP="00C46E55">
      <w:pPr>
        <w:pStyle w:val="NormalArial"/>
        <w:spacing w:before="120" w:after="120"/>
      </w:pPr>
      <w:bookmarkStart w:id="0" w:name="_Hlk205980229"/>
      <w:r>
        <w:t>None</w:t>
      </w:r>
      <w:bookmarkEnd w:id="0"/>
    </w:p>
    <w:sectPr w:rsidR="00256245" w:rsidRPr="002E6A90" w:rsidSect="0074209E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2DB" w14:textId="77777777" w:rsidR="00D200AE" w:rsidRDefault="00D200AE">
      <w:r>
        <w:separator/>
      </w:r>
    </w:p>
  </w:endnote>
  <w:endnote w:type="continuationSeparator" w:id="0">
    <w:p w14:paraId="3E339C7D" w14:textId="77777777" w:rsidR="00D200AE" w:rsidRDefault="00D2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0CB" w14:textId="23B16610" w:rsidR="00EE6681" w:rsidRDefault="0048425F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</w:t>
    </w:r>
    <w:r w:rsidR="00C46E55">
      <w:rPr>
        <w:rFonts w:ascii="Arial" w:hAnsi="Arial"/>
        <w:sz w:val="18"/>
      </w:rPr>
      <w:t>95</w:t>
    </w:r>
    <w:r>
      <w:rPr>
        <w:rFonts w:ascii="Arial" w:hAnsi="Arial"/>
        <w:sz w:val="18"/>
      </w:rPr>
      <w:t>NPRR-</w:t>
    </w:r>
    <w:r w:rsidR="00473FD2">
      <w:rPr>
        <w:rFonts w:ascii="Arial" w:hAnsi="Arial"/>
        <w:sz w:val="18"/>
      </w:rPr>
      <w:t>04</w:t>
    </w:r>
    <w:r w:rsidR="00690C60">
      <w:rPr>
        <w:rFonts w:ascii="Arial" w:hAnsi="Arial"/>
        <w:sz w:val="18"/>
      </w:rPr>
      <w:t xml:space="preserve"> </w:t>
    </w:r>
    <w:r w:rsidR="004E24F9">
      <w:rPr>
        <w:rFonts w:ascii="Arial" w:hAnsi="Arial"/>
        <w:sz w:val="18"/>
      </w:rPr>
      <w:t>ERCOT</w:t>
    </w:r>
    <w:r>
      <w:rPr>
        <w:rFonts w:ascii="Arial" w:hAnsi="Arial"/>
        <w:sz w:val="18"/>
      </w:rPr>
      <w:t xml:space="preserve"> Comments</w:t>
    </w:r>
    <w:r w:rsidR="00A361D2">
      <w:rPr>
        <w:rFonts w:ascii="Arial" w:hAnsi="Arial"/>
        <w:sz w:val="18"/>
      </w:rPr>
      <w:t xml:space="preserve"> </w:t>
    </w:r>
    <w:r w:rsidR="00690C60">
      <w:rPr>
        <w:rFonts w:ascii="Arial" w:hAnsi="Arial"/>
        <w:sz w:val="18"/>
      </w:rPr>
      <w:t>09</w:t>
    </w:r>
    <w:r w:rsidR="00473FD2">
      <w:rPr>
        <w:rFonts w:ascii="Arial" w:hAnsi="Arial"/>
        <w:sz w:val="18"/>
      </w:rPr>
      <w:t>24</w:t>
    </w:r>
    <w:r w:rsidR="00690C60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AC7A3C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1D3" w14:textId="77777777" w:rsidR="00D200AE" w:rsidRDefault="00D200AE">
      <w:r>
        <w:separator/>
      </w:r>
    </w:p>
  </w:footnote>
  <w:footnote w:type="continuationSeparator" w:id="0">
    <w:p w14:paraId="71604423" w14:textId="77777777" w:rsidR="00D200AE" w:rsidRDefault="00D200AE">
      <w:r>
        <w:continuationSeparator/>
      </w:r>
    </w:p>
  </w:footnote>
  <w:footnote w:id="1">
    <w:p w14:paraId="5D5590A1" w14:textId="570DF819" w:rsidR="0081429A" w:rsidRDefault="0081429A" w:rsidP="0081429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The 2024 GRRA is available under Key Documents on the Planning page of the ERCOT website at: </w:t>
      </w:r>
      <w:r w:rsidRPr="0081429A">
        <w:t>https://www.ercot.com/gridinfo/planning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62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C516C6D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DF7671"/>
    <w:multiLevelType w:val="hybridMultilevel"/>
    <w:tmpl w:val="D1B8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014"/>
    <w:multiLevelType w:val="hybridMultilevel"/>
    <w:tmpl w:val="49B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C76"/>
    <w:multiLevelType w:val="hybridMultilevel"/>
    <w:tmpl w:val="B476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48CB"/>
    <w:multiLevelType w:val="hybridMultilevel"/>
    <w:tmpl w:val="B5C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5E"/>
    <w:multiLevelType w:val="hybridMultilevel"/>
    <w:tmpl w:val="F402B7E0"/>
    <w:lvl w:ilvl="0" w:tplc="A06009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1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12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6A0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A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A05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67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3A0593"/>
    <w:multiLevelType w:val="hybridMultilevel"/>
    <w:tmpl w:val="21507208"/>
    <w:lvl w:ilvl="0" w:tplc="303A7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E2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F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8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AD4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0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C7165D"/>
    <w:multiLevelType w:val="hybridMultilevel"/>
    <w:tmpl w:val="A4F82EB0"/>
    <w:lvl w:ilvl="0" w:tplc="9B361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7481E"/>
    <w:multiLevelType w:val="hybridMultilevel"/>
    <w:tmpl w:val="B9FA45E0"/>
    <w:lvl w:ilvl="0" w:tplc="00BC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9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1F33A8"/>
    <w:multiLevelType w:val="hybridMultilevel"/>
    <w:tmpl w:val="099AC43C"/>
    <w:lvl w:ilvl="0" w:tplc="A3A22C3C">
      <w:start w:val="1"/>
      <w:numFmt w:val="decimal"/>
      <w:lvlText w:val="%1)"/>
      <w:lvlJc w:val="left"/>
      <w:pPr>
        <w:ind w:left="1020" w:hanging="360"/>
      </w:pPr>
    </w:lvl>
    <w:lvl w:ilvl="1" w:tplc="78888A08">
      <w:start w:val="1"/>
      <w:numFmt w:val="decimal"/>
      <w:lvlText w:val="%2)"/>
      <w:lvlJc w:val="left"/>
      <w:pPr>
        <w:ind w:left="1020" w:hanging="360"/>
      </w:pPr>
    </w:lvl>
    <w:lvl w:ilvl="2" w:tplc="C46293A2">
      <w:start w:val="1"/>
      <w:numFmt w:val="decimal"/>
      <w:lvlText w:val="%3)"/>
      <w:lvlJc w:val="left"/>
      <w:pPr>
        <w:ind w:left="1020" w:hanging="360"/>
      </w:pPr>
    </w:lvl>
    <w:lvl w:ilvl="3" w:tplc="169CE0AA">
      <w:start w:val="1"/>
      <w:numFmt w:val="decimal"/>
      <w:lvlText w:val="%4)"/>
      <w:lvlJc w:val="left"/>
      <w:pPr>
        <w:ind w:left="1020" w:hanging="360"/>
      </w:pPr>
    </w:lvl>
    <w:lvl w:ilvl="4" w:tplc="9A18121C">
      <w:start w:val="1"/>
      <w:numFmt w:val="decimal"/>
      <w:lvlText w:val="%5)"/>
      <w:lvlJc w:val="left"/>
      <w:pPr>
        <w:ind w:left="1020" w:hanging="360"/>
      </w:pPr>
    </w:lvl>
    <w:lvl w:ilvl="5" w:tplc="40C88ACC">
      <w:start w:val="1"/>
      <w:numFmt w:val="decimal"/>
      <w:lvlText w:val="%6)"/>
      <w:lvlJc w:val="left"/>
      <w:pPr>
        <w:ind w:left="1020" w:hanging="360"/>
      </w:pPr>
    </w:lvl>
    <w:lvl w:ilvl="6" w:tplc="16B8DB3A">
      <w:start w:val="1"/>
      <w:numFmt w:val="decimal"/>
      <w:lvlText w:val="%7)"/>
      <w:lvlJc w:val="left"/>
      <w:pPr>
        <w:ind w:left="1020" w:hanging="360"/>
      </w:pPr>
    </w:lvl>
    <w:lvl w:ilvl="7" w:tplc="C5AA985E">
      <w:start w:val="1"/>
      <w:numFmt w:val="decimal"/>
      <w:lvlText w:val="%8)"/>
      <w:lvlJc w:val="left"/>
      <w:pPr>
        <w:ind w:left="1020" w:hanging="360"/>
      </w:pPr>
    </w:lvl>
    <w:lvl w:ilvl="8" w:tplc="E57C4CD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D2E472D"/>
    <w:multiLevelType w:val="hybridMultilevel"/>
    <w:tmpl w:val="3356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7BF2"/>
    <w:multiLevelType w:val="hybridMultilevel"/>
    <w:tmpl w:val="5028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7A0"/>
    <w:multiLevelType w:val="hybridMultilevel"/>
    <w:tmpl w:val="4F90C060"/>
    <w:lvl w:ilvl="0" w:tplc="D8CA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B37AE"/>
    <w:multiLevelType w:val="hybridMultilevel"/>
    <w:tmpl w:val="5E3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26FD"/>
    <w:multiLevelType w:val="hybridMultilevel"/>
    <w:tmpl w:val="DE3C41CA"/>
    <w:lvl w:ilvl="0" w:tplc="3934F688">
      <w:start w:val="1"/>
      <w:numFmt w:val="decimal"/>
      <w:lvlText w:val="%1)"/>
      <w:lvlJc w:val="left"/>
      <w:pPr>
        <w:ind w:left="1020" w:hanging="360"/>
      </w:pPr>
    </w:lvl>
    <w:lvl w:ilvl="1" w:tplc="642C72B8">
      <w:start w:val="1"/>
      <w:numFmt w:val="decimal"/>
      <w:lvlText w:val="%2)"/>
      <w:lvlJc w:val="left"/>
      <w:pPr>
        <w:ind w:left="1020" w:hanging="360"/>
      </w:pPr>
    </w:lvl>
    <w:lvl w:ilvl="2" w:tplc="5F1ACE40">
      <w:start w:val="1"/>
      <w:numFmt w:val="decimal"/>
      <w:lvlText w:val="%3)"/>
      <w:lvlJc w:val="left"/>
      <w:pPr>
        <w:ind w:left="1020" w:hanging="360"/>
      </w:pPr>
    </w:lvl>
    <w:lvl w:ilvl="3" w:tplc="E3BAD868">
      <w:start w:val="1"/>
      <w:numFmt w:val="decimal"/>
      <w:lvlText w:val="%4)"/>
      <w:lvlJc w:val="left"/>
      <w:pPr>
        <w:ind w:left="1020" w:hanging="360"/>
      </w:pPr>
    </w:lvl>
    <w:lvl w:ilvl="4" w:tplc="96F01A3A">
      <w:start w:val="1"/>
      <w:numFmt w:val="decimal"/>
      <w:lvlText w:val="%5)"/>
      <w:lvlJc w:val="left"/>
      <w:pPr>
        <w:ind w:left="1020" w:hanging="360"/>
      </w:pPr>
    </w:lvl>
    <w:lvl w:ilvl="5" w:tplc="AA96CAA6">
      <w:start w:val="1"/>
      <w:numFmt w:val="decimal"/>
      <w:lvlText w:val="%6)"/>
      <w:lvlJc w:val="left"/>
      <w:pPr>
        <w:ind w:left="1020" w:hanging="360"/>
      </w:pPr>
    </w:lvl>
    <w:lvl w:ilvl="6" w:tplc="D160DF96">
      <w:start w:val="1"/>
      <w:numFmt w:val="decimal"/>
      <w:lvlText w:val="%7)"/>
      <w:lvlJc w:val="left"/>
      <w:pPr>
        <w:ind w:left="1020" w:hanging="360"/>
      </w:pPr>
    </w:lvl>
    <w:lvl w:ilvl="7" w:tplc="408C861C">
      <w:start w:val="1"/>
      <w:numFmt w:val="decimal"/>
      <w:lvlText w:val="%8)"/>
      <w:lvlJc w:val="left"/>
      <w:pPr>
        <w:ind w:left="1020" w:hanging="360"/>
      </w:pPr>
    </w:lvl>
    <w:lvl w:ilvl="8" w:tplc="7E3C20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63D0169"/>
    <w:multiLevelType w:val="hybridMultilevel"/>
    <w:tmpl w:val="4578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F75"/>
    <w:multiLevelType w:val="hybridMultilevel"/>
    <w:tmpl w:val="ABC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4ED7"/>
    <w:multiLevelType w:val="hybridMultilevel"/>
    <w:tmpl w:val="DE76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AF10C2"/>
    <w:multiLevelType w:val="hybridMultilevel"/>
    <w:tmpl w:val="1D92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8920">
    <w:abstractNumId w:val="0"/>
  </w:num>
  <w:num w:numId="2" w16cid:durableId="890963466">
    <w:abstractNumId w:val="18"/>
  </w:num>
  <w:num w:numId="3" w16cid:durableId="1134641666">
    <w:abstractNumId w:val="2"/>
  </w:num>
  <w:num w:numId="4" w16cid:durableId="753816909">
    <w:abstractNumId w:val="13"/>
  </w:num>
  <w:num w:numId="5" w16cid:durableId="850146399">
    <w:abstractNumId w:val="4"/>
  </w:num>
  <w:num w:numId="6" w16cid:durableId="1232080451">
    <w:abstractNumId w:val="7"/>
  </w:num>
  <w:num w:numId="7" w16cid:durableId="1396852475">
    <w:abstractNumId w:val="3"/>
  </w:num>
  <w:num w:numId="8" w16cid:durableId="750809805">
    <w:abstractNumId w:val="5"/>
  </w:num>
  <w:num w:numId="9" w16cid:durableId="556014973">
    <w:abstractNumId w:val="12"/>
  </w:num>
  <w:num w:numId="10" w16cid:durableId="2078628535">
    <w:abstractNumId w:val="1"/>
  </w:num>
  <w:num w:numId="11" w16cid:durableId="649477257">
    <w:abstractNumId w:val="10"/>
  </w:num>
  <w:num w:numId="12" w16cid:durableId="1938905074">
    <w:abstractNumId w:val="8"/>
  </w:num>
  <w:num w:numId="13" w16cid:durableId="160315957">
    <w:abstractNumId w:val="6"/>
  </w:num>
  <w:num w:numId="14" w16cid:durableId="186259770">
    <w:abstractNumId w:val="17"/>
  </w:num>
  <w:num w:numId="15" w16cid:durableId="1454790892">
    <w:abstractNumId w:val="11"/>
  </w:num>
  <w:num w:numId="16" w16cid:durableId="1690370411">
    <w:abstractNumId w:val="15"/>
  </w:num>
  <w:num w:numId="17" w16cid:durableId="886988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05877">
    <w:abstractNumId w:val="9"/>
  </w:num>
  <w:num w:numId="19" w16cid:durableId="273052641">
    <w:abstractNumId w:val="14"/>
  </w:num>
  <w:num w:numId="20" w16cid:durableId="312954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498"/>
    <w:rsid w:val="000224A9"/>
    <w:rsid w:val="000243E4"/>
    <w:rsid w:val="00033F24"/>
    <w:rsid w:val="00037668"/>
    <w:rsid w:val="00041F60"/>
    <w:rsid w:val="000421D7"/>
    <w:rsid w:val="000464B0"/>
    <w:rsid w:val="00052F7C"/>
    <w:rsid w:val="000672FB"/>
    <w:rsid w:val="000757AC"/>
    <w:rsid w:val="00075A94"/>
    <w:rsid w:val="00076BAF"/>
    <w:rsid w:val="00085033"/>
    <w:rsid w:val="00085712"/>
    <w:rsid w:val="00090534"/>
    <w:rsid w:val="00093736"/>
    <w:rsid w:val="0009502D"/>
    <w:rsid w:val="00097DD6"/>
    <w:rsid w:val="000A7825"/>
    <w:rsid w:val="000E2CBD"/>
    <w:rsid w:val="000F207C"/>
    <w:rsid w:val="000F2C6D"/>
    <w:rsid w:val="00100478"/>
    <w:rsid w:val="00105EE4"/>
    <w:rsid w:val="001123DE"/>
    <w:rsid w:val="001316DC"/>
    <w:rsid w:val="00131BCF"/>
    <w:rsid w:val="00132855"/>
    <w:rsid w:val="001417A0"/>
    <w:rsid w:val="00147184"/>
    <w:rsid w:val="00152993"/>
    <w:rsid w:val="00156E89"/>
    <w:rsid w:val="00164921"/>
    <w:rsid w:val="00170297"/>
    <w:rsid w:val="00177EBF"/>
    <w:rsid w:val="0018090C"/>
    <w:rsid w:val="00197FC8"/>
    <w:rsid w:val="001A227D"/>
    <w:rsid w:val="001A2E8F"/>
    <w:rsid w:val="001C5AAA"/>
    <w:rsid w:val="001E2032"/>
    <w:rsid w:val="001F12A2"/>
    <w:rsid w:val="001F2ACB"/>
    <w:rsid w:val="00201EE3"/>
    <w:rsid w:val="002162B7"/>
    <w:rsid w:val="0022600A"/>
    <w:rsid w:val="00232277"/>
    <w:rsid w:val="00236E5C"/>
    <w:rsid w:val="00240BF9"/>
    <w:rsid w:val="00242988"/>
    <w:rsid w:val="0024335E"/>
    <w:rsid w:val="00247330"/>
    <w:rsid w:val="00256245"/>
    <w:rsid w:val="0026156B"/>
    <w:rsid w:val="0027593D"/>
    <w:rsid w:val="002807C4"/>
    <w:rsid w:val="00281F56"/>
    <w:rsid w:val="00283F7A"/>
    <w:rsid w:val="00290218"/>
    <w:rsid w:val="002926D5"/>
    <w:rsid w:val="0029532E"/>
    <w:rsid w:val="002962B8"/>
    <w:rsid w:val="002A32C4"/>
    <w:rsid w:val="002A5493"/>
    <w:rsid w:val="002B199E"/>
    <w:rsid w:val="002C1964"/>
    <w:rsid w:val="002C726E"/>
    <w:rsid w:val="002E0156"/>
    <w:rsid w:val="002E27C4"/>
    <w:rsid w:val="002E6A90"/>
    <w:rsid w:val="002F0841"/>
    <w:rsid w:val="003010C0"/>
    <w:rsid w:val="003032AC"/>
    <w:rsid w:val="00307F5D"/>
    <w:rsid w:val="00332A97"/>
    <w:rsid w:val="00334258"/>
    <w:rsid w:val="00337949"/>
    <w:rsid w:val="00350C00"/>
    <w:rsid w:val="003553D4"/>
    <w:rsid w:val="00356A2B"/>
    <w:rsid w:val="003573DE"/>
    <w:rsid w:val="00366113"/>
    <w:rsid w:val="003678A9"/>
    <w:rsid w:val="00384C7E"/>
    <w:rsid w:val="00385BD8"/>
    <w:rsid w:val="00386DAC"/>
    <w:rsid w:val="00394C7C"/>
    <w:rsid w:val="003A0668"/>
    <w:rsid w:val="003A1B30"/>
    <w:rsid w:val="003A4217"/>
    <w:rsid w:val="003A551C"/>
    <w:rsid w:val="003A736B"/>
    <w:rsid w:val="003B276F"/>
    <w:rsid w:val="003C270C"/>
    <w:rsid w:val="003C5FC4"/>
    <w:rsid w:val="003C668F"/>
    <w:rsid w:val="003D0994"/>
    <w:rsid w:val="003D45AF"/>
    <w:rsid w:val="00413605"/>
    <w:rsid w:val="00421BDD"/>
    <w:rsid w:val="00422987"/>
    <w:rsid w:val="00423824"/>
    <w:rsid w:val="0043015F"/>
    <w:rsid w:val="0043567D"/>
    <w:rsid w:val="00441667"/>
    <w:rsid w:val="004477D6"/>
    <w:rsid w:val="0045296E"/>
    <w:rsid w:val="004535D9"/>
    <w:rsid w:val="00454FCF"/>
    <w:rsid w:val="00457C7D"/>
    <w:rsid w:val="00457F19"/>
    <w:rsid w:val="00473FD2"/>
    <w:rsid w:val="0048425F"/>
    <w:rsid w:val="00484486"/>
    <w:rsid w:val="00487465"/>
    <w:rsid w:val="004912C1"/>
    <w:rsid w:val="004A5726"/>
    <w:rsid w:val="004B7B90"/>
    <w:rsid w:val="004D16D5"/>
    <w:rsid w:val="004D23B4"/>
    <w:rsid w:val="004D6A93"/>
    <w:rsid w:val="004E24F9"/>
    <w:rsid w:val="004E2C19"/>
    <w:rsid w:val="004E65BA"/>
    <w:rsid w:val="004E7A94"/>
    <w:rsid w:val="004F1932"/>
    <w:rsid w:val="004F2FE8"/>
    <w:rsid w:val="004F3479"/>
    <w:rsid w:val="00503E8C"/>
    <w:rsid w:val="00504AE7"/>
    <w:rsid w:val="005141DE"/>
    <w:rsid w:val="00521A04"/>
    <w:rsid w:val="005247FE"/>
    <w:rsid w:val="005429E0"/>
    <w:rsid w:val="0054545D"/>
    <w:rsid w:val="00562430"/>
    <w:rsid w:val="00565220"/>
    <w:rsid w:val="00575116"/>
    <w:rsid w:val="00580C6B"/>
    <w:rsid w:val="00593357"/>
    <w:rsid w:val="00595110"/>
    <w:rsid w:val="005977B4"/>
    <w:rsid w:val="005B0B6C"/>
    <w:rsid w:val="005B62E0"/>
    <w:rsid w:val="005C176D"/>
    <w:rsid w:val="005D05BF"/>
    <w:rsid w:val="005D0FBA"/>
    <w:rsid w:val="005D284C"/>
    <w:rsid w:val="005E7FD3"/>
    <w:rsid w:val="005F6A3A"/>
    <w:rsid w:val="00601685"/>
    <w:rsid w:val="00604512"/>
    <w:rsid w:val="0060784C"/>
    <w:rsid w:val="00633E23"/>
    <w:rsid w:val="006362DC"/>
    <w:rsid w:val="00641135"/>
    <w:rsid w:val="00641CE9"/>
    <w:rsid w:val="00642EAD"/>
    <w:rsid w:val="006472CF"/>
    <w:rsid w:val="00652F16"/>
    <w:rsid w:val="00660A33"/>
    <w:rsid w:val="00661BCC"/>
    <w:rsid w:val="00673683"/>
    <w:rsid w:val="00673B94"/>
    <w:rsid w:val="00680AC6"/>
    <w:rsid w:val="006831AD"/>
    <w:rsid w:val="006835D8"/>
    <w:rsid w:val="00690C60"/>
    <w:rsid w:val="0069325F"/>
    <w:rsid w:val="006B01F4"/>
    <w:rsid w:val="006B0503"/>
    <w:rsid w:val="006C0FAC"/>
    <w:rsid w:val="006C316E"/>
    <w:rsid w:val="006D0F7C"/>
    <w:rsid w:val="006D4080"/>
    <w:rsid w:val="006D4912"/>
    <w:rsid w:val="006E198A"/>
    <w:rsid w:val="006E60B9"/>
    <w:rsid w:val="006F554E"/>
    <w:rsid w:val="006F5A76"/>
    <w:rsid w:val="007018D4"/>
    <w:rsid w:val="0070664A"/>
    <w:rsid w:val="00711D44"/>
    <w:rsid w:val="007215D6"/>
    <w:rsid w:val="007221A0"/>
    <w:rsid w:val="007269C4"/>
    <w:rsid w:val="00740791"/>
    <w:rsid w:val="007414EF"/>
    <w:rsid w:val="0074209E"/>
    <w:rsid w:val="007427E6"/>
    <w:rsid w:val="00745252"/>
    <w:rsid w:val="00747683"/>
    <w:rsid w:val="00760459"/>
    <w:rsid w:val="007629D1"/>
    <w:rsid w:val="007646FB"/>
    <w:rsid w:val="00773F23"/>
    <w:rsid w:val="007745C0"/>
    <w:rsid w:val="00776757"/>
    <w:rsid w:val="007A088B"/>
    <w:rsid w:val="007B6437"/>
    <w:rsid w:val="007B6867"/>
    <w:rsid w:val="007C69DB"/>
    <w:rsid w:val="007D1BEC"/>
    <w:rsid w:val="007E1DC4"/>
    <w:rsid w:val="007E47CD"/>
    <w:rsid w:val="007F2CA8"/>
    <w:rsid w:val="007F7161"/>
    <w:rsid w:val="0081429A"/>
    <w:rsid w:val="00816EA8"/>
    <w:rsid w:val="00824335"/>
    <w:rsid w:val="008345F6"/>
    <w:rsid w:val="00837083"/>
    <w:rsid w:val="00843BD2"/>
    <w:rsid w:val="00855513"/>
    <w:rsid w:val="0085559E"/>
    <w:rsid w:val="00865930"/>
    <w:rsid w:val="00867DB0"/>
    <w:rsid w:val="00870D9E"/>
    <w:rsid w:val="00872111"/>
    <w:rsid w:val="008900B8"/>
    <w:rsid w:val="008945E4"/>
    <w:rsid w:val="00896B1B"/>
    <w:rsid w:val="008D541B"/>
    <w:rsid w:val="008D762D"/>
    <w:rsid w:val="008E559E"/>
    <w:rsid w:val="008F340E"/>
    <w:rsid w:val="00904574"/>
    <w:rsid w:val="00911FDE"/>
    <w:rsid w:val="00916080"/>
    <w:rsid w:val="00921A68"/>
    <w:rsid w:val="00933B50"/>
    <w:rsid w:val="0093490E"/>
    <w:rsid w:val="00935301"/>
    <w:rsid w:val="0093569D"/>
    <w:rsid w:val="009467F0"/>
    <w:rsid w:val="00957F96"/>
    <w:rsid w:val="00966576"/>
    <w:rsid w:val="0097307D"/>
    <w:rsid w:val="00976203"/>
    <w:rsid w:val="009831E6"/>
    <w:rsid w:val="00991A05"/>
    <w:rsid w:val="009A1317"/>
    <w:rsid w:val="009A18A7"/>
    <w:rsid w:val="009B1C60"/>
    <w:rsid w:val="009B4F2A"/>
    <w:rsid w:val="009C2247"/>
    <w:rsid w:val="009C2D08"/>
    <w:rsid w:val="009C6F3E"/>
    <w:rsid w:val="009D5B83"/>
    <w:rsid w:val="009E162D"/>
    <w:rsid w:val="009E4073"/>
    <w:rsid w:val="009E6574"/>
    <w:rsid w:val="009F5A2D"/>
    <w:rsid w:val="009F5FD8"/>
    <w:rsid w:val="009F797B"/>
    <w:rsid w:val="00A015C4"/>
    <w:rsid w:val="00A03B04"/>
    <w:rsid w:val="00A15172"/>
    <w:rsid w:val="00A160C8"/>
    <w:rsid w:val="00A24D8F"/>
    <w:rsid w:val="00A2610E"/>
    <w:rsid w:val="00A33202"/>
    <w:rsid w:val="00A361D2"/>
    <w:rsid w:val="00A406E8"/>
    <w:rsid w:val="00A44F50"/>
    <w:rsid w:val="00A45832"/>
    <w:rsid w:val="00A631DA"/>
    <w:rsid w:val="00A67CE7"/>
    <w:rsid w:val="00A75EB9"/>
    <w:rsid w:val="00A8038F"/>
    <w:rsid w:val="00A82EA1"/>
    <w:rsid w:val="00A86C20"/>
    <w:rsid w:val="00A95BAD"/>
    <w:rsid w:val="00A97882"/>
    <w:rsid w:val="00AA12DE"/>
    <w:rsid w:val="00AC2EE1"/>
    <w:rsid w:val="00AC46B5"/>
    <w:rsid w:val="00AE23F1"/>
    <w:rsid w:val="00AE5E0E"/>
    <w:rsid w:val="00AF33FD"/>
    <w:rsid w:val="00B05821"/>
    <w:rsid w:val="00B20510"/>
    <w:rsid w:val="00B31A9E"/>
    <w:rsid w:val="00B41002"/>
    <w:rsid w:val="00B5080A"/>
    <w:rsid w:val="00B53ABA"/>
    <w:rsid w:val="00B604BB"/>
    <w:rsid w:val="00B62BD8"/>
    <w:rsid w:val="00B64890"/>
    <w:rsid w:val="00B71F38"/>
    <w:rsid w:val="00B71F50"/>
    <w:rsid w:val="00B76887"/>
    <w:rsid w:val="00B824F5"/>
    <w:rsid w:val="00B87A1C"/>
    <w:rsid w:val="00B943AE"/>
    <w:rsid w:val="00BA1886"/>
    <w:rsid w:val="00BB1271"/>
    <w:rsid w:val="00BB5537"/>
    <w:rsid w:val="00BC02D1"/>
    <w:rsid w:val="00BD7258"/>
    <w:rsid w:val="00BF1AF2"/>
    <w:rsid w:val="00C0598D"/>
    <w:rsid w:val="00C11956"/>
    <w:rsid w:val="00C17F45"/>
    <w:rsid w:val="00C46E55"/>
    <w:rsid w:val="00C47EC4"/>
    <w:rsid w:val="00C50EE3"/>
    <w:rsid w:val="00C602E5"/>
    <w:rsid w:val="00C6121C"/>
    <w:rsid w:val="00C644F3"/>
    <w:rsid w:val="00C67BEC"/>
    <w:rsid w:val="00C7364E"/>
    <w:rsid w:val="00C748FD"/>
    <w:rsid w:val="00C800BC"/>
    <w:rsid w:val="00C82DB4"/>
    <w:rsid w:val="00C85843"/>
    <w:rsid w:val="00C86878"/>
    <w:rsid w:val="00C94EE3"/>
    <w:rsid w:val="00CA33B0"/>
    <w:rsid w:val="00CC0DB1"/>
    <w:rsid w:val="00CD1D55"/>
    <w:rsid w:val="00CD22C4"/>
    <w:rsid w:val="00CD2EC4"/>
    <w:rsid w:val="00CE2BBA"/>
    <w:rsid w:val="00CF756E"/>
    <w:rsid w:val="00D11C4C"/>
    <w:rsid w:val="00D1482E"/>
    <w:rsid w:val="00D200AE"/>
    <w:rsid w:val="00D27372"/>
    <w:rsid w:val="00D4046E"/>
    <w:rsid w:val="00D4362F"/>
    <w:rsid w:val="00D62D67"/>
    <w:rsid w:val="00D761AC"/>
    <w:rsid w:val="00D83F86"/>
    <w:rsid w:val="00D8635F"/>
    <w:rsid w:val="00D8744A"/>
    <w:rsid w:val="00D906C1"/>
    <w:rsid w:val="00D919BF"/>
    <w:rsid w:val="00D97C1D"/>
    <w:rsid w:val="00DB1275"/>
    <w:rsid w:val="00DC0360"/>
    <w:rsid w:val="00DC1D88"/>
    <w:rsid w:val="00DD4739"/>
    <w:rsid w:val="00DE5F33"/>
    <w:rsid w:val="00DE77D4"/>
    <w:rsid w:val="00DF35FB"/>
    <w:rsid w:val="00DF672C"/>
    <w:rsid w:val="00E00CA9"/>
    <w:rsid w:val="00E07B54"/>
    <w:rsid w:val="00E11F78"/>
    <w:rsid w:val="00E12F5E"/>
    <w:rsid w:val="00E142E0"/>
    <w:rsid w:val="00E14DBD"/>
    <w:rsid w:val="00E27441"/>
    <w:rsid w:val="00E278BC"/>
    <w:rsid w:val="00E327C9"/>
    <w:rsid w:val="00E330A2"/>
    <w:rsid w:val="00E37259"/>
    <w:rsid w:val="00E3732E"/>
    <w:rsid w:val="00E45115"/>
    <w:rsid w:val="00E46CFE"/>
    <w:rsid w:val="00E621E1"/>
    <w:rsid w:val="00E65481"/>
    <w:rsid w:val="00E74A47"/>
    <w:rsid w:val="00E74E6B"/>
    <w:rsid w:val="00E93E80"/>
    <w:rsid w:val="00E94233"/>
    <w:rsid w:val="00E97150"/>
    <w:rsid w:val="00EA1C26"/>
    <w:rsid w:val="00EA718D"/>
    <w:rsid w:val="00EC0526"/>
    <w:rsid w:val="00EC0CC8"/>
    <w:rsid w:val="00EC55B3"/>
    <w:rsid w:val="00ED380F"/>
    <w:rsid w:val="00ED58BD"/>
    <w:rsid w:val="00ED7736"/>
    <w:rsid w:val="00EE34AA"/>
    <w:rsid w:val="00EE6681"/>
    <w:rsid w:val="00EF041C"/>
    <w:rsid w:val="00F0009A"/>
    <w:rsid w:val="00F047CA"/>
    <w:rsid w:val="00F128B1"/>
    <w:rsid w:val="00F47A5A"/>
    <w:rsid w:val="00F56919"/>
    <w:rsid w:val="00F57D7F"/>
    <w:rsid w:val="00F65575"/>
    <w:rsid w:val="00F84225"/>
    <w:rsid w:val="00F9446A"/>
    <w:rsid w:val="00F96FB2"/>
    <w:rsid w:val="00FA3086"/>
    <w:rsid w:val="00FA629D"/>
    <w:rsid w:val="00FB3596"/>
    <w:rsid w:val="00FB4493"/>
    <w:rsid w:val="00FB51D8"/>
    <w:rsid w:val="00FC4DAE"/>
    <w:rsid w:val="00FD08E8"/>
    <w:rsid w:val="00FD3320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35181"/>
  <w15:chartTrackingRefBased/>
  <w15:docId w15:val="{A20205B0-EABC-4322-AF77-273E6CE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4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2CF"/>
  </w:style>
  <w:style w:type="character" w:styleId="FootnoteReference">
    <w:name w:val="footnote reference"/>
    <w:basedOn w:val="DefaultParagraphFont"/>
    <w:rsid w:val="006472CF"/>
    <w:rPr>
      <w:vertAlign w:val="superscript"/>
    </w:rPr>
  </w:style>
  <w:style w:type="character" w:customStyle="1" w:styleId="normaltextrun">
    <w:name w:val="normaltextrun"/>
    <w:basedOn w:val="DefaultParagraphFont"/>
    <w:rsid w:val="00B71F50"/>
  </w:style>
  <w:style w:type="character" w:customStyle="1" w:styleId="eop">
    <w:name w:val="eop"/>
    <w:basedOn w:val="DefaultParagraphFont"/>
    <w:rsid w:val="00B71F50"/>
  </w:style>
  <w:style w:type="character" w:styleId="FollowedHyperlink">
    <w:name w:val="FollowedHyperlink"/>
    <w:basedOn w:val="DefaultParagraphFont"/>
    <w:rsid w:val="003A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2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tthew.arth@erco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ng.yan@erc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B45-EB03-4542-97E7-F8E193F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621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4450</CharactersWithSpaces>
  <SharedDoc>false</SharedDoc>
  <HLinks>
    <vt:vector size="12" baseType="variant"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mailto:bill.barnes@nrg.com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Gnanam, Prabhu</dc:creator>
  <cp:keywords/>
  <dc:description/>
  <cp:lastModifiedBy>Jordan Troublefield</cp:lastModifiedBy>
  <cp:revision>3</cp:revision>
  <cp:lastPrinted>2001-06-20T16:28:00Z</cp:lastPrinted>
  <dcterms:created xsi:type="dcterms:W3CDTF">2025-09-24T18:35:00Z</dcterms:created>
  <dcterms:modified xsi:type="dcterms:W3CDTF">2025-09-24T18:35:00Z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2024-10-17T20:33:03Z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0a63e025-3af9-414d-a233-7e9d49dc2eef</vt:lpwstr>
  </property>
  <property fmtid="{D5CDD505-2E9C-101B-9397-08002B2CF9AE}" pid="8" name="MSIP_Label_7084cbda-52b8-46fb-a7b7-cb5bd465ed85_ContentBits">
    <vt:lpwstr>0</vt:lpwstr>
  </property>
</Properties>
</file>