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75"/>
        <w:gridCol w:w="6585"/>
      </w:tblGrid>
      <w:tr w:rsidR="00152993" w14:paraId="21C79D8D" w14:textId="77777777">
        <w:tc>
          <w:tcPr>
            <w:tcW w:w="1620" w:type="dxa"/>
            <w:tcBorders>
              <w:bottom w:val="single" w:sz="4" w:space="0" w:color="auto"/>
            </w:tcBorders>
            <w:shd w:val="clear" w:color="auto" w:fill="FFFFFF"/>
            <w:vAlign w:val="center"/>
          </w:tcPr>
          <w:p w14:paraId="654E302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39A65F9" w14:textId="4FE69CF1" w:rsidR="00152993" w:rsidRDefault="003552CE">
            <w:pPr>
              <w:pStyle w:val="Header"/>
            </w:pPr>
            <w:hyperlink r:id="rId11" w:history="1">
              <w:r w:rsidRPr="004850AC">
                <w:rPr>
                  <w:rStyle w:val="Hyperlink"/>
                </w:rPr>
                <w:t>1296</w:t>
              </w:r>
            </w:hyperlink>
          </w:p>
        </w:tc>
        <w:tc>
          <w:tcPr>
            <w:tcW w:w="975" w:type="dxa"/>
            <w:tcBorders>
              <w:bottom w:val="single" w:sz="4" w:space="0" w:color="auto"/>
            </w:tcBorders>
            <w:shd w:val="clear" w:color="auto" w:fill="FFFFFF"/>
            <w:vAlign w:val="center"/>
          </w:tcPr>
          <w:p w14:paraId="5546A319" w14:textId="77777777" w:rsidR="00152993" w:rsidRDefault="00EE6681">
            <w:pPr>
              <w:pStyle w:val="Header"/>
            </w:pPr>
            <w:r>
              <w:t>N</w:t>
            </w:r>
            <w:r w:rsidR="00152993">
              <w:t>PRR Title</w:t>
            </w:r>
          </w:p>
        </w:tc>
        <w:tc>
          <w:tcPr>
            <w:tcW w:w="6585" w:type="dxa"/>
            <w:tcBorders>
              <w:bottom w:val="single" w:sz="4" w:space="0" w:color="auto"/>
            </w:tcBorders>
            <w:vAlign w:val="center"/>
          </w:tcPr>
          <w:p w14:paraId="11EBE547" w14:textId="5C2ADC1C" w:rsidR="00152993" w:rsidRDefault="003552CE">
            <w:pPr>
              <w:pStyle w:val="Header"/>
            </w:pPr>
            <w:r w:rsidRPr="00024815">
              <w:t>Residential Demand Response Program</w:t>
            </w:r>
          </w:p>
        </w:tc>
      </w:tr>
      <w:tr w:rsidR="00152993" w14:paraId="1710C68A" w14:textId="77777777" w:rsidTr="708C310D">
        <w:trPr>
          <w:trHeight w:val="413"/>
        </w:trPr>
        <w:tc>
          <w:tcPr>
            <w:tcW w:w="2880" w:type="dxa"/>
            <w:gridSpan w:val="2"/>
            <w:tcBorders>
              <w:top w:val="nil"/>
              <w:left w:val="nil"/>
              <w:bottom w:val="single" w:sz="4" w:space="0" w:color="auto"/>
              <w:right w:val="nil"/>
            </w:tcBorders>
            <w:vAlign w:val="center"/>
          </w:tcPr>
          <w:p w14:paraId="01F3EC0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5B1F500" w14:textId="77777777" w:rsidR="00152993" w:rsidRDefault="00152993">
            <w:pPr>
              <w:pStyle w:val="NormalArial"/>
            </w:pPr>
          </w:p>
        </w:tc>
      </w:tr>
      <w:tr w:rsidR="00152993" w14:paraId="1A8E1E12" w14:textId="77777777" w:rsidTr="708C310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9D55D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F21EA3" w14:textId="67C24A90" w:rsidR="00152993" w:rsidRDefault="003552CE">
            <w:pPr>
              <w:pStyle w:val="NormalArial"/>
            </w:pPr>
            <w:r>
              <w:t>September 10, 2025</w:t>
            </w:r>
          </w:p>
        </w:tc>
      </w:tr>
      <w:tr w:rsidR="00152993" w14:paraId="25126452" w14:textId="77777777">
        <w:trPr>
          <w:trHeight w:val="467"/>
        </w:trPr>
        <w:tc>
          <w:tcPr>
            <w:tcW w:w="2880" w:type="dxa"/>
            <w:gridSpan w:val="2"/>
            <w:tcBorders>
              <w:top w:val="single" w:sz="4" w:space="0" w:color="auto"/>
              <w:left w:val="nil"/>
              <w:bottom w:val="nil"/>
              <w:right w:val="nil"/>
            </w:tcBorders>
            <w:shd w:val="clear" w:color="auto" w:fill="FFFFFF"/>
            <w:vAlign w:val="center"/>
          </w:tcPr>
          <w:p w14:paraId="59245D9F" w14:textId="77777777" w:rsidR="00152993" w:rsidRDefault="00152993">
            <w:pPr>
              <w:pStyle w:val="NormalArial"/>
            </w:pPr>
          </w:p>
        </w:tc>
        <w:tc>
          <w:tcPr>
            <w:tcW w:w="7560" w:type="dxa"/>
            <w:gridSpan w:val="2"/>
            <w:tcBorders>
              <w:top w:val="nil"/>
              <w:left w:val="nil"/>
              <w:bottom w:val="nil"/>
              <w:right w:val="nil"/>
            </w:tcBorders>
            <w:vAlign w:val="center"/>
          </w:tcPr>
          <w:p w14:paraId="632888BB" w14:textId="77777777" w:rsidR="00152993" w:rsidRDefault="00152993">
            <w:pPr>
              <w:pStyle w:val="NormalArial"/>
            </w:pPr>
          </w:p>
        </w:tc>
      </w:tr>
      <w:tr w:rsidR="00152993" w14:paraId="79B1ADAD" w14:textId="77777777">
        <w:trPr>
          <w:trHeight w:val="440"/>
        </w:trPr>
        <w:tc>
          <w:tcPr>
            <w:tcW w:w="10440" w:type="dxa"/>
            <w:gridSpan w:val="4"/>
            <w:tcBorders>
              <w:top w:val="single" w:sz="4" w:space="0" w:color="auto"/>
            </w:tcBorders>
            <w:shd w:val="clear" w:color="auto" w:fill="FFFFFF"/>
            <w:vAlign w:val="center"/>
          </w:tcPr>
          <w:p w14:paraId="4D9F7754" w14:textId="77777777" w:rsidR="00152993" w:rsidRDefault="00152993">
            <w:pPr>
              <w:pStyle w:val="Header"/>
              <w:jc w:val="center"/>
            </w:pPr>
            <w:r>
              <w:t>Submitter’s Information</w:t>
            </w:r>
          </w:p>
        </w:tc>
      </w:tr>
      <w:tr w:rsidR="00152993" w14:paraId="6AC64288" w14:textId="77777777">
        <w:trPr>
          <w:trHeight w:val="350"/>
        </w:trPr>
        <w:tc>
          <w:tcPr>
            <w:tcW w:w="2880" w:type="dxa"/>
            <w:gridSpan w:val="2"/>
            <w:shd w:val="clear" w:color="auto" w:fill="FFFFFF"/>
            <w:vAlign w:val="center"/>
          </w:tcPr>
          <w:p w14:paraId="3060AFB9" w14:textId="77777777" w:rsidR="00152993" w:rsidRPr="00EC55B3" w:rsidRDefault="00152993" w:rsidP="00EC55B3">
            <w:pPr>
              <w:pStyle w:val="Header"/>
            </w:pPr>
            <w:r w:rsidRPr="00EC55B3">
              <w:t>Name</w:t>
            </w:r>
          </w:p>
        </w:tc>
        <w:tc>
          <w:tcPr>
            <w:tcW w:w="7560" w:type="dxa"/>
            <w:gridSpan w:val="2"/>
            <w:vAlign w:val="center"/>
          </w:tcPr>
          <w:p w14:paraId="08421903" w14:textId="1824A57C" w:rsidR="00152993" w:rsidRDefault="003552CE">
            <w:pPr>
              <w:pStyle w:val="NormalArial"/>
            </w:pPr>
            <w:r>
              <w:t>Ned Bonskowski</w:t>
            </w:r>
            <w:r w:rsidR="000C08C0">
              <w:t xml:space="preserve"> / </w:t>
            </w:r>
            <w:r w:rsidR="00F70A31">
              <w:t>James Langdon</w:t>
            </w:r>
          </w:p>
        </w:tc>
      </w:tr>
      <w:tr w:rsidR="00152993" w14:paraId="61D4B029" w14:textId="77777777">
        <w:trPr>
          <w:trHeight w:val="350"/>
        </w:trPr>
        <w:tc>
          <w:tcPr>
            <w:tcW w:w="2880" w:type="dxa"/>
            <w:gridSpan w:val="2"/>
            <w:shd w:val="clear" w:color="auto" w:fill="FFFFFF"/>
            <w:vAlign w:val="center"/>
          </w:tcPr>
          <w:p w14:paraId="52F34F52" w14:textId="77777777" w:rsidR="00152993" w:rsidRPr="00EC55B3" w:rsidRDefault="00152993" w:rsidP="00EC55B3">
            <w:pPr>
              <w:pStyle w:val="Header"/>
            </w:pPr>
            <w:r w:rsidRPr="00EC55B3">
              <w:t>E-mail Address</w:t>
            </w:r>
          </w:p>
        </w:tc>
        <w:tc>
          <w:tcPr>
            <w:tcW w:w="7560" w:type="dxa"/>
            <w:gridSpan w:val="2"/>
            <w:vAlign w:val="center"/>
          </w:tcPr>
          <w:p w14:paraId="5B36D6A0" w14:textId="63B0B66F" w:rsidR="00152993" w:rsidRDefault="003552CE">
            <w:pPr>
              <w:pStyle w:val="NormalArial"/>
            </w:pPr>
            <w:hyperlink r:id="rId12" w:history="1">
              <w:r w:rsidRPr="00744923">
                <w:rPr>
                  <w:rStyle w:val="Hyperlink"/>
                </w:rPr>
                <w:t>ned.bonskowski@vistracorp.com</w:t>
              </w:r>
            </w:hyperlink>
            <w:r w:rsidR="000C08C0">
              <w:t xml:space="preserve"> / </w:t>
            </w:r>
            <w:hyperlink r:id="rId13" w:history="1">
              <w:r w:rsidR="003C14D8">
                <w:rPr>
                  <w:rStyle w:val="Hyperlink"/>
                </w:rPr>
                <w:t>james.langdon@vistracorp.com</w:t>
              </w:r>
            </w:hyperlink>
          </w:p>
        </w:tc>
      </w:tr>
      <w:tr w:rsidR="00152993" w14:paraId="65144F23" w14:textId="77777777">
        <w:trPr>
          <w:trHeight w:val="350"/>
        </w:trPr>
        <w:tc>
          <w:tcPr>
            <w:tcW w:w="2880" w:type="dxa"/>
            <w:gridSpan w:val="2"/>
            <w:shd w:val="clear" w:color="auto" w:fill="FFFFFF"/>
            <w:vAlign w:val="center"/>
          </w:tcPr>
          <w:p w14:paraId="3776EE49" w14:textId="77777777" w:rsidR="00152993" w:rsidRPr="00EC55B3" w:rsidRDefault="00152993" w:rsidP="00EC55B3">
            <w:pPr>
              <w:pStyle w:val="Header"/>
            </w:pPr>
            <w:r w:rsidRPr="00EC55B3">
              <w:t>Company</w:t>
            </w:r>
          </w:p>
        </w:tc>
        <w:tc>
          <w:tcPr>
            <w:tcW w:w="7560" w:type="dxa"/>
            <w:gridSpan w:val="2"/>
            <w:vAlign w:val="center"/>
          </w:tcPr>
          <w:p w14:paraId="68A034BE" w14:textId="15A0114C" w:rsidR="00152993" w:rsidRDefault="003552CE">
            <w:pPr>
              <w:pStyle w:val="NormalArial"/>
            </w:pPr>
            <w:r>
              <w:t>Vistra Operations Company LLC</w:t>
            </w:r>
          </w:p>
        </w:tc>
      </w:tr>
      <w:tr w:rsidR="00152993" w14:paraId="5B2B779D" w14:textId="77777777">
        <w:trPr>
          <w:trHeight w:val="350"/>
        </w:trPr>
        <w:tc>
          <w:tcPr>
            <w:tcW w:w="2880" w:type="dxa"/>
            <w:gridSpan w:val="2"/>
            <w:tcBorders>
              <w:bottom w:val="single" w:sz="4" w:space="0" w:color="auto"/>
            </w:tcBorders>
            <w:shd w:val="clear" w:color="auto" w:fill="FFFFFF"/>
            <w:vAlign w:val="center"/>
          </w:tcPr>
          <w:p w14:paraId="572CE40E"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035CDF7" w14:textId="77777777" w:rsidR="00152993" w:rsidRDefault="00152993">
            <w:pPr>
              <w:pStyle w:val="NormalArial"/>
            </w:pPr>
          </w:p>
        </w:tc>
      </w:tr>
      <w:tr w:rsidR="00152993" w14:paraId="5A7425DF" w14:textId="77777777">
        <w:trPr>
          <w:trHeight w:val="350"/>
        </w:trPr>
        <w:tc>
          <w:tcPr>
            <w:tcW w:w="2880" w:type="dxa"/>
            <w:gridSpan w:val="2"/>
            <w:shd w:val="clear" w:color="auto" w:fill="FFFFFF"/>
            <w:vAlign w:val="center"/>
          </w:tcPr>
          <w:p w14:paraId="2D9897A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1FFB94A" w14:textId="601F3772" w:rsidR="00152993" w:rsidRDefault="003552CE">
            <w:pPr>
              <w:pStyle w:val="NormalArial"/>
            </w:pPr>
            <w:r>
              <w:t>214-288-2456</w:t>
            </w:r>
            <w:r w:rsidR="000C08C0">
              <w:t xml:space="preserve"> / </w:t>
            </w:r>
            <w:r w:rsidR="00B36BE1">
              <w:t>202-494-6348</w:t>
            </w:r>
          </w:p>
        </w:tc>
      </w:tr>
      <w:tr w:rsidR="00075A94" w14:paraId="21FE209F" w14:textId="77777777">
        <w:trPr>
          <w:trHeight w:val="350"/>
        </w:trPr>
        <w:tc>
          <w:tcPr>
            <w:tcW w:w="2880" w:type="dxa"/>
            <w:gridSpan w:val="2"/>
            <w:tcBorders>
              <w:bottom w:val="single" w:sz="4" w:space="0" w:color="auto"/>
            </w:tcBorders>
            <w:shd w:val="clear" w:color="auto" w:fill="FFFFFF"/>
            <w:vAlign w:val="center"/>
          </w:tcPr>
          <w:p w14:paraId="34DDBB9F"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397393E9" w14:textId="788F9B87" w:rsidR="00075A94" w:rsidRDefault="003552CE">
            <w:pPr>
              <w:pStyle w:val="NormalArial"/>
            </w:pPr>
            <w:r>
              <w:t>Independent Generator</w:t>
            </w:r>
          </w:p>
        </w:tc>
      </w:tr>
    </w:tbl>
    <w:p w14:paraId="14214317"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74C5" w14:paraId="160FDB15" w14:textId="77777777" w:rsidTr="003945BF">
        <w:trPr>
          <w:trHeight w:val="350"/>
        </w:trPr>
        <w:tc>
          <w:tcPr>
            <w:tcW w:w="10440" w:type="dxa"/>
            <w:tcBorders>
              <w:bottom w:val="single" w:sz="4" w:space="0" w:color="auto"/>
            </w:tcBorders>
            <w:shd w:val="clear" w:color="auto" w:fill="FFFFFF"/>
            <w:vAlign w:val="center"/>
          </w:tcPr>
          <w:p w14:paraId="05407D34" w14:textId="4D11DFC3" w:rsidR="00FE74C5" w:rsidRDefault="00FE74C5" w:rsidP="003945BF">
            <w:pPr>
              <w:pStyle w:val="Header"/>
              <w:jc w:val="center"/>
            </w:pPr>
            <w:r>
              <w:t>Comments</w:t>
            </w:r>
          </w:p>
        </w:tc>
      </w:tr>
    </w:tbl>
    <w:p w14:paraId="31A530F6" w14:textId="6B681C44" w:rsidR="00BD7258" w:rsidRDefault="003552CE" w:rsidP="00FE74C5">
      <w:pPr>
        <w:pStyle w:val="NormalArial"/>
        <w:spacing w:before="120" w:after="120"/>
        <w:jc w:val="both"/>
      </w:pPr>
      <w:r>
        <w:t xml:space="preserve">Vistra Operations Company LLC (Vistra) greatly appreciates the opportunity to provide initial comments on </w:t>
      </w:r>
      <w:r w:rsidR="00FE74C5">
        <w:t>Nodal Protocol Revision Request (</w:t>
      </w:r>
      <w:r>
        <w:t>NPRR</w:t>
      </w:r>
      <w:r w:rsidR="00FE74C5">
        <w:t xml:space="preserve">) </w:t>
      </w:r>
      <w:r>
        <w:t xml:space="preserve">1296. Consistent with the feedback Vistra provided at both workshops on this topic on May 2, 2025 and June 16, 2025, as well as written comments submitted in response to ERCOT’s proposal presented at those workshops (pp. 1-3 of the </w:t>
      </w:r>
      <w:hyperlink r:id="rId14">
        <w:r w:rsidRPr="158C9BC8">
          <w:rPr>
            <w:rStyle w:val="Hyperlink"/>
          </w:rPr>
          <w:t>first workshop stakeholder comments</w:t>
        </w:r>
      </w:hyperlink>
      <w:r>
        <w:t xml:space="preserve"> and pp. 21-37 of the </w:t>
      </w:r>
      <w:hyperlink r:id="rId15">
        <w:r w:rsidRPr="158C9BC8">
          <w:rPr>
            <w:rStyle w:val="Hyperlink"/>
          </w:rPr>
          <w:t>second workshop stakeholder comments</w:t>
        </w:r>
      </w:hyperlink>
      <w:r>
        <w:t xml:space="preserve">), Vistra </w:t>
      </w:r>
      <w:r w:rsidR="00765F15">
        <w:t xml:space="preserve">continues to have deep and significant concerns with NPRR1296’s approach to incentivizing residential demand response and does not see a viable path to support it. </w:t>
      </w:r>
      <w:r w:rsidR="00430A9F" w:rsidRPr="00430A9F">
        <w:t xml:space="preserve">As such, Vistra will not revise the proposed </w:t>
      </w:r>
      <w:r w:rsidR="00FE74C5">
        <w:t>P</w:t>
      </w:r>
      <w:r w:rsidR="00430A9F" w:rsidRPr="00430A9F">
        <w:t xml:space="preserve">rotocol language in NPRR1296 and instead offers a summary of prior comments. There may be other market-based approaches to </w:t>
      </w:r>
      <w:r w:rsidR="001B1782">
        <w:t xml:space="preserve">encouraging </w:t>
      </w:r>
      <w:r w:rsidR="00ED459E">
        <w:t>residential demand response</w:t>
      </w:r>
      <w:r w:rsidR="009B5D9C">
        <w:t xml:space="preserve"> (</w:t>
      </w:r>
      <w:r w:rsidR="00FE74C5">
        <w:t>“</w:t>
      </w:r>
      <w:r w:rsidR="00430A9F" w:rsidRPr="00430A9F">
        <w:t>DR</w:t>
      </w:r>
      <w:r w:rsidR="00FE74C5">
        <w:t>”</w:t>
      </w:r>
      <w:r w:rsidR="009B5D9C">
        <w:t>)</w:t>
      </w:r>
      <w:r w:rsidR="00430A9F" w:rsidRPr="00430A9F">
        <w:t xml:space="preserve"> that Vistra could support, and Vistra hopes to have the opportunity to continue those discussions with ERCOT and stakeholders in the future.</w:t>
      </w:r>
    </w:p>
    <w:p w14:paraId="78029141" w14:textId="32D329EB" w:rsidR="00D57DA4" w:rsidRDefault="00774582" w:rsidP="00FE74C5">
      <w:pPr>
        <w:pStyle w:val="NormalArial"/>
        <w:spacing w:before="120" w:after="120"/>
        <w:jc w:val="both"/>
        <w:rPr>
          <w:i/>
          <w:iCs/>
        </w:rPr>
      </w:pPr>
      <w:r>
        <w:t xml:space="preserve">Vistra </w:t>
      </w:r>
      <w:r w:rsidR="009C3744">
        <w:t xml:space="preserve">first reiterates that </w:t>
      </w:r>
      <w:r w:rsidR="009C3744" w:rsidRPr="00D420FD">
        <w:rPr>
          <w:b/>
          <w:bCs/>
        </w:rPr>
        <w:t xml:space="preserve">Vistra supports residential (and other) load flexibility </w:t>
      </w:r>
      <w:r w:rsidR="009C3744" w:rsidRPr="00D420FD">
        <w:rPr>
          <w:b/>
          <w:bCs/>
          <w:i/>
          <w:iCs/>
        </w:rPr>
        <w:t>when integrated properly within an operationally and dynamically efficient market policy framework</w:t>
      </w:r>
      <w:r w:rsidR="00D420FD">
        <w:t xml:space="preserve">. </w:t>
      </w:r>
      <w:r w:rsidR="00E6790C" w:rsidRPr="00E6790C">
        <w:t xml:space="preserve">However, as currently drafted, </w:t>
      </w:r>
      <w:r w:rsidR="0091732D">
        <w:t xml:space="preserve">NPRR1296 </w:t>
      </w:r>
      <w:r w:rsidR="00EA56D6" w:rsidRPr="00CC5F0E">
        <w:t xml:space="preserve">does not </w:t>
      </w:r>
      <w:r w:rsidR="00EA56D6">
        <w:t xml:space="preserve">accomplish this goal and likely exacerbates </w:t>
      </w:r>
      <w:r w:rsidR="00EA56D6" w:rsidRPr="001D401F">
        <w:t xml:space="preserve">existing long-term </w:t>
      </w:r>
      <w:r w:rsidR="00763C3E">
        <w:t>resource adequacy</w:t>
      </w:r>
      <w:r w:rsidR="00EA56D6" w:rsidRPr="001D401F">
        <w:t xml:space="preserve"> concerns</w:t>
      </w:r>
      <w:r w:rsidR="00852DB8">
        <w:t xml:space="preserve"> </w:t>
      </w:r>
      <w:r w:rsidR="00BA39B6">
        <w:t xml:space="preserve">because </w:t>
      </w:r>
      <w:r w:rsidR="0091732D">
        <w:t xml:space="preserve"> </w:t>
      </w:r>
      <w:r w:rsidR="001A309A" w:rsidRPr="00631A94">
        <w:rPr>
          <w:b/>
          <w:bCs/>
        </w:rPr>
        <w:t xml:space="preserve"> </w:t>
      </w:r>
      <w:r w:rsidR="00BA39B6">
        <w:rPr>
          <w:b/>
          <w:bCs/>
          <w:i/>
          <w:iCs/>
        </w:rPr>
        <w:t xml:space="preserve">NPRR1296 </w:t>
      </w:r>
      <w:r w:rsidR="001B5EA8" w:rsidRPr="00631A94">
        <w:rPr>
          <w:b/>
          <w:bCs/>
          <w:i/>
          <w:iCs/>
        </w:rPr>
        <w:t>introduc</w:t>
      </w:r>
      <w:r w:rsidR="00BA39B6">
        <w:rPr>
          <w:b/>
          <w:bCs/>
          <w:i/>
          <w:iCs/>
        </w:rPr>
        <w:t>es</w:t>
      </w:r>
      <w:r w:rsidR="001B5EA8" w:rsidRPr="00631A94">
        <w:rPr>
          <w:b/>
          <w:bCs/>
          <w:i/>
          <w:iCs/>
        </w:rPr>
        <w:t xml:space="preserve"> </w:t>
      </w:r>
      <w:r w:rsidR="001A309A" w:rsidRPr="00631A94">
        <w:rPr>
          <w:b/>
          <w:bCs/>
          <w:i/>
          <w:iCs/>
        </w:rPr>
        <w:t>significant new distortions</w:t>
      </w:r>
      <w:r w:rsidR="001A309A" w:rsidRPr="006045D4">
        <w:rPr>
          <w:i/>
          <w:iCs/>
        </w:rPr>
        <w:t xml:space="preserve"> </w:t>
      </w:r>
      <w:r w:rsidR="001A309A" w:rsidRPr="00676E12">
        <w:rPr>
          <w:b/>
          <w:bCs/>
          <w:i/>
          <w:iCs/>
        </w:rPr>
        <w:t xml:space="preserve">to the </w:t>
      </w:r>
      <w:r w:rsidR="003A5E8B" w:rsidRPr="00676E12">
        <w:rPr>
          <w:b/>
          <w:bCs/>
          <w:i/>
          <w:iCs/>
        </w:rPr>
        <w:t xml:space="preserve">ERCOT </w:t>
      </w:r>
      <w:r w:rsidR="001A309A" w:rsidRPr="00676E12">
        <w:rPr>
          <w:b/>
          <w:bCs/>
          <w:i/>
          <w:iCs/>
        </w:rPr>
        <w:t xml:space="preserve">wholesale </w:t>
      </w:r>
      <w:r w:rsidR="003A5E8B" w:rsidRPr="00676E12">
        <w:rPr>
          <w:b/>
          <w:bCs/>
          <w:i/>
          <w:iCs/>
        </w:rPr>
        <w:t>energy market</w:t>
      </w:r>
      <w:r w:rsidR="000C0E89">
        <w:rPr>
          <w:i/>
          <w:iCs/>
        </w:rPr>
        <w:t>.</w:t>
      </w:r>
      <w:r w:rsidR="003A5E8B" w:rsidRPr="006045D4">
        <w:rPr>
          <w:i/>
          <w:iCs/>
        </w:rPr>
        <w:t xml:space="preserve"> </w:t>
      </w:r>
    </w:p>
    <w:p w14:paraId="696ECB49" w14:textId="77777777" w:rsidR="00066967" w:rsidRDefault="00066967" w:rsidP="00FE74C5">
      <w:pPr>
        <w:pStyle w:val="NormalArial"/>
        <w:spacing w:before="120" w:after="120"/>
        <w:jc w:val="both"/>
      </w:pPr>
      <w:r w:rsidRPr="00A37C61">
        <w:t xml:space="preserve">Unlike other organized electricity markets, the ERCOT “energy-only” market design relies exclusively on the real-time energy/ancillary service markets to perform both </w:t>
      </w:r>
      <w:r>
        <w:t xml:space="preserve">operation efficiency </w:t>
      </w:r>
      <w:r w:rsidRPr="000C6C0D">
        <w:t>and</w:t>
      </w:r>
      <w:r>
        <w:t xml:space="preserve"> dynamic efficiency</w:t>
      </w:r>
      <w:r w:rsidRPr="00A37C61">
        <w:t>.</w:t>
      </w:r>
    </w:p>
    <w:p w14:paraId="5A79AF0C" w14:textId="77777777" w:rsidR="00066967" w:rsidRDefault="00066967" w:rsidP="00FE74C5">
      <w:pPr>
        <w:pStyle w:val="NormalArial"/>
        <w:numPr>
          <w:ilvl w:val="0"/>
          <w:numId w:val="3"/>
        </w:numPr>
        <w:spacing w:before="120" w:after="120"/>
        <w:jc w:val="both"/>
      </w:pPr>
      <w:r w:rsidRPr="00FC7382">
        <w:rPr>
          <w:u w:val="single"/>
        </w:rPr>
        <w:t>Operational Efficiency</w:t>
      </w:r>
      <w:r w:rsidRPr="00A37C61">
        <w:t xml:space="preserve">: </w:t>
      </w:r>
      <w:r>
        <w:t>C</w:t>
      </w:r>
      <w:r w:rsidRPr="00A37C61">
        <w:t xml:space="preserve">ompetition among eligible resources ensures the identified need is met at least cost. </w:t>
      </w:r>
    </w:p>
    <w:p w14:paraId="093D3F0C" w14:textId="77777777" w:rsidR="00066967" w:rsidRDefault="00066967" w:rsidP="00FE74C5">
      <w:pPr>
        <w:pStyle w:val="NormalArial"/>
        <w:numPr>
          <w:ilvl w:val="0"/>
          <w:numId w:val="3"/>
        </w:numPr>
        <w:spacing w:before="120" w:after="120"/>
        <w:jc w:val="both"/>
      </w:pPr>
      <w:r w:rsidRPr="00FC7382">
        <w:rPr>
          <w:u w:val="single"/>
        </w:rPr>
        <w:lastRenderedPageBreak/>
        <w:t>Dynamic Efficiency</w:t>
      </w:r>
      <w:r w:rsidRPr="00A37C61">
        <w:t xml:space="preserve">: The combined </w:t>
      </w:r>
      <w:r>
        <w:t>eff</w:t>
      </w:r>
      <w:r w:rsidRPr="00A37C61">
        <w:t xml:space="preserve">ect of short-term and long-term market signals that </w:t>
      </w:r>
      <w:proofErr w:type="gramStart"/>
      <w:r w:rsidRPr="00A37C61">
        <w:t>ensures</w:t>
      </w:r>
      <w:proofErr w:type="gramEnd"/>
      <w:r w:rsidRPr="00A37C61">
        <w:t xml:space="preserve"> the full suite of market services are available to be provided at least cost.</w:t>
      </w:r>
    </w:p>
    <w:p w14:paraId="0DA8611D" w14:textId="013871C5" w:rsidR="00066967" w:rsidRDefault="00066967" w:rsidP="00FE74C5">
      <w:pPr>
        <w:pStyle w:val="NormalArial"/>
        <w:spacing w:before="120" w:after="120"/>
        <w:jc w:val="both"/>
      </w:pPr>
      <w:r>
        <w:t xml:space="preserve">A successful </w:t>
      </w:r>
      <w:r w:rsidR="000B2021">
        <w:t>market</w:t>
      </w:r>
      <w:r>
        <w:t xml:space="preserve"> design will prioritize this efficiency </w:t>
      </w:r>
      <w:r w:rsidR="00F0702F">
        <w:t xml:space="preserve">co-optimization </w:t>
      </w:r>
      <w:r>
        <w:t xml:space="preserve">and provide a level playing field for all </w:t>
      </w:r>
      <w:r w:rsidR="00CE04B2">
        <w:t xml:space="preserve">qualified </w:t>
      </w:r>
      <w:r>
        <w:t xml:space="preserve">market participants </w:t>
      </w:r>
      <w:r w:rsidR="001B6D4C">
        <w:t xml:space="preserve">(both supply-side and demand-side) </w:t>
      </w:r>
      <w:r>
        <w:t>to compete fairly for the benefit of all customers in the ERCOT market.</w:t>
      </w:r>
    </w:p>
    <w:p w14:paraId="0FA26064" w14:textId="5FF3F182" w:rsidR="00066967" w:rsidRPr="007071A3" w:rsidRDefault="00066967" w:rsidP="00FE74C5">
      <w:pPr>
        <w:pStyle w:val="NormalArial"/>
        <w:spacing w:before="120" w:after="120"/>
        <w:jc w:val="both"/>
      </w:pPr>
      <w:r>
        <w:t xml:space="preserve">Vistra’s </w:t>
      </w:r>
      <w:r w:rsidR="001B6D4C">
        <w:t xml:space="preserve">opposition to </w:t>
      </w:r>
      <w:r w:rsidRPr="007071A3">
        <w:t xml:space="preserve">ERCOT’s </w:t>
      </w:r>
      <w:r>
        <w:t>p</w:t>
      </w:r>
      <w:r w:rsidRPr="007071A3">
        <w:t>roposal</w:t>
      </w:r>
      <w:r>
        <w:t xml:space="preserve"> can be summarized in </w:t>
      </w:r>
      <w:r w:rsidRPr="00F043C3">
        <w:t>five</w:t>
      </w:r>
      <w:r>
        <w:t xml:space="preserve"> major areas of concern</w:t>
      </w:r>
      <w:r w:rsidR="001B6D4C">
        <w:t>:</w:t>
      </w:r>
    </w:p>
    <w:p w14:paraId="6358A169" w14:textId="77777777" w:rsidR="00066967" w:rsidRPr="007071A3" w:rsidRDefault="00066967" w:rsidP="00FE74C5">
      <w:pPr>
        <w:pStyle w:val="NormalArial"/>
        <w:spacing w:before="120" w:after="120"/>
        <w:jc w:val="both"/>
        <w:rPr>
          <w:b/>
          <w:bCs/>
        </w:rPr>
      </w:pPr>
      <w:r w:rsidRPr="007071A3">
        <w:rPr>
          <w:b/>
          <w:bCs/>
        </w:rPr>
        <w:t>Market Signal Erosion</w:t>
      </w:r>
    </w:p>
    <w:p w14:paraId="5A35251D" w14:textId="1E01DCF6" w:rsidR="00066967" w:rsidRDefault="00066967" w:rsidP="00FE74C5">
      <w:pPr>
        <w:pStyle w:val="NormalArial"/>
        <w:numPr>
          <w:ilvl w:val="0"/>
          <w:numId w:val="6"/>
        </w:numPr>
        <w:spacing w:before="120" w:after="120"/>
        <w:jc w:val="both"/>
      </w:pPr>
      <w:r>
        <w:t>Out-of-market</w:t>
      </w:r>
      <w:r w:rsidR="4C6C7D4D">
        <w:t xml:space="preserve"> </w:t>
      </w:r>
      <w:r w:rsidR="4CDC0980">
        <w:t>residential</w:t>
      </w:r>
      <w:r>
        <w:t xml:space="preserve"> DR payments </w:t>
      </w:r>
      <w:r w:rsidRPr="007071A3">
        <w:t xml:space="preserve">undermine both </w:t>
      </w:r>
      <w:r>
        <w:t>o</w:t>
      </w:r>
      <w:r w:rsidRPr="007071A3">
        <w:t xml:space="preserve">perational and </w:t>
      </w:r>
      <w:r>
        <w:t>d</w:t>
      </w:r>
      <w:r w:rsidRPr="007071A3">
        <w:t xml:space="preserve">ynamic </w:t>
      </w:r>
      <w:r>
        <w:t>e</w:t>
      </w:r>
      <w:r w:rsidRPr="007071A3">
        <w:t>fficiency, making it harder for investors to justify new generation projects</w:t>
      </w:r>
      <w:r w:rsidR="00A20E1B">
        <w:t xml:space="preserve"> (particularly dispatchable generation</w:t>
      </w:r>
      <w:r w:rsidR="00E71FDC">
        <w:t xml:space="preserve">, which already faces </w:t>
      </w:r>
      <w:r w:rsidR="00800FB6">
        <w:t>economic headwinds</w:t>
      </w:r>
      <w:r w:rsidR="00E8283A">
        <w:t xml:space="preserve"> in </w:t>
      </w:r>
      <w:proofErr w:type="gramStart"/>
      <w:r w:rsidR="00E8283A">
        <w:t>an energy</w:t>
      </w:r>
      <w:proofErr w:type="gramEnd"/>
      <w:r w:rsidR="00E8283A">
        <w:t>-only market design</w:t>
      </w:r>
      <w:r w:rsidR="00800FB6">
        <w:t>)</w:t>
      </w:r>
      <w:r w:rsidRPr="007071A3">
        <w:t>.</w:t>
      </w:r>
      <w:r>
        <w:t xml:space="preserve"> </w:t>
      </w:r>
      <w:r w:rsidR="006D3BF8">
        <w:t>R</w:t>
      </w:r>
      <w:r w:rsidR="03CC22C2">
        <w:t xml:space="preserve">esidential </w:t>
      </w:r>
      <w:r w:rsidR="4C6C7D4D">
        <w:t>DR</w:t>
      </w:r>
      <w:r w:rsidRPr="00CC5F0E">
        <w:t> should be done through a broader market design reform that incentivizes supply and demand with the same price signal</w:t>
      </w:r>
      <w:r w:rsidRPr="007071A3">
        <w:t>.</w:t>
      </w:r>
    </w:p>
    <w:p w14:paraId="43DDBFEC" w14:textId="4927BFF9" w:rsidR="00066967" w:rsidRDefault="00066967" w:rsidP="00FE74C5">
      <w:pPr>
        <w:pStyle w:val="NormalArial"/>
        <w:numPr>
          <w:ilvl w:val="0"/>
          <w:numId w:val="6"/>
        </w:numPr>
        <w:spacing w:before="120" w:after="120"/>
        <w:jc w:val="both"/>
      </w:pPr>
      <w:r w:rsidRPr="007071A3">
        <w:t xml:space="preserve">Forward prices for </w:t>
      </w:r>
      <w:proofErr w:type="gramStart"/>
      <w:r w:rsidRPr="007071A3">
        <w:t>generation</w:t>
      </w:r>
      <w:proofErr w:type="gramEnd"/>
      <w:r w:rsidRPr="007071A3">
        <w:t xml:space="preserve"> are already trending below the level needed to support new gas capacity</w:t>
      </w:r>
      <w:r>
        <w:t xml:space="preserve"> and </w:t>
      </w:r>
      <w:r w:rsidRPr="007071A3">
        <w:t xml:space="preserve">Real-Time Co-optimization is expected to reduce market revenues </w:t>
      </w:r>
      <w:r w:rsidR="0064706D">
        <w:t xml:space="preserve">even </w:t>
      </w:r>
      <w:r>
        <w:t>further.</w:t>
      </w:r>
      <w:r w:rsidRPr="007071A3">
        <w:t xml:space="preserve"> ERCOT’s </w:t>
      </w:r>
      <w:r w:rsidR="00902250">
        <w:t xml:space="preserve">residential </w:t>
      </w:r>
      <w:r w:rsidRPr="007071A3">
        <w:t xml:space="preserve">DR proposal would widen the gap </w:t>
      </w:r>
      <w:r w:rsidR="00902250">
        <w:t xml:space="preserve">because it is designed to </w:t>
      </w:r>
      <w:r w:rsidR="00181548">
        <w:t xml:space="preserve">directly undercut investment signals </w:t>
      </w:r>
      <w:r w:rsidR="00871CFA">
        <w:t>an energy-only market need</w:t>
      </w:r>
      <w:r w:rsidR="00DE224D">
        <w:t xml:space="preserve">s </w:t>
      </w:r>
      <w:proofErr w:type="gramStart"/>
      <w:r w:rsidR="00DE224D">
        <w:t>in order</w:t>
      </w:r>
      <w:r w:rsidR="00871CFA">
        <w:t xml:space="preserve"> to</w:t>
      </w:r>
      <w:proofErr w:type="gramEnd"/>
      <w:r w:rsidR="00871CFA">
        <w:t xml:space="preserve"> attract and retain </w:t>
      </w:r>
      <w:r w:rsidRPr="007071A3">
        <w:t>generation resources.</w:t>
      </w:r>
    </w:p>
    <w:p w14:paraId="2D189A46" w14:textId="77777777" w:rsidR="00066967" w:rsidRPr="007071A3" w:rsidRDefault="00066967" w:rsidP="00FE74C5">
      <w:pPr>
        <w:pStyle w:val="NormalArial"/>
        <w:spacing w:before="120" w:after="120"/>
        <w:jc w:val="both"/>
        <w:rPr>
          <w:b/>
          <w:bCs/>
        </w:rPr>
      </w:pPr>
      <w:r w:rsidRPr="007071A3">
        <w:rPr>
          <w:b/>
          <w:bCs/>
        </w:rPr>
        <w:t>Failure to Align with Policy Goals</w:t>
      </w:r>
    </w:p>
    <w:p w14:paraId="23E34B98" w14:textId="77777777" w:rsidR="00066967" w:rsidRPr="007071A3" w:rsidRDefault="00066967" w:rsidP="00FE74C5">
      <w:pPr>
        <w:pStyle w:val="NormalArial"/>
        <w:numPr>
          <w:ilvl w:val="0"/>
          <w:numId w:val="5"/>
        </w:numPr>
        <w:spacing w:before="120" w:after="120"/>
        <w:jc w:val="both"/>
      </w:pPr>
      <w:r w:rsidRPr="007071A3">
        <w:t>ERCOT’s own analyses show the system already needs additional dispatchable generation to meet reliability standards.</w:t>
      </w:r>
    </w:p>
    <w:p w14:paraId="61D7C9BA" w14:textId="2DB1185F" w:rsidR="00066967" w:rsidRPr="007071A3" w:rsidRDefault="00066967" w:rsidP="00FE74C5">
      <w:pPr>
        <w:pStyle w:val="NormalArial"/>
        <w:numPr>
          <w:ilvl w:val="0"/>
          <w:numId w:val="5"/>
        </w:numPr>
        <w:spacing w:before="120" w:after="120"/>
        <w:jc w:val="both"/>
      </w:pPr>
      <w:r w:rsidRPr="007071A3">
        <w:t xml:space="preserve">By subsidizing </w:t>
      </w:r>
      <w:r w:rsidR="01513B17">
        <w:t xml:space="preserve">residential </w:t>
      </w:r>
      <w:r>
        <w:t>DR</w:t>
      </w:r>
      <w:r w:rsidRPr="007071A3">
        <w:t xml:space="preserve"> outside of </w:t>
      </w:r>
      <w:r w:rsidR="000B432D">
        <w:t xml:space="preserve">wholesale market </w:t>
      </w:r>
      <w:r w:rsidRPr="007071A3">
        <w:t xml:space="preserve">price signals, ERCOT risks undermining the very market signals needed to attract </w:t>
      </w:r>
      <w:proofErr w:type="gramStart"/>
      <w:r w:rsidRPr="007071A3">
        <w:t>new</w:t>
      </w:r>
      <w:proofErr w:type="gramEnd"/>
      <w:r w:rsidRPr="007071A3">
        <w:t xml:space="preserve"> dispatchable generation</w:t>
      </w:r>
      <w:r>
        <w:t xml:space="preserve"> and </w:t>
      </w:r>
      <w:r w:rsidRPr="007071A3">
        <w:t xml:space="preserve">contradicting state policy priorities </w:t>
      </w:r>
      <w:r w:rsidR="005B7637">
        <w:t xml:space="preserve">(e.g., </w:t>
      </w:r>
      <w:r w:rsidRPr="007071A3">
        <w:t>the Texas Energy Fund</w:t>
      </w:r>
      <w:r w:rsidR="00A265D7">
        <w:t xml:space="preserve"> is meant to support new </w:t>
      </w:r>
      <w:r w:rsidR="001135DB">
        <w:t xml:space="preserve">natural </w:t>
      </w:r>
      <w:r w:rsidR="00A265D7">
        <w:t>gas generation</w:t>
      </w:r>
      <w:r w:rsidR="00D62708">
        <w:t>, but th</w:t>
      </w:r>
      <w:r w:rsidR="000C7A03">
        <w:t xml:space="preserve">e generation </w:t>
      </w:r>
      <w:r w:rsidR="001135DB">
        <w:t xml:space="preserve">resources </w:t>
      </w:r>
      <w:r w:rsidR="000C7A03">
        <w:t>that the Texas Energy Fund supports will still need to be economic to operate)</w:t>
      </w:r>
      <w:r w:rsidRPr="007071A3">
        <w:t>.</w:t>
      </w:r>
    </w:p>
    <w:p w14:paraId="2E62D7A9" w14:textId="77777777" w:rsidR="00066967" w:rsidRPr="007071A3" w:rsidRDefault="00066967" w:rsidP="00FE74C5">
      <w:pPr>
        <w:pStyle w:val="NormalArial"/>
        <w:spacing w:before="120" w:after="120"/>
        <w:jc w:val="both"/>
      </w:pPr>
      <w:r w:rsidRPr="007071A3">
        <w:rPr>
          <w:b/>
          <w:bCs/>
        </w:rPr>
        <w:t>Lack of Demonstrated Need</w:t>
      </w:r>
    </w:p>
    <w:p w14:paraId="20F8483C" w14:textId="7E00C31C" w:rsidR="00066967" w:rsidRDefault="00066967" w:rsidP="00FE74C5">
      <w:pPr>
        <w:pStyle w:val="NormalArial"/>
        <w:numPr>
          <w:ilvl w:val="0"/>
          <w:numId w:val="4"/>
        </w:numPr>
        <w:spacing w:before="120" w:after="120"/>
        <w:jc w:val="both"/>
      </w:pPr>
      <w:r w:rsidRPr="007071A3">
        <w:t>ERCOT cites load growth as justification</w:t>
      </w:r>
      <w:r>
        <w:t xml:space="preserve"> for </w:t>
      </w:r>
      <w:r w:rsidR="3C4235CA">
        <w:t xml:space="preserve">residential </w:t>
      </w:r>
      <w:r>
        <w:t>DR</w:t>
      </w:r>
      <w:r w:rsidRPr="007071A3">
        <w:t>, but this growth is primarily commercial/industrial, not residential.</w:t>
      </w:r>
    </w:p>
    <w:p w14:paraId="6FF7F777" w14:textId="729C3D6A" w:rsidR="00066967" w:rsidRDefault="00066967" w:rsidP="00FE74C5">
      <w:pPr>
        <w:pStyle w:val="NormalArial"/>
        <w:numPr>
          <w:ilvl w:val="0"/>
          <w:numId w:val="4"/>
        </w:numPr>
        <w:spacing w:before="120" w:after="120"/>
        <w:jc w:val="both"/>
      </w:pPr>
      <w:r w:rsidRPr="007071A3">
        <w:t>The load forecast is subject to revisions and reflects large loads (e.g., crypto miners) that are often flexible or can deploy backup generation</w:t>
      </w:r>
      <w:r w:rsidR="00007F97">
        <w:t xml:space="preserve"> as if they were firm</w:t>
      </w:r>
      <w:r w:rsidR="00EF465E">
        <w:t xml:space="preserve"> loads</w:t>
      </w:r>
      <w:r w:rsidRPr="007071A3">
        <w:t>.</w:t>
      </w:r>
    </w:p>
    <w:p w14:paraId="16DD8FFC" w14:textId="7E49F7C3" w:rsidR="00066967" w:rsidRPr="007071A3" w:rsidRDefault="00066967" w:rsidP="00FE74C5">
      <w:pPr>
        <w:pStyle w:val="NormalArial"/>
        <w:numPr>
          <w:ilvl w:val="0"/>
          <w:numId w:val="4"/>
        </w:numPr>
        <w:spacing w:before="120" w:after="120"/>
        <w:jc w:val="both"/>
      </w:pPr>
      <w:r w:rsidRPr="007071A3">
        <w:t xml:space="preserve">Even if </w:t>
      </w:r>
      <w:r w:rsidR="00133B5A">
        <w:t xml:space="preserve">ERCOT’s load </w:t>
      </w:r>
      <w:r w:rsidRPr="007071A3">
        <w:t xml:space="preserve">forecasts </w:t>
      </w:r>
      <w:r w:rsidR="00133B5A">
        <w:t xml:space="preserve">were to </w:t>
      </w:r>
      <w:r w:rsidRPr="007071A3">
        <w:t xml:space="preserve">hold, real-time prices provide a fairer, market-based signal to </w:t>
      </w:r>
      <w:r w:rsidRPr="00676E12">
        <w:rPr>
          <w:u w:val="single"/>
        </w:rPr>
        <w:t>all</w:t>
      </w:r>
      <w:r w:rsidRPr="007071A3">
        <w:t xml:space="preserve"> flexible resources</w:t>
      </w:r>
      <w:r>
        <w:t xml:space="preserve">, </w:t>
      </w:r>
      <w:r w:rsidRPr="007071A3">
        <w:t xml:space="preserve">not just </w:t>
      </w:r>
      <w:r w:rsidR="0EBC29B3">
        <w:t xml:space="preserve">residential </w:t>
      </w:r>
      <w:r>
        <w:t>DR</w:t>
      </w:r>
      <w:r w:rsidRPr="007071A3">
        <w:t>.</w:t>
      </w:r>
    </w:p>
    <w:p w14:paraId="4CE984D9" w14:textId="76B2F7EF" w:rsidR="00066967" w:rsidRPr="007071A3" w:rsidRDefault="00676E12" w:rsidP="00FE74C5">
      <w:pPr>
        <w:pStyle w:val="NormalArial"/>
        <w:spacing w:before="120" w:after="120"/>
        <w:jc w:val="both"/>
        <w:rPr>
          <w:b/>
          <w:bCs/>
        </w:rPr>
      </w:pPr>
      <w:r>
        <w:rPr>
          <w:b/>
          <w:bCs/>
        </w:rPr>
        <w:lastRenderedPageBreak/>
        <w:t>One-Sided</w:t>
      </w:r>
      <w:r w:rsidR="00066967" w:rsidRPr="007071A3">
        <w:rPr>
          <w:b/>
          <w:bCs/>
        </w:rPr>
        <w:t xml:space="preserve"> Justifications</w:t>
      </w:r>
    </w:p>
    <w:p w14:paraId="339D053E" w14:textId="5807AAC5" w:rsidR="00DB52C5" w:rsidRDefault="00066967" w:rsidP="00FE74C5">
      <w:pPr>
        <w:pStyle w:val="NormalArial"/>
        <w:numPr>
          <w:ilvl w:val="0"/>
          <w:numId w:val="6"/>
        </w:numPr>
        <w:spacing w:before="120" w:after="120"/>
        <w:jc w:val="both"/>
      </w:pPr>
      <w:r w:rsidRPr="007071A3">
        <w:t xml:space="preserve">ERCOT argues that </w:t>
      </w:r>
      <w:r w:rsidR="47A64009">
        <w:t xml:space="preserve">residential </w:t>
      </w:r>
      <w:r>
        <w:t>DR</w:t>
      </w:r>
      <w:r w:rsidRPr="007071A3">
        <w:t xml:space="preserve"> is “not fully enabled today.” Vistra counters that this is not unique</w:t>
      </w:r>
      <w:r w:rsidR="00060FFD">
        <w:t xml:space="preserve"> to residential DR</w:t>
      </w:r>
      <w:r>
        <w:t>. M</w:t>
      </w:r>
      <w:r w:rsidRPr="007071A3">
        <w:t xml:space="preserve">any </w:t>
      </w:r>
      <w:r w:rsidR="00F010DB">
        <w:t xml:space="preserve">generation </w:t>
      </w:r>
      <w:r w:rsidRPr="007071A3">
        <w:t xml:space="preserve">resources are </w:t>
      </w:r>
      <w:r w:rsidR="00F010DB">
        <w:t xml:space="preserve">also </w:t>
      </w:r>
      <w:r w:rsidRPr="007071A3">
        <w:t xml:space="preserve">not </w:t>
      </w:r>
      <w:r w:rsidR="00666216">
        <w:t>“</w:t>
      </w:r>
      <w:r w:rsidRPr="007071A3">
        <w:t>fully enabled</w:t>
      </w:r>
      <w:r w:rsidR="00666216">
        <w:t>”</w:t>
      </w:r>
      <w:r w:rsidRPr="007071A3">
        <w:t xml:space="preserve"> due to </w:t>
      </w:r>
      <w:r w:rsidR="00556D12">
        <w:t xml:space="preserve">the </w:t>
      </w:r>
      <w:r w:rsidRPr="007071A3">
        <w:t xml:space="preserve">ERCOT energy-only </w:t>
      </w:r>
      <w:r w:rsidR="00556D12">
        <w:t xml:space="preserve">market </w:t>
      </w:r>
      <w:r w:rsidRPr="007071A3">
        <w:t xml:space="preserve">design. </w:t>
      </w:r>
      <w:r w:rsidR="00630082">
        <w:t xml:space="preserve">Indeed, many of the arguments ERCOT has made to </w:t>
      </w:r>
      <w:r w:rsidR="00386D5F">
        <w:t xml:space="preserve">justify the “need” for NPRR1296 </w:t>
      </w:r>
      <w:r w:rsidR="00BD26EE">
        <w:t xml:space="preserve">are </w:t>
      </w:r>
      <w:r w:rsidR="00993576">
        <w:t xml:space="preserve">equally applicable </w:t>
      </w:r>
      <w:r w:rsidR="00BD26EE">
        <w:t xml:space="preserve">to generation resources. </w:t>
      </w:r>
    </w:p>
    <w:p w14:paraId="359A4B8E" w14:textId="6B2FB158" w:rsidR="00066967" w:rsidRDefault="00066967" w:rsidP="00FE74C5">
      <w:pPr>
        <w:pStyle w:val="NormalArial"/>
        <w:numPr>
          <w:ilvl w:val="0"/>
          <w:numId w:val="6"/>
        </w:numPr>
        <w:spacing w:before="120" w:after="120"/>
        <w:jc w:val="both"/>
      </w:pPr>
      <w:r w:rsidRPr="007071A3">
        <w:t>This does not justify selective subsidies</w:t>
      </w:r>
      <w:r w:rsidR="00993576">
        <w:t xml:space="preserve"> – rather, it should </w:t>
      </w:r>
      <w:r w:rsidR="00B2656C">
        <w:t xml:space="preserve">inspire </w:t>
      </w:r>
      <w:r w:rsidR="00544597">
        <w:t>holistic market design</w:t>
      </w:r>
      <w:r w:rsidR="006420CC">
        <w:t xml:space="preserve"> that sends the same price signals to resources of all types</w:t>
      </w:r>
      <w:r w:rsidRPr="007071A3">
        <w:t>.</w:t>
      </w:r>
    </w:p>
    <w:p w14:paraId="7B514E70" w14:textId="1B17BA5F" w:rsidR="00066967" w:rsidRPr="007071A3" w:rsidRDefault="00066967" w:rsidP="00FE74C5">
      <w:pPr>
        <w:pStyle w:val="NormalArial"/>
        <w:numPr>
          <w:ilvl w:val="0"/>
          <w:numId w:val="6"/>
        </w:numPr>
        <w:spacing w:before="120" w:after="120"/>
        <w:jc w:val="both"/>
      </w:pPr>
      <w:r>
        <w:t>ERCOT claims</w:t>
      </w:r>
      <w:r w:rsidRPr="007071A3">
        <w:t xml:space="preserve"> </w:t>
      </w:r>
      <w:r w:rsidR="6BB02F64">
        <w:t xml:space="preserve">residential </w:t>
      </w:r>
      <w:r>
        <w:t>DR</w:t>
      </w:r>
      <w:r w:rsidRPr="007071A3">
        <w:t xml:space="preserve"> “represents an opportunity</w:t>
      </w:r>
      <w:r w:rsidR="009529A1">
        <w:t>,</w:t>
      </w:r>
      <w:r w:rsidRPr="007071A3">
        <w:t>”</w:t>
      </w:r>
      <w:r>
        <w:t xml:space="preserve"> but as currently </w:t>
      </w:r>
      <w:r w:rsidR="00AF5F2D">
        <w:t>proposed</w:t>
      </w:r>
      <w:r>
        <w:t xml:space="preserve">, it will </w:t>
      </w:r>
      <w:r w:rsidRPr="007071A3">
        <w:t xml:space="preserve">prioritize one resource class before defining </w:t>
      </w:r>
      <w:r w:rsidR="00BF738B">
        <w:t xml:space="preserve">a </w:t>
      </w:r>
      <w:r w:rsidRPr="007071A3">
        <w:t xml:space="preserve">system need </w:t>
      </w:r>
      <w:r w:rsidR="00BF738B">
        <w:t xml:space="preserve">for that </w:t>
      </w:r>
      <w:r w:rsidR="00140C30">
        <w:t xml:space="preserve">subsidy </w:t>
      </w:r>
      <w:r w:rsidRPr="007071A3">
        <w:t xml:space="preserve">and </w:t>
      </w:r>
      <w:r w:rsidR="00A92939">
        <w:t xml:space="preserve">abandons </w:t>
      </w:r>
      <w:r w:rsidR="00ED4AC5">
        <w:t xml:space="preserve">market </w:t>
      </w:r>
      <w:r w:rsidRPr="007071A3">
        <w:t>competition</w:t>
      </w:r>
      <w:r w:rsidR="00B333E1">
        <w:t xml:space="preserve"> as </w:t>
      </w:r>
      <w:r w:rsidR="00ED4AC5">
        <w:t>a coordinating feature</w:t>
      </w:r>
      <w:r w:rsidRPr="007071A3">
        <w:t>.</w:t>
      </w:r>
    </w:p>
    <w:p w14:paraId="793B264E" w14:textId="7855A1E7" w:rsidR="00066967" w:rsidRPr="007071A3" w:rsidRDefault="00EC67DB" w:rsidP="00FE74C5">
      <w:pPr>
        <w:pStyle w:val="NormalArial"/>
        <w:spacing w:before="120" w:after="120"/>
        <w:jc w:val="both"/>
        <w:rPr>
          <w:b/>
          <w:bCs/>
        </w:rPr>
      </w:pPr>
      <w:r>
        <w:rPr>
          <w:b/>
          <w:bCs/>
        </w:rPr>
        <w:t xml:space="preserve">Specific </w:t>
      </w:r>
      <w:r w:rsidR="00066967" w:rsidRPr="007071A3">
        <w:rPr>
          <w:b/>
          <w:bCs/>
        </w:rPr>
        <w:t xml:space="preserve">Program Design </w:t>
      </w:r>
      <w:r w:rsidR="00F9393F">
        <w:rPr>
          <w:b/>
          <w:bCs/>
        </w:rPr>
        <w:t>Issues</w:t>
      </w:r>
    </w:p>
    <w:p w14:paraId="6D3975D8" w14:textId="77777777" w:rsidR="00066967" w:rsidRDefault="00066967" w:rsidP="00FE74C5">
      <w:pPr>
        <w:pStyle w:val="NormalArial"/>
        <w:numPr>
          <w:ilvl w:val="0"/>
          <w:numId w:val="7"/>
        </w:numPr>
        <w:spacing w:before="120" w:after="120"/>
        <w:jc w:val="both"/>
      </w:pPr>
      <w:r w:rsidRPr="007071A3">
        <w:t xml:space="preserve">Ex-post net load evaluation is a dangerous </w:t>
      </w:r>
      <w:r>
        <w:t xml:space="preserve">market </w:t>
      </w:r>
      <w:r w:rsidRPr="007071A3">
        <w:t>distortion that undermines ERCOT’s reliance on scarcity pricing for investment signals.</w:t>
      </w:r>
    </w:p>
    <w:p w14:paraId="506AD4E1" w14:textId="0831217E" w:rsidR="00066967" w:rsidRDefault="00066967" w:rsidP="00FE74C5">
      <w:pPr>
        <w:pStyle w:val="NormalArial"/>
        <w:numPr>
          <w:ilvl w:val="0"/>
          <w:numId w:val="7"/>
        </w:numPr>
        <w:spacing w:before="120" w:after="120"/>
        <w:jc w:val="both"/>
      </w:pPr>
      <w:r w:rsidRPr="007071A3">
        <w:t>Payment at levels tied to Cost of New Entry (CONE)</w:t>
      </w:r>
      <w:r w:rsidR="006915F4">
        <w:rPr>
          <w:rStyle w:val="FootnoteReference"/>
        </w:rPr>
        <w:footnoteReference w:id="1"/>
      </w:r>
      <w:r w:rsidRPr="007071A3">
        <w:t xml:space="preserve"> </w:t>
      </w:r>
      <w:r w:rsidR="006915F4">
        <w:t xml:space="preserve">or the rolling average Peaker Net Margin (PNM) </w:t>
      </w:r>
      <w:r w:rsidRPr="007071A3">
        <w:t xml:space="preserve">for gas turbines would make </w:t>
      </w:r>
      <w:r w:rsidR="4ABACC41">
        <w:t xml:space="preserve">residential </w:t>
      </w:r>
      <w:r>
        <w:t>DR</w:t>
      </w:r>
      <w:r w:rsidRPr="007071A3">
        <w:t xml:space="preserve"> among the most expensive solutions, despite being less durable than new generation.</w:t>
      </w:r>
    </w:p>
    <w:p w14:paraId="2D75ADDB" w14:textId="5FDE9AF0" w:rsidR="00066967" w:rsidRDefault="00066967" w:rsidP="00FE74C5">
      <w:pPr>
        <w:pStyle w:val="NormalArial"/>
        <w:numPr>
          <w:ilvl w:val="0"/>
          <w:numId w:val="7"/>
        </w:numPr>
        <w:spacing w:before="120" w:after="120"/>
        <w:jc w:val="both"/>
      </w:pPr>
      <w:r>
        <w:t>Load ratio share cost recovery will not be competitively neutral and would represent a regressive wealth transfer amongst residential consumers</w:t>
      </w:r>
      <w:r w:rsidR="7D1DF770">
        <w:t xml:space="preserve">, </w:t>
      </w:r>
      <w:r w:rsidR="67FE4308">
        <w:t xml:space="preserve">effectively the customers from one REP </w:t>
      </w:r>
      <w:r w:rsidR="71A41F9A">
        <w:t>are</w:t>
      </w:r>
      <w:r w:rsidR="67FE4308">
        <w:t xml:space="preserve"> subsidized by customers of another REP</w:t>
      </w:r>
      <w:r w:rsidR="785766E3">
        <w:t>.</w:t>
      </w:r>
    </w:p>
    <w:p w14:paraId="169B768A" w14:textId="5AC5EB9F" w:rsidR="00066967" w:rsidRPr="007071A3" w:rsidRDefault="0198F6A0" w:rsidP="00FE74C5">
      <w:pPr>
        <w:pStyle w:val="NormalArial"/>
        <w:numPr>
          <w:ilvl w:val="0"/>
          <w:numId w:val="7"/>
        </w:numPr>
        <w:spacing w:before="120" w:after="120"/>
        <w:jc w:val="both"/>
      </w:pPr>
      <w:r>
        <w:t xml:space="preserve">Unfair cost allocation issues are exacerbated by </w:t>
      </w:r>
      <w:r w:rsidR="03D26712">
        <w:t>c</w:t>
      </w:r>
      <w:r w:rsidR="00066967">
        <w:t xml:space="preserve">ontractual and technological exclusivities </w:t>
      </w:r>
      <w:r w:rsidR="4B3DA407">
        <w:t xml:space="preserve">that </w:t>
      </w:r>
      <w:r w:rsidR="00066967">
        <w:t xml:space="preserve">currently exist </w:t>
      </w:r>
      <w:r w:rsidR="36C72692">
        <w:t>and</w:t>
      </w:r>
      <w:r w:rsidR="00066967">
        <w:t xml:space="preserve"> act as “walled gardens” that will concentrate </w:t>
      </w:r>
      <w:r w:rsidR="24879E15">
        <w:t xml:space="preserve">residential </w:t>
      </w:r>
      <w:r w:rsidR="00066967">
        <w:t>DR payments and force some REPs (and NOIEs) to subsidize their competitors</w:t>
      </w:r>
      <w:r w:rsidR="7DC3A249">
        <w:t xml:space="preserve"> (this “walled garden effect” is an issue that the ADER Task Force spent some time trying to reconcile as well).</w:t>
      </w:r>
    </w:p>
    <w:p w14:paraId="651F46A6" w14:textId="75ED154A" w:rsidR="00066967" w:rsidRDefault="00066967" w:rsidP="00FE74C5">
      <w:pPr>
        <w:pStyle w:val="NormalArial"/>
        <w:numPr>
          <w:ilvl w:val="0"/>
          <w:numId w:val="7"/>
        </w:numPr>
        <w:spacing w:before="120" w:after="120"/>
        <w:jc w:val="both"/>
      </w:pPr>
      <w:r>
        <w:t>Risk of</w:t>
      </w:r>
      <w:r w:rsidRPr="007071A3">
        <w:t xml:space="preserve"> over-deployment by REPs leading to customer fatigue</w:t>
      </w:r>
      <w:r w:rsidRPr="00B91AD8">
        <w:t xml:space="preserve"> </w:t>
      </w:r>
      <w:r>
        <w:t xml:space="preserve">and opt-out dynamics that could </w:t>
      </w:r>
      <w:r w:rsidR="00043774">
        <w:t xml:space="preserve">reduce </w:t>
      </w:r>
      <w:r>
        <w:t xml:space="preserve">customer willingness to participate in DR during </w:t>
      </w:r>
      <w:proofErr w:type="gramStart"/>
      <w:r>
        <w:t>actually tight</w:t>
      </w:r>
      <w:proofErr w:type="gramEnd"/>
      <w:r>
        <w:t xml:space="preserve"> grid conditions.</w:t>
      </w:r>
    </w:p>
    <w:p w14:paraId="4C928C15" w14:textId="1D0E0AA3" w:rsidR="00066967" w:rsidRDefault="00066967" w:rsidP="00FE74C5">
      <w:pPr>
        <w:pStyle w:val="NormalArial"/>
        <w:numPr>
          <w:ilvl w:val="0"/>
          <w:numId w:val="7"/>
        </w:numPr>
        <w:spacing w:before="120" w:after="120"/>
        <w:jc w:val="both"/>
      </w:pPr>
      <w:r>
        <w:t xml:space="preserve">The 500 MW </w:t>
      </w:r>
      <w:r w:rsidR="00D46728">
        <w:t>“</w:t>
      </w:r>
      <w:r>
        <w:t>cap</w:t>
      </w:r>
      <w:r w:rsidR="00D46728">
        <w:t>”</w:t>
      </w:r>
      <w:r>
        <w:t xml:space="preserve"> is not a safeguard against the risk of damage to the ERCOT market.</w:t>
      </w:r>
      <w:r w:rsidR="00D46728">
        <w:t xml:space="preserve"> </w:t>
      </w:r>
      <w:r w:rsidR="00EB28E5">
        <w:t xml:space="preserve">Rather, </w:t>
      </w:r>
      <w:r w:rsidR="009D4B11">
        <w:t xml:space="preserve">the practical effect of NPRR1296’s structure is that it could easily support a much larger swathe of market-distorting demand response signals – </w:t>
      </w:r>
      <w:r w:rsidR="009D4B11">
        <w:lastRenderedPageBreak/>
        <w:t xml:space="preserve">simply at a lower price point while spreading the overall </w:t>
      </w:r>
      <w:r w:rsidR="00C63F25">
        <w:t xml:space="preserve">cost cap across a wider pool of subsidized responses. </w:t>
      </w:r>
    </w:p>
    <w:p w14:paraId="6E724144" w14:textId="6C542EB0" w:rsidR="00BD7258" w:rsidRDefault="00066967" w:rsidP="00FE74C5">
      <w:pPr>
        <w:pStyle w:val="NormalArial"/>
        <w:spacing w:before="120" w:after="120"/>
        <w:jc w:val="both"/>
      </w:pPr>
      <w:r w:rsidRPr="00593CDF">
        <w:t xml:space="preserve">Vistra concludes that ERCOT’s proposal </w:t>
      </w:r>
      <w:r w:rsidR="00B52D48">
        <w:t xml:space="preserve">in NPRR1296 </w:t>
      </w:r>
      <w:r w:rsidRPr="00593CDF">
        <w:t xml:space="preserve">is </w:t>
      </w:r>
      <w:r w:rsidRPr="00593CDF">
        <w:rPr>
          <w:b/>
          <w:bCs/>
        </w:rPr>
        <w:t>misaligned</w:t>
      </w:r>
      <w:r w:rsidR="00E122D6">
        <w:rPr>
          <w:b/>
          <w:bCs/>
        </w:rPr>
        <w:t xml:space="preserve"> with the energy-only market structure </w:t>
      </w:r>
      <w:r w:rsidRPr="00593CDF">
        <w:rPr>
          <w:b/>
          <w:bCs/>
        </w:rPr>
        <w:t>and distortive</w:t>
      </w:r>
      <w:r w:rsidRPr="00593CDF">
        <w:t xml:space="preserve">, and if pursued as designed, will undermine Texas’ ability </w:t>
      </w:r>
      <w:r w:rsidR="002C7F62">
        <w:t xml:space="preserve">to meet its reliability </w:t>
      </w:r>
      <w:r w:rsidR="006B5C43">
        <w:t>standard</w:t>
      </w:r>
      <w:r w:rsidRPr="00593CDF">
        <w:t xml:space="preserve"> by discouraging investment in dispatchable generation</w:t>
      </w:r>
      <w:r w:rsidR="006B5C43">
        <w:t>, all else equal</w:t>
      </w:r>
      <w:r w:rsidRPr="00593CDF">
        <w:t>.</w:t>
      </w:r>
      <w:r>
        <w:t xml:space="preserve"> </w:t>
      </w:r>
      <w:r w:rsidR="003F43A7">
        <w:t>For the reasons outlined directly and indirectly above, Vistra recommends that NPRR1296 be withdrawn</w:t>
      </w:r>
      <w:r w:rsidR="004465FE">
        <w:t xml:space="preserve"> and efforts to support residential DR be </w:t>
      </w:r>
      <w:r w:rsidR="00A13B3C">
        <w:t xml:space="preserve">redirected towards a holistic market design that addresses inadequate </w:t>
      </w:r>
      <w:r w:rsidR="00690D6D">
        <w:t xml:space="preserve">pricing signals for both residential DR and generation resources (or at the very least, does not </w:t>
      </w:r>
      <w:r w:rsidR="00A660ED">
        <w:t>subsidize residential DR in a manner that</w:t>
      </w:r>
      <w:r w:rsidR="002374F2">
        <w:t xml:space="preserve"> </w:t>
      </w:r>
      <w:r w:rsidR="00E05046">
        <w:t>distorts the wholesale market)</w:t>
      </w:r>
      <w:r w:rsidR="003F43A7">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2F05" w14:paraId="731DBE3B" w14:textId="77777777" w:rsidTr="00B5080A">
        <w:trPr>
          <w:trHeight w:val="350"/>
        </w:trPr>
        <w:tc>
          <w:tcPr>
            <w:tcW w:w="10440" w:type="dxa"/>
            <w:tcBorders>
              <w:bottom w:val="single" w:sz="4" w:space="0" w:color="auto"/>
            </w:tcBorders>
            <w:shd w:val="clear" w:color="auto" w:fill="FFFFFF"/>
            <w:vAlign w:val="center"/>
          </w:tcPr>
          <w:p w14:paraId="303EC524" w14:textId="77777777" w:rsidR="00BD7258" w:rsidRDefault="00BD7258" w:rsidP="00B5080A">
            <w:pPr>
              <w:pStyle w:val="Header"/>
              <w:jc w:val="center"/>
            </w:pPr>
            <w:r>
              <w:t>Revised Cover Page Language</w:t>
            </w:r>
          </w:p>
        </w:tc>
      </w:tr>
    </w:tbl>
    <w:p w14:paraId="19B2F80D" w14:textId="529CFA49" w:rsidR="00BD7258" w:rsidRDefault="00FE74C5" w:rsidP="00FE74C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2F05" w14:paraId="7564DCA4" w14:textId="77777777">
        <w:trPr>
          <w:trHeight w:val="350"/>
        </w:trPr>
        <w:tc>
          <w:tcPr>
            <w:tcW w:w="10440" w:type="dxa"/>
            <w:tcBorders>
              <w:bottom w:val="single" w:sz="4" w:space="0" w:color="auto"/>
            </w:tcBorders>
            <w:shd w:val="clear" w:color="auto" w:fill="FFFFFF"/>
            <w:vAlign w:val="center"/>
          </w:tcPr>
          <w:p w14:paraId="01E2D07C" w14:textId="77777777" w:rsidR="00152993" w:rsidRDefault="00152993">
            <w:pPr>
              <w:pStyle w:val="Header"/>
              <w:jc w:val="center"/>
            </w:pPr>
            <w:r>
              <w:t>Revised Proposed Protocol Language</w:t>
            </w:r>
          </w:p>
        </w:tc>
      </w:tr>
    </w:tbl>
    <w:p w14:paraId="50F85313" w14:textId="6D1F12B6" w:rsidR="00152993" w:rsidRPr="00FE74C5" w:rsidRDefault="00FE74C5" w:rsidP="00FE74C5">
      <w:pPr>
        <w:pStyle w:val="NormalArial"/>
        <w:spacing w:before="120" w:after="120"/>
      </w:pPr>
      <w:r>
        <w:t>None</w:t>
      </w:r>
    </w:p>
    <w:sectPr w:rsidR="00152993" w:rsidRPr="00FE74C5"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FCC4" w14:textId="77777777" w:rsidR="00474FA4" w:rsidRDefault="00474FA4">
      <w:r>
        <w:separator/>
      </w:r>
    </w:p>
  </w:endnote>
  <w:endnote w:type="continuationSeparator" w:id="0">
    <w:p w14:paraId="362C8F65" w14:textId="77777777" w:rsidR="00474FA4" w:rsidRDefault="0047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74E4" w14:textId="09009773"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E74C5">
      <w:rPr>
        <w:rFonts w:ascii="Arial" w:hAnsi="Arial"/>
        <w:noProof/>
        <w:sz w:val="18"/>
      </w:rPr>
      <w:t>1296NPRR-03 Vistra Comments 091025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A7936F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08162" w14:textId="77777777" w:rsidR="00474FA4" w:rsidRDefault="00474FA4">
      <w:r>
        <w:separator/>
      </w:r>
    </w:p>
  </w:footnote>
  <w:footnote w:type="continuationSeparator" w:id="0">
    <w:p w14:paraId="1261FD57" w14:textId="77777777" w:rsidR="00474FA4" w:rsidRDefault="00474FA4">
      <w:r>
        <w:continuationSeparator/>
      </w:r>
    </w:p>
  </w:footnote>
  <w:footnote w:id="1">
    <w:p w14:paraId="522C187E" w14:textId="34F4E638" w:rsidR="006915F4" w:rsidRPr="00676E12" w:rsidRDefault="006915F4">
      <w:pPr>
        <w:pStyle w:val="FootnoteText"/>
        <w:rPr>
          <w:rFonts w:ascii="Arial" w:hAnsi="Arial" w:cs="Arial"/>
        </w:rPr>
      </w:pPr>
      <w:r w:rsidRPr="00676E12">
        <w:rPr>
          <w:rStyle w:val="FootnoteReference"/>
          <w:rFonts w:ascii="Arial" w:hAnsi="Arial" w:cs="Arial"/>
        </w:rPr>
        <w:footnoteRef/>
      </w:r>
      <w:r w:rsidRPr="00676E12">
        <w:rPr>
          <w:rFonts w:ascii="Arial" w:hAnsi="Arial" w:cs="Arial"/>
        </w:rPr>
        <w:t xml:space="preserve"> Note: NPRR1296</w:t>
      </w:r>
      <w:r w:rsidR="00C94C06" w:rsidRPr="00676E12">
        <w:rPr>
          <w:rFonts w:ascii="Arial" w:hAnsi="Arial" w:cs="Arial"/>
        </w:rPr>
        <w:t xml:space="preserve"> </w:t>
      </w:r>
      <w:r w:rsidR="00521D0F" w:rsidRPr="00676E12">
        <w:rPr>
          <w:rFonts w:ascii="Arial" w:hAnsi="Arial" w:cs="Arial"/>
        </w:rPr>
        <w:t xml:space="preserve">does not refer to </w:t>
      </w:r>
      <w:r w:rsidR="00553878" w:rsidRPr="00676E12">
        <w:rPr>
          <w:rFonts w:ascii="Arial" w:hAnsi="Arial" w:cs="Arial"/>
        </w:rPr>
        <w:t>CONE directly, but rather sets an “Initial Residential Demand Response Rate” o</w:t>
      </w:r>
      <w:r w:rsidR="00B63A11" w:rsidRPr="00676E12">
        <w:rPr>
          <w:rFonts w:ascii="Arial" w:hAnsi="Arial" w:cs="Arial"/>
        </w:rPr>
        <w:t>f $140,000</w:t>
      </w:r>
      <w:r w:rsidR="00A0348E" w:rsidRPr="00676E12">
        <w:rPr>
          <w:rFonts w:ascii="Arial" w:hAnsi="Arial" w:cs="Arial"/>
        </w:rPr>
        <w:t xml:space="preserve"> per MW-year</w:t>
      </w:r>
      <w:r w:rsidR="00977BB6" w:rsidRPr="00676E12">
        <w:rPr>
          <w:rFonts w:ascii="Arial" w:hAnsi="Arial" w:cs="Arial"/>
        </w:rPr>
        <w:t xml:space="preserve">; from ERCOT’s presentations at the May and June 2025 workshops, however, </w:t>
      </w:r>
      <w:r w:rsidR="003E1FA7" w:rsidRPr="00676E12">
        <w:rPr>
          <w:rFonts w:ascii="Arial" w:hAnsi="Arial" w:cs="Arial"/>
        </w:rPr>
        <w:t>it is clear that th</w:t>
      </w:r>
      <w:r w:rsidR="00171A62" w:rsidRPr="00676E12">
        <w:rPr>
          <w:rFonts w:ascii="Arial" w:hAnsi="Arial" w:cs="Arial"/>
        </w:rPr>
        <w:t>at value is anchored to the estimated gas turbine CONE approved by the PUCT in 2024.</w:t>
      </w:r>
      <w:r w:rsidR="0023139D" w:rsidRPr="00676E12">
        <w:rPr>
          <w:rFonts w:ascii="Arial" w:hAnsi="Arial" w:cs="Arial"/>
        </w:rPr>
        <w:t xml:space="preserve"> See, for example slide 16 of </w:t>
      </w:r>
      <w:r w:rsidR="00152B5B" w:rsidRPr="00676E12">
        <w:rPr>
          <w:rFonts w:ascii="Arial" w:hAnsi="Arial" w:cs="Arial"/>
        </w:rPr>
        <w:t xml:space="preserve">ERCOT’s presentation materials from the June </w:t>
      </w:r>
      <w:r w:rsidR="004026C2" w:rsidRPr="00676E12">
        <w:rPr>
          <w:rFonts w:ascii="Arial" w:hAnsi="Arial" w:cs="Arial"/>
        </w:rPr>
        <w:t>2025 workshop (</w:t>
      </w:r>
      <w:hyperlink r:id="rId1" w:history="1">
        <w:r w:rsidR="004026C2" w:rsidRPr="00676E12">
          <w:rPr>
            <w:rStyle w:val="Hyperlink"/>
            <w:rFonts w:ascii="Arial" w:hAnsi="Arial" w:cs="Arial"/>
          </w:rPr>
          <w:t>https://www.ercot.com/files/docs/2025/06/10/Residential-DR-Workshop-II-Updated.pdf</w:t>
        </w:r>
      </w:hyperlink>
      <w:r w:rsidR="004026C2" w:rsidRPr="00676E1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A9F9" w14:textId="77777777" w:rsidR="00EE6681" w:rsidRDefault="00EE6681">
    <w:pPr>
      <w:pStyle w:val="Header"/>
      <w:jc w:val="center"/>
      <w:rPr>
        <w:sz w:val="32"/>
      </w:rPr>
    </w:pPr>
    <w:r>
      <w:rPr>
        <w:sz w:val="32"/>
      </w:rPr>
      <w:t>NPRR Comments</w:t>
    </w:r>
  </w:p>
  <w:p w14:paraId="7B379AC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D82883"/>
    <w:multiLevelType w:val="hybridMultilevel"/>
    <w:tmpl w:val="EE4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771E7"/>
    <w:multiLevelType w:val="hybridMultilevel"/>
    <w:tmpl w:val="07C0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D1323"/>
    <w:multiLevelType w:val="hybridMultilevel"/>
    <w:tmpl w:val="7DD6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D711D"/>
    <w:multiLevelType w:val="hybridMultilevel"/>
    <w:tmpl w:val="6F70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E4439"/>
    <w:multiLevelType w:val="hybridMultilevel"/>
    <w:tmpl w:val="EB6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89690645">
    <w:abstractNumId w:val="0"/>
  </w:num>
  <w:num w:numId="2" w16cid:durableId="816726522">
    <w:abstractNumId w:val="6"/>
  </w:num>
  <w:num w:numId="3" w16cid:durableId="127631241">
    <w:abstractNumId w:val="1"/>
  </w:num>
  <w:num w:numId="4" w16cid:durableId="289895306">
    <w:abstractNumId w:val="5"/>
  </w:num>
  <w:num w:numId="5" w16cid:durableId="284316438">
    <w:abstractNumId w:val="3"/>
  </w:num>
  <w:num w:numId="6" w16cid:durableId="1936858825">
    <w:abstractNumId w:val="2"/>
  </w:num>
  <w:num w:numId="7" w16cid:durableId="1640071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F97"/>
    <w:rsid w:val="00010C43"/>
    <w:rsid w:val="00017E33"/>
    <w:rsid w:val="00033641"/>
    <w:rsid w:val="00036A54"/>
    <w:rsid w:val="00037668"/>
    <w:rsid w:val="00043774"/>
    <w:rsid w:val="00060FFD"/>
    <w:rsid w:val="00066967"/>
    <w:rsid w:val="00075A94"/>
    <w:rsid w:val="00075EAE"/>
    <w:rsid w:val="00080446"/>
    <w:rsid w:val="0009292D"/>
    <w:rsid w:val="000A3FB8"/>
    <w:rsid w:val="000B2021"/>
    <w:rsid w:val="000B432D"/>
    <w:rsid w:val="000C08C0"/>
    <w:rsid w:val="000C0E89"/>
    <w:rsid w:val="000C7A03"/>
    <w:rsid w:val="000D357D"/>
    <w:rsid w:val="000E2264"/>
    <w:rsid w:val="000F3CC7"/>
    <w:rsid w:val="00101A02"/>
    <w:rsid w:val="001135DB"/>
    <w:rsid w:val="00113D77"/>
    <w:rsid w:val="001160C1"/>
    <w:rsid w:val="00132855"/>
    <w:rsid w:val="00133B5A"/>
    <w:rsid w:val="001344AA"/>
    <w:rsid w:val="00140C30"/>
    <w:rsid w:val="00152993"/>
    <w:rsid w:val="00152B5B"/>
    <w:rsid w:val="001544D5"/>
    <w:rsid w:val="00160A8A"/>
    <w:rsid w:val="00170297"/>
    <w:rsid w:val="00170AD7"/>
    <w:rsid w:val="00171A62"/>
    <w:rsid w:val="00181548"/>
    <w:rsid w:val="00181847"/>
    <w:rsid w:val="0019307D"/>
    <w:rsid w:val="001A0F37"/>
    <w:rsid w:val="001A227D"/>
    <w:rsid w:val="001A309A"/>
    <w:rsid w:val="001A42F4"/>
    <w:rsid w:val="001B1782"/>
    <w:rsid w:val="001B56AB"/>
    <w:rsid w:val="001B5EA8"/>
    <w:rsid w:val="001B6D4C"/>
    <w:rsid w:val="001D5D55"/>
    <w:rsid w:val="001D6E43"/>
    <w:rsid w:val="001E14AA"/>
    <w:rsid w:val="001E2032"/>
    <w:rsid w:val="002126AB"/>
    <w:rsid w:val="002236D3"/>
    <w:rsid w:val="0023139D"/>
    <w:rsid w:val="00235DAE"/>
    <w:rsid w:val="002374F2"/>
    <w:rsid w:val="00252AED"/>
    <w:rsid w:val="00252BCC"/>
    <w:rsid w:val="002854DD"/>
    <w:rsid w:val="002A1A2C"/>
    <w:rsid w:val="002A38A9"/>
    <w:rsid w:val="002C134C"/>
    <w:rsid w:val="002C6967"/>
    <w:rsid w:val="002C7F62"/>
    <w:rsid w:val="002D1780"/>
    <w:rsid w:val="002E2631"/>
    <w:rsid w:val="00300579"/>
    <w:rsid w:val="003010C0"/>
    <w:rsid w:val="00307E2F"/>
    <w:rsid w:val="00322671"/>
    <w:rsid w:val="0032795A"/>
    <w:rsid w:val="00332A97"/>
    <w:rsid w:val="00350C00"/>
    <w:rsid w:val="003552CE"/>
    <w:rsid w:val="00366113"/>
    <w:rsid w:val="003752FA"/>
    <w:rsid w:val="00377C01"/>
    <w:rsid w:val="00382376"/>
    <w:rsid w:val="00386D5F"/>
    <w:rsid w:val="003A5E8B"/>
    <w:rsid w:val="003B2C10"/>
    <w:rsid w:val="003C14D8"/>
    <w:rsid w:val="003C270C"/>
    <w:rsid w:val="003D0994"/>
    <w:rsid w:val="003D4A62"/>
    <w:rsid w:val="003E1FA7"/>
    <w:rsid w:val="003E22F8"/>
    <w:rsid w:val="003F43A7"/>
    <w:rsid w:val="0040116F"/>
    <w:rsid w:val="004026C2"/>
    <w:rsid w:val="0040495D"/>
    <w:rsid w:val="00414B36"/>
    <w:rsid w:val="00423824"/>
    <w:rsid w:val="0042419E"/>
    <w:rsid w:val="00430A9F"/>
    <w:rsid w:val="004340FF"/>
    <w:rsid w:val="0043567D"/>
    <w:rsid w:val="00435DE3"/>
    <w:rsid w:val="00445ED2"/>
    <w:rsid w:val="004465FE"/>
    <w:rsid w:val="004738B3"/>
    <w:rsid w:val="00474FA4"/>
    <w:rsid w:val="004758DD"/>
    <w:rsid w:val="00481251"/>
    <w:rsid w:val="00494892"/>
    <w:rsid w:val="00494DE2"/>
    <w:rsid w:val="004A075F"/>
    <w:rsid w:val="004A3111"/>
    <w:rsid w:val="004B01E3"/>
    <w:rsid w:val="004B0378"/>
    <w:rsid w:val="004B0C89"/>
    <w:rsid w:val="004B5696"/>
    <w:rsid w:val="004B5CF5"/>
    <w:rsid w:val="004B7B90"/>
    <w:rsid w:val="004C21D5"/>
    <w:rsid w:val="004D6728"/>
    <w:rsid w:val="004E2C19"/>
    <w:rsid w:val="004F1926"/>
    <w:rsid w:val="004F2199"/>
    <w:rsid w:val="004F373F"/>
    <w:rsid w:val="005114FB"/>
    <w:rsid w:val="00512242"/>
    <w:rsid w:val="005149C9"/>
    <w:rsid w:val="00514C68"/>
    <w:rsid w:val="00521D0F"/>
    <w:rsid w:val="005251D1"/>
    <w:rsid w:val="0053531B"/>
    <w:rsid w:val="00536CB7"/>
    <w:rsid w:val="00540199"/>
    <w:rsid w:val="00544074"/>
    <w:rsid w:val="0054440C"/>
    <w:rsid w:val="00544597"/>
    <w:rsid w:val="00553878"/>
    <w:rsid w:val="005547C0"/>
    <w:rsid w:val="00556D12"/>
    <w:rsid w:val="00561CF8"/>
    <w:rsid w:val="00570F50"/>
    <w:rsid w:val="00571A92"/>
    <w:rsid w:val="00575B5B"/>
    <w:rsid w:val="00577033"/>
    <w:rsid w:val="005B61C4"/>
    <w:rsid w:val="005B7637"/>
    <w:rsid w:val="005C0E6B"/>
    <w:rsid w:val="005D284C"/>
    <w:rsid w:val="005D6651"/>
    <w:rsid w:val="005D7338"/>
    <w:rsid w:val="005F05C7"/>
    <w:rsid w:val="005F4638"/>
    <w:rsid w:val="005F520D"/>
    <w:rsid w:val="0060116E"/>
    <w:rsid w:val="00601996"/>
    <w:rsid w:val="00604512"/>
    <w:rsid w:val="006045D4"/>
    <w:rsid w:val="0062036D"/>
    <w:rsid w:val="00630082"/>
    <w:rsid w:val="00631A94"/>
    <w:rsid w:val="00633E23"/>
    <w:rsid w:val="006420CC"/>
    <w:rsid w:val="0064706D"/>
    <w:rsid w:val="00652075"/>
    <w:rsid w:val="006635A0"/>
    <w:rsid w:val="00666216"/>
    <w:rsid w:val="00670C43"/>
    <w:rsid w:val="00671AD3"/>
    <w:rsid w:val="00673B94"/>
    <w:rsid w:val="00676E12"/>
    <w:rsid w:val="00680AC6"/>
    <w:rsid w:val="006835D8"/>
    <w:rsid w:val="00690D6D"/>
    <w:rsid w:val="006915F4"/>
    <w:rsid w:val="006A297F"/>
    <w:rsid w:val="006B129F"/>
    <w:rsid w:val="006B5C43"/>
    <w:rsid w:val="006C316E"/>
    <w:rsid w:val="006C6FB9"/>
    <w:rsid w:val="006D0F7C"/>
    <w:rsid w:val="006D3BF8"/>
    <w:rsid w:val="006D42A4"/>
    <w:rsid w:val="006D6B2E"/>
    <w:rsid w:val="006F18C1"/>
    <w:rsid w:val="0071596F"/>
    <w:rsid w:val="007269C4"/>
    <w:rsid w:val="00734A1D"/>
    <w:rsid w:val="00735CC0"/>
    <w:rsid w:val="007417FD"/>
    <w:rsid w:val="0074209E"/>
    <w:rsid w:val="0075424E"/>
    <w:rsid w:val="00754E7E"/>
    <w:rsid w:val="00761366"/>
    <w:rsid w:val="00763C3E"/>
    <w:rsid w:val="007647A1"/>
    <w:rsid w:val="00765F15"/>
    <w:rsid w:val="00771350"/>
    <w:rsid w:val="00774582"/>
    <w:rsid w:val="00782DA5"/>
    <w:rsid w:val="00784E9A"/>
    <w:rsid w:val="0078675B"/>
    <w:rsid w:val="007A078E"/>
    <w:rsid w:val="007AC694"/>
    <w:rsid w:val="007B157F"/>
    <w:rsid w:val="007C7D4B"/>
    <w:rsid w:val="007D1EE3"/>
    <w:rsid w:val="007E0442"/>
    <w:rsid w:val="007E39CE"/>
    <w:rsid w:val="007F2CA8"/>
    <w:rsid w:val="007F7161"/>
    <w:rsid w:val="00800FB6"/>
    <w:rsid w:val="00802950"/>
    <w:rsid w:val="00817E58"/>
    <w:rsid w:val="0082186D"/>
    <w:rsid w:val="00822B22"/>
    <w:rsid w:val="00850878"/>
    <w:rsid w:val="00852DB8"/>
    <w:rsid w:val="00853F96"/>
    <w:rsid w:val="0085559E"/>
    <w:rsid w:val="00860335"/>
    <w:rsid w:val="008606A5"/>
    <w:rsid w:val="00862961"/>
    <w:rsid w:val="00871CFA"/>
    <w:rsid w:val="008809E9"/>
    <w:rsid w:val="0088453C"/>
    <w:rsid w:val="008940E4"/>
    <w:rsid w:val="00896B1B"/>
    <w:rsid w:val="00896F51"/>
    <w:rsid w:val="008A0D5F"/>
    <w:rsid w:val="008D3949"/>
    <w:rsid w:val="008E559E"/>
    <w:rsid w:val="00900948"/>
    <w:rsid w:val="00902250"/>
    <w:rsid w:val="0090236D"/>
    <w:rsid w:val="00916080"/>
    <w:rsid w:val="0091732D"/>
    <w:rsid w:val="00921A68"/>
    <w:rsid w:val="0092459F"/>
    <w:rsid w:val="009330E3"/>
    <w:rsid w:val="00936C23"/>
    <w:rsid w:val="009529A1"/>
    <w:rsid w:val="0095516F"/>
    <w:rsid w:val="009569D8"/>
    <w:rsid w:val="00977BB6"/>
    <w:rsid w:val="00993576"/>
    <w:rsid w:val="00993A66"/>
    <w:rsid w:val="0099515D"/>
    <w:rsid w:val="009A26A2"/>
    <w:rsid w:val="009B2981"/>
    <w:rsid w:val="009B5D9C"/>
    <w:rsid w:val="009C3744"/>
    <w:rsid w:val="009C5C71"/>
    <w:rsid w:val="009C7A96"/>
    <w:rsid w:val="009D4B11"/>
    <w:rsid w:val="009E69E0"/>
    <w:rsid w:val="009F3277"/>
    <w:rsid w:val="00A015C4"/>
    <w:rsid w:val="00A0348E"/>
    <w:rsid w:val="00A13B3C"/>
    <w:rsid w:val="00A15172"/>
    <w:rsid w:val="00A15D96"/>
    <w:rsid w:val="00A20E1B"/>
    <w:rsid w:val="00A265D7"/>
    <w:rsid w:val="00A313E1"/>
    <w:rsid w:val="00A4033A"/>
    <w:rsid w:val="00A46DA0"/>
    <w:rsid w:val="00A4750A"/>
    <w:rsid w:val="00A53513"/>
    <w:rsid w:val="00A660ED"/>
    <w:rsid w:val="00A67F93"/>
    <w:rsid w:val="00A72C4C"/>
    <w:rsid w:val="00A81467"/>
    <w:rsid w:val="00A82BE4"/>
    <w:rsid w:val="00A83E93"/>
    <w:rsid w:val="00A90531"/>
    <w:rsid w:val="00A91458"/>
    <w:rsid w:val="00A92939"/>
    <w:rsid w:val="00A97289"/>
    <w:rsid w:val="00AA1519"/>
    <w:rsid w:val="00AB1B38"/>
    <w:rsid w:val="00AC0E53"/>
    <w:rsid w:val="00AD07F7"/>
    <w:rsid w:val="00AD25B4"/>
    <w:rsid w:val="00AE60A7"/>
    <w:rsid w:val="00AE68E6"/>
    <w:rsid w:val="00AF32D3"/>
    <w:rsid w:val="00AF5F2D"/>
    <w:rsid w:val="00AF6D4B"/>
    <w:rsid w:val="00B101FF"/>
    <w:rsid w:val="00B13BF6"/>
    <w:rsid w:val="00B14355"/>
    <w:rsid w:val="00B2656C"/>
    <w:rsid w:val="00B30261"/>
    <w:rsid w:val="00B333E1"/>
    <w:rsid w:val="00B36BE1"/>
    <w:rsid w:val="00B5050B"/>
    <w:rsid w:val="00B5080A"/>
    <w:rsid w:val="00B51B57"/>
    <w:rsid w:val="00B52D48"/>
    <w:rsid w:val="00B63A11"/>
    <w:rsid w:val="00B763F6"/>
    <w:rsid w:val="00B84EB6"/>
    <w:rsid w:val="00B86588"/>
    <w:rsid w:val="00B943AE"/>
    <w:rsid w:val="00BA39B6"/>
    <w:rsid w:val="00BB170E"/>
    <w:rsid w:val="00BB5899"/>
    <w:rsid w:val="00BB68A0"/>
    <w:rsid w:val="00BC0553"/>
    <w:rsid w:val="00BC7DAA"/>
    <w:rsid w:val="00BD26EE"/>
    <w:rsid w:val="00BD2E7A"/>
    <w:rsid w:val="00BD7258"/>
    <w:rsid w:val="00BF06A6"/>
    <w:rsid w:val="00BF4641"/>
    <w:rsid w:val="00BF53CE"/>
    <w:rsid w:val="00BF694B"/>
    <w:rsid w:val="00BF738B"/>
    <w:rsid w:val="00C00FF7"/>
    <w:rsid w:val="00C03B73"/>
    <w:rsid w:val="00C0598D"/>
    <w:rsid w:val="00C10A42"/>
    <w:rsid w:val="00C11956"/>
    <w:rsid w:val="00C12894"/>
    <w:rsid w:val="00C23A4F"/>
    <w:rsid w:val="00C54206"/>
    <w:rsid w:val="00C602E5"/>
    <w:rsid w:val="00C63F25"/>
    <w:rsid w:val="00C64428"/>
    <w:rsid w:val="00C748FD"/>
    <w:rsid w:val="00C76A56"/>
    <w:rsid w:val="00C80DA1"/>
    <w:rsid w:val="00C8226F"/>
    <w:rsid w:val="00C82F05"/>
    <w:rsid w:val="00C8454D"/>
    <w:rsid w:val="00C94C06"/>
    <w:rsid w:val="00CC3DFC"/>
    <w:rsid w:val="00CC7815"/>
    <w:rsid w:val="00CD60D1"/>
    <w:rsid w:val="00CE04B2"/>
    <w:rsid w:val="00CE5764"/>
    <w:rsid w:val="00CF0154"/>
    <w:rsid w:val="00D02325"/>
    <w:rsid w:val="00D211F0"/>
    <w:rsid w:val="00D26414"/>
    <w:rsid w:val="00D30BE0"/>
    <w:rsid w:val="00D312B9"/>
    <w:rsid w:val="00D340BF"/>
    <w:rsid w:val="00D4046E"/>
    <w:rsid w:val="00D420FD"/>
    <w:rsid w:val="00D4362F"/>
    <w:rsid w:val="00D46728"/>
    <w:rsid w:val="00D46D82"/>
    <w:rsid w:val="00D5666E"/>
    <w:rsid w:val="00D57DA4"/>
    <w:rsid w:val="00D62708"/>
    <w:rsid w:val="00D67B3B"/>
    <w:rsid w:val="00D77275"/>
    <w:rsid w:val="00D84CAF"/>
    <w:rsid w:val="00D90072"/>
    <w:rsid w:val="00D9574D"/>
    <w:rsid w:val="00DA2C98"/>
    <w:rsid w:val="00DA732F"/>
    <w:rsid w:val="00DB52C5"/>
    <w:rsid w:val="00DC6728"/>
    <w:rsid w:val="00DD46D9"/>
    <w:rsid w:val="00DD4739"/>
    <w:rsid w:val="00DD49CE"/>
    <w:rsid w:val="00DE224D"/>
    <w:rsid w:val="00DE5F33"/>
    <w:rsid w:val="00E05046"/>
    <w:rsid w:val="00E07A1F"/>
    <w:rsid w:val="00E07B54"/>
    <w:rsid w:val="00E11F78"/>
    <w:rsid w:val="00E122D6"/>
    <w:rsid w:val="00E1246E"/>
    <w:rsid w:val="00E13B52"/>
    <w:rsid w:val="00E13B81"/>
    <w:rsid w:val="00E14EA3"/>
    <w:rsid w:val="00E23E77"/>
    <w:rsid w:val="00E376FF"/>
    <w:rsid w:val="00E50CD2"/>
    <w:rsid w:val="00E5230A"/>
    <w:rsid w:val="00E56DC9"/>
    <w:rsid w:val="00E62174"/>
    <w:rsid w:val="00E621E1"/>
    <w:rsid w:val="00E626A8"/>
    <w:rsid w:val="00E63867"/>
    <w:rsid w:val="00E64F6A"/>
    <w:rsid w:val="00E6790C"/>
    <w:rsid w:val="00E71FDC"/>
    <w:rsid w:val="00E821DA"/>
    <w:rsid w:val="00E8283A"/>
    <w:rsid w:val="00E93AC2"/>
    <w:rsid w:val="00E977C2"/>
    <w:rsid w:val="00EA497E"/>
    <w:rsid w:val="00EA56D6"/>
    <w:rsid w:val="00EB28E5"/>
    <w:rsid w:val="00EB7F2B"/>
    <w:rsid w:val="00EC20E4"/>
    <w:rsid w:val="00EC55B3"/>
    <w:rsid w:val="00EC67DB"/>
    <w:rsid w:val="00ED459E"/>
    <w:rsid w:val="00ED4AC5"/>
    <w:rsid w:val="00EE0542"/>
    <w:rsid w:val="00EE6681"/>
    <w:rsid w:val="00EF465E"/>
    <w:rsid w:val="00EF4B4C"/>
    <w:rsid w:val="00F0098D"/>
    <w:rsid w:val="00F010DB"/>
    <w:rsid w:val="00F04140"/>
    <w:rsid w:val="00F04D23"/>
    <w:rsid w:val="00F0702F"/>
    <w:rsid w:val="00F15AD5"/>
    <w:rsid w:val="00F15FB6"/>
    <w:rsid w:val="00F17865"/>
    <w:rsid w:val="00F22983"/>
    <w:rsid w:val="00F47232"/>
    <w:rsid w:val="00F70A31"/>
    <w:rsid w:val="00F726FF"/>
    <w:rsid w:val="00F77517"/>
    <w:rsid w:val="00F9393F"/>
    <w:rsid w:val="00F9412F"/>
    <w:rsid w:val="00F96FB2"/>
    <w:rsid w:val="00FB51D8"/>
    <w:rsid w:val="00FB5A61"/>
    <w:rsid w:val="00FD08E8"/>
    <w:rsid w:val="00FD189F"/>
    <w:rsid w:val="00FD1B20"/>
    <w:rsid w:val="00FD59F9"/>
    <w:rsid w:val="00FE6A3E"/>
    <w:rsid w:val="00FE74C5"/>
    <w:rsid w:val="00FF3D90"/>
    <w:rsid w:val="00FF6824"/>
    <w:rsid w:val="01513B17"/>
    <w:rsid w:val="016D68ED"/>
    <w:rsid w:val="0198F6A0"/>
    <w:rsid w:val="03CC22C2"/>
    <w:rsid w:val="03D26712"/>
    <w:rsid w:val="0EBC29B3"/>
    <w:rsid w:val="158C9BC8"/>
    <w:rsid w:val="1DABED0A"/>
    <w:rsid w:val="1E2F0D57"/>
    <w:rsid w:val="24879E15"/>
    <w:rsid w:val="2B09CC28"/>
    <w:rsid w:val="34587BB2"/>
    <w:rsid w:val="36C72692"/>
    <w:rsid w:val="3C4235CA"/>
    <w:rsid w:val="47A64009"/>
    <w:rsid w:val="490D2CEE"/>
    <w:rsid w:val="4A8D30C1"/>
    <w:rsid w:val="4ABACC41"/>
    <w:rsid w:val="4B3DA407"/>
    <w:rsid w:val="4C6C7D4D"/>
    <w:rsid w:val="4CDC0980"/>
    <w:rsid w:val="5420327E"/>
    <w:rsid w:val="67FE4308"/>
    <w:rsid w:val="6A8F6EF6"/>
    <w:rsid w:val="6B3C6536"/>
    <w:rsid w:val="6BB02F64"/>
    <w:rsid w:val="708C310D"/>
    <w:rsid w:val="71A41F9A"/>
    <w:rsid w:val="76D797A9"/>
    <w:rsid w:val="785766E3"/>
    <w:rsid w:val="7CAE913C"/>
    <w:rsid w:val="7D1DF770"/>
    <w:rsid w:val="7DC3A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BFEC9"/>
  <w15:chartTrackingRefBased/>
  <w15:docId w15:val="{338C2F8D-B095-4501-B365-D3B4360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3552CE"/>
    <w:rPr>
      <w:color w:val="605E5C"/>
      <w:shd w:val="clear" w:color="auto" w:fill="E1DFDD"/>
    </w:rPr>
  </w:style>
  <w:style w:type="paragraph" w:styleId="Revision">
    <w:name w:val="Revision"/>
    <w:hidden/>
    <w:uiPriority w:val="99"/>
    <w:semiHidden/>
    <w:rsid w:val="0062036D"/>
    <w:rPr>
      <w:sz w:val="24"/>
      <w:szCs w:val="24"/>
    </w:rPr>
  </w:style>
  <w:style w:type="table" w:customStyle="1" w:styleId="BoxedLanguage">
    <w:name w:val="Boxed Language"/>
    <w:basedOn w:val="TableNormal"/>
    <w:rsid w:val="0062036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62036D"/>
    <w:rPr>
      <w:rFonts w:ascii="Arial" w:hAnsi="Arial"/>
      <w:sz w:val="24"/>
      <w:szCs w:val="24"/>
    </w:rPr>
  </w:style>
  <w:style w:type="paragraph" w:styleId="FootnoteText">
    <w:name w:val="footnote text"/>
    <w:basedOn w:val="Normal"/>
    <w:link w:val="FootnoteTextChar"/>
    <w:rsid w:val="006915F4"/>
    <w:rPr>
      <w:sz w:val="20"/>
      <w:szCs w:val="20"/>
    </w:rPr>
  </w:style>
  <w:style w:type="character" w:customStyle="1" w:styleId="FootnoteTextChar">
    <w:name w:val="Footnote Text Char"/>
    <w:basedOn w:val="DefaultParagraphFont"/>
    <w:link w:val="FootnoteText"/>
    <w:rsid w:val="006915F4"/>
  </w:style>
  <w:style w:type="character" w:styleId="FootnoteReference">
    <w:name w:val="footnote reference"/>
    <w:rsid w:val="00691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Langdon@vistracor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d.bonskowski@vistracor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96" TargetMode="External"/><Relationship Id="rId5" Type="http://schemas.openxmlformats.org/officeDocument/2006/relationships/numbering" Target="numbering.xml"/><Relationship Id="rId15" Type="http://schemas.openxmlformats.org/officeDocument/2006/relationships/hyperlink" Target="https://www.ercot.com/files/docs/2025/08/01/Residential-DR-Stakeholder-Feedback_Workshop-II.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5/06/24/Residential-DR-Stakeholder-Feedback_Workshop-I.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files/docs/2025/06/10/Residential-DR-Workshop-II-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004133448A840AFB79378E065DE92" ma:contentTypeVersion="4" ma:contentTypeDescription="Create a new document." ma:contentTypeScope="" ma:versionID="b83daf9bcc2726e594aa4fa7ec709baf">
  <xsd:schema xmlns:xsd="http://www.w3.org/2001/XMLSchema" xmlns:xs="http://www.w3.org/2001/XMLSchema" xmlns:p="http://schemas.microsoft.com/office/2006/metadata/properties" xmlns:ns2="9dc05307-ded6-4235-b4b0-e6a13f50554c" targetNamespace="http://schemas.microsoft.com/office/2006/metadata/properties" ma:root="true" ma:fieldsID="5829840b1d0ffe41bfed9a45a0f814f1" ns2:_="">
    <xsd:import namespace="9dc05307-ded6-4235-b4b0-e6a13f5055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5307-ded6-4235-b4b0-e6a13f505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474EC-DB04-4E47-8B49-140A4C7346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566B58-E98D-4E46-9FCE-BDDF566A1335}">
  <ds:schemaRefs>
    <ds:schemaRef ds:uri="http://schemas.microsoft.com/sharepoint/v3/contenttype/forms"/>
  </ds:schemaRefs>
</ds:datastoreItem>
</file>

<file path=customXml/itemProps3.xml><?xml version="1.0" encoding="utf-8"?>
<ds:datastoreItem xmlns:ds="http://schemas.openxmlformats.org/officeDocument/2006/customXml" ds:itemID="{D8D9D017-E10E-47B3-A4CC-E8D2848B34AE}">
  <ds:schemaRefs>
    <ds:schemaRef ds:uri="http://schemas.openxmlformats.org/officeDocument/2006/bibliography"/>
  </ds:schemaRefs>
</ds:datastoreItem>
</file>

<file path=customXml/itemProps4.xml><?xml version="1.0" encoding="utf-8"?>
<ds:datastoreItem xmlns:ds="http://schemas.openxmlformats.org/officeDocument/2006/customXml" ds:itemID="{E17B010C-8199-43C9-9F02-FDBAC2260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5307-ded6-4235-b4b0-e6a13f505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1085</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7865</CharactersWithSpaces>
  <SharedDoc>false</SharedDoc>
  <HLinks>
    <vt:vector size="30" baseType="variant">
      <vt:variant>
        <vt:i4>4391028</vt:i4>
      </vt:variant>
      <vt:variant>
        <vt:i4>9</vt:i4>
      </vt:variant>
      <vt:variant>
        <vt:i4>0</vt:i4>
      </vt:variant>
      <vt:variant>
        <vt:i4>5</vt:i4>
      </vt:variant>
      <vt:variant>
        <vt:lpwstr>https://www.ercot.com/files/docs/2025/08/01/Residential-DR-Stakeholder-Feedback_Workshop-II.pdf</vt:lpwstr>
      </vt:variant>
      <vt:variant>
        <vt:lpwstr/>
      </vt:variant>
      <vt:variant>
        <vt:i4>131113</vt:i4>
      </vt:variant>
      <vt:variant>
        <vt:i4>6</vt:i4>
      </vt:variant>
      <vt:variant>
        <vt:i4>0</vt:i4>
      </vt:variant>
      <vt:variant>
        <vt:i4>5</vt:i4>
      </vt:variant>
      <vt:variant>
        <vt:lpwstr>https://www.ercot.com/files/docs/2025/06/24/Residential-DR-Stakeholder-Feedback_Workshop-I.docx</vt:lpwstr>
      </vt:variant>
      <vt:variant>
        <vt:lpwstr/>
      </vt:variant>
      <vt:variant>
        <vt:i4>4063311</vt:i4>
      </vt:variant>
      <vt:variant>
        <vt:i4>3</vt:i4>
      </vt:variant>
      <vt:variant>
        <vt:i4>0</vt:i4>
      </vt:variant>
      <vt:variant>
        <vt:i4>5</vt:i4>
      </vt:variant>
      <vt:variant>
        <vt:lpwstr>mailto:ned.bonskowski@vistracorp.com</vt:lpwstr>
      </vt:variant>
      <vt:variant>
        <vt:lpwstr/>
      </vt:variant>
      <vt:variant>
        <vt:i4>7012475</vt:i4>
      </vt:variant>
      <vt:variant>
        <vt:i4>0</vt:i4>
      </vt:variant>
      <vt:variant>
        <vt:i4>0</vt:i4>
      </vt:variant>
      <vt:variant>
        <vt:i4>5</vt:i4>
      </vt:variant>
      <vt:variant>
        <vt:lpwstr>https://www.ercot.com/mktrules/issues/NPRR1296</vt:lpwstr>
      </vt:variant>
      <vt:variant>
        <vt:lpwstr/>
      </vt:variant>
      <vt:variant>
        <vt:i4>6946918</vt:i4>
      </vt:variant>
      <vt:variant>
        <vt:i4>0</vt:i4>
      </vt:variant>
      <vt:variant>
        <vt:i4>0</vt:i4>
      </vt:variant>
      <vt:variant>
        <vt:i4>5</vt:i4>
      </vt:variant>
      <vt:variant>
        <vt:lpwstr>https://www.ercot.com/files/docs/2025/06/10/Residential-DR-Workshop-II-Updated.pdf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2001-06-20T20:28:00Z</cp:lastPrinted>
  <dcterms:created xsi:type="dcterms:W3CDTF">2025-09-11T00:59:00Z</dcterms:created>
  <dcterms:modified xsi:type="dcterms:W3CDTF">2025-09-11T01:06:00Z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0x010100AD5004133448A840AFB79378E065DE92</vt:lpwstr>
  </property>
  <property fmtid="{D5CDD505-2E9C-101B-9397-08002B2CF9AE}" pid="3" name="docLang">
    <vt:lpwstr>en</vt:lpwstr>
  </property>
  <property fmtid="{D5CDD505-2E9C-101B-9397-08002B2CF9AE}" pid="4" name="MSIP_Label_7084cbda-52b8-46fb-a7b7-cb5bd465ed85_Enabled">
    <vt:lpwstr>true</vt:lpwstr>
  </property>
  <property fmtid="{D5CDD505-2E9C-101B-9397-08002B2CF9AE}" pid="5" name="MSIP_Label_7084cbda-52b8-46fb-a7b7-cb5bd465ed85_SetDate">
    <vt:lpwstr>2025-09-11T00:59:27Z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2b6ecef0-3682-4fcc-b999-c88d2ab55d5c</vt:lpwstr>
  </property>
  <property fmtid="{D5CDD505-2E9C-101B-9397-08002B2CF9AE}" pid="10" name="MSIP_Label_7084cbda-52b8-46fb-a7b7-cb5bd465ed85_ContentBits">
    <vt:lpwstr>0</vt:lpwstr>
  </property>
  <property fmtid="{D5CDD505-2E9C-101B-9397-08002B2CF9AE}" pid="11" name="MSIP_Label_7084cbda-52b8-46fb-a7b7-cb5bd465ed85_Tag">
    <vt:lpwstr>10, 3, 0, 1</vt:lpwstr>
  </property>
</Properties>
</file>