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431"/>
        <w:gridCol w:w="900"/>
        <w:gridCol w:w="6504"/>
      </w:tblGrid>
      <w:tr w:rsidR="00152993" w:rsidRPr="0002093C" w14:paraId="15BEF7AB" w14:textId="77777777" w:rsidTr="00974A98"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0A8377" w14:textId="77777777" w:rsidR="00152993" w:rsidRPr="0002093C" w:rsidRDefault="00EE6681">
            <w:pPr>
              <w:pStyle w:val="Header"/>
              <w:rPr>
                <w:rFonts w:cs="Arial"/>
              </w:rPr>
            </w:pPr>
            <w:r w:rsidRPr="0002093C">
              <w:rPr>
                <w:rFonts w:cs="Arial"/>
              </w:rPr>
              <w:t>N</w:t>
            </w:r>
            <w:r w:rsidR="00152993" w:rsidRPr="0002093C">
              <w:rPr>
                <w:rFonts w:cs="Arial"/>
              </w:rPr>
              <w:t>PRR Number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5062337D" w14:textId="1AFE79FE" w:rsidR="00152993" w:rsidRPr="0002093C" w:rsidRDefault="002672E9">
            <w:pPr>
              <w:pStyle w:val="Header"/>
              <w:rPr>
                <w:rFonts w:cs="Arial"/>
              </w:rPr>
            </w:pPr>
            <w:hyperlink r:id="rId10" w:history="1">
              <w:r w:rsidRPr="0002093C">
                <w:rPr>
                  <w:rStyle w:val="Hyperlink"/>
                  <w:rFonts w:cs="Arial"/>
                </w:rPr>
                <w:t>1297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5E1248" w14:textId="77777777" w:rsidR="00152993" w:rsidRPr="0002093C" w:rsidRDefault="00EE6681">
            <w:pPr>
              <w:pStyle w:val="Header"/>
              <w:rPr>
                <w:rFonts w:cs="Arial"/>
              </w:rPr>
            </w:pPr>
            <w:r w:rsidRPr="0002093C">
              <w:rPr>
                <w:rFonts w:cs="Arial"/>
              </w:rPr>
              <w:t>N</w:t>
            </w:r>
            <w:r w:rsidR="00152993" w:rsidRPr="0002093C">
              <w:rPr>
                <w:rFonts w:cs="Arial"/>
              </w:rPr>
              <w:t>PRR Title</w:t>
            </w:r>
          </w:p>
        </w:tc>
        <w:tc>
          <w:tcPr>
            <w:tcW w:w="6504" w:type="dxa"/>
            <w:tcBorders>
              <w:bottom w:val="single" w:sz="4" w:space="0" w:color="auto"/>
            </w:tcBorders>
            <w:vAlign w:val="center"/>
          </w:tcPr>
          <w:p w14:paraId="4DF0461F" w14:textId="77777777" w:rsidR="00152993" w:rsidRPr="0002093C" w:rsidRDefault="002672E9">
            <w:pPr>
              <w:pStyle w:val="Header"/>
              <w:rPr>
                <w:rFonts w:cs="Arial"/>
              </w:rPr>
            </w:pPr>
            <w:r w:rsidRPr="0002093C">
              <w:rPr>
                <w:rFonts w:cs="Arial"/>
              </w:rPr>
              <w:t>Limit the Price-Quantity Pair in CRR Auctions for Each Path</w:t>
            </w:r>
          </w:p>
        </w:tc>
      </w:tr>
      <w:tr w:rsidR="00152993" w:rsidRPr="0002093C" w14:paraId="619A59B2" w14:textId="77777777" w:rsidTr="00974A98">
        <w:trPr>
          <w:trHeight w:val="413"/>
        </w:trPr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01DE2" w14:textId="77777777" w:rsidR="00152993" w:rsidRPr="0002093C" w:rsidRDefault="00152993">
            <w:pPr>
              <w:pStyle w:val="NormalArial"/>
              <w:rPr>
                <w:rFonts w:cs="Arial"/>
              </w:rPr>
            </w:pP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F73AE0" w14:textId="77777777" w:rsidR="00152993" w:rsidRPr="0002093C" w:rsidRDefault="00152993">
            <w:pPr>
              <w:pStyle w:val="NormalArial"/>
              <w:rPr>
                <w:rFonts w:cs="Arial"/>
              </w:rPr>
            </w:pPr>
          </w:p>
        </w:tc>
      </w:tr>
      <w:tr w:rsidR="00152993" w:rsidRPr="0002093C" w14:paraId="207F9E03" w14:textId="77777777" w:rsidTr="00974A98">
        <w:trPr>
          <w:trHeight w:val="440"/>
        </w:trPr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F5F4" w14:textId="77777777" w:rsidR="00152993" w:rsidRPr="0002093C" w:rsidRDefault="00152993">
            <w:pPr>
              <w:pStyle w:val="Header"/>
              <w:rPr>
                <w:rFonts w:cs="Arial"/>
              </w:rPr>
            </w:pPr>
            <w:r w:rsidRPr="0002093C">
              <w:rPr>
                <w:rFonts w:cs="Arial"/>
              </w:rPr>
              <w:t>Date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7EE3" w14:textId="3AC0A206" w:rsidR="00152993" w:rsidRPr="0002093C" w:rsidRDefault="0002093C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September 5, 2025</w:t>
            </w:r>
          </w:p>
        </w:tc>
      </w:tr>
      <w:tr w:rsidR="00152993" w:rsidRPr="0002093C" w14:paraId="30481018" w14:textId="77777777" w:rsidTr="00974A98">
        <w:trPr>
          <w:trHeight w:val="467"/>
        </w:trPr>
        <w:tc>
          <w:tcPr>
            <w:tcW w:w="3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DDA0DF" w14:textId="77777777" w:rsidR="00152993" w:rsidRPr="0002093C" w:rsidRDefault="00152993">
            <w:pPr>
              <w:pStyle w:val="NormalArial"/>
              <w:rPr>
                <w:rFonts w:cs="Arial"/>
              </w:rPr>
            </w:pPr>
          </w:p>
        </w:tc>
        <w:tc>
          <w:tcPr>
            <w:tcW w:w="7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1654E" w14:textId="77777777" w:rsidR="00152993" w:rsidRPr="0002093C" w:rsidRDefault="00152993">
            <w:pPr>
              <w:pStyle w:val="NormalArial"/>
              <w:rPr>
                <w:rFonts w:cs="Arial"/>
              </w:rPr>
            </w:pPr>
          </w:p>
        </w:tc>
      </w:tr>
      <w:tr w:rsidR="00152993" w:rsidRPr="0002093C" w14:paraId="69A66513" w14:textId="77777777" w:rsidTr="00974A98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9E2961" w14:textId="77777777" w:rsidR="00152993" w:rsidRPr="0002093C" w:rsidRDefault="00152993">
            <w:pPr>
              <w:pStyle w:val="Header"/>
              <w:jc w:val="center"/>
              <w:rPr>
                <w:rFonts w:cs="Arial"/>
              </w:rPr>
            </w:pPr>
            <w:r w:rsidRPr="0002093C">
              <w:rPr>
                <w:rFonts w:cs="Arial"/>
              </w:rPr>
              <w:t>Submitter’s Information</w:t>
            </w:r>
          </w:p>
        </w:tc>
      </w:tr>
      <w:tr w:rsidR="00974A98" w:rsidRPr="0002093C" w14:paraId="23958277" w14:textId="77777777" w:rsidTr="00974A98">
        <w:trPr>
          <w:trHeight w:val="350"/>
        </w:trPr>
        <w:tc>
          <w:tcPr>
            <w:tcW w:w="3036" w:type="dxa"/>
            <w:gridSpan w:val="2"/>
            <w:shd w:val="clear" w:color="auto" w:fill="FFFFFF"/>
            <w:vAlign w:val="center"/>
          </w:tcPr>
          <w:p w14:paraId="2F8066E4" w14:textId="77777777" w:rsidR="00974A98" w:rsidRPr="0002093C" w:rsidRDefault="00974A98" w:rsidP="00974A98">
            <w:pPr>
              <w:pStyle w:val="Header"/>
              <w:rPr>
                <w:rFonts w:cs="Arial"/>
              </w:rPr>
            </w:pPr>
            <w:r w:rsidRPr="0002093C">
              <w:rPr>
                <w:rFonts w:cs="Arial"/>
              </w:rPr>
              <w:t>Name</w:t>
            </w:r>
          </w:p>
        </w:tc>
        <w:tc>
          <w:tcPr>
            <w:tcW w:w="7404" w:type="dxa"/>
            <w:gridSpan w:val="2"/>
            <w:vAlign w:val="center"/>
          </w:tcPr>
          <w:p w14:paraId="6BF7FC43" w14:textId="37BD910E" w:rsidR="00974A98" w:rsidRPr="0002093C" w:rsidRDefault="00974A98" w:rsidP="00974A98">
            <w:pPr>
              <w:pStyle w:val="NormalArial"/>
              <w:rPr>
                <w:rFonts w:cs="Arial"/>
              </w:rPr>
            </w:pPr>
            <w:r w:rsidRPr="0002093C">
              <w:rPr>
                <w:rFonts w:cs="Arial"/>
              </w:rPr>
              <w:t>Monica Jha</w:t>
            </w:r>
            <w:r w:rsidR="002E1CE2">
              <w:rPr>
                <w:rFonts w:cs="Arial"/>
              </w:rPr>
              <w:t xml:space="preserve"> / </w:t>
            </w:r>
            <w:r w:rsidRPr="0002093C">
              <w:rPr>
                <w:rFonts w:cs="Arial"/>
              </w:rPr>
              <w:t>Ned Bonskowski</w:t>
            </w:r>
          </w:p>
        </w:tc>
      </w:tr>
      <w:tr w:rsidR="00974A98" w:rsidRPr="0002093C" w14:paraId="78A937DC" w14:textId="77777777" w:rsidTr="00974A98">
        <w:trPr>
          <w:trHeight w:val="350"/>
        </w:trPr>
        <w:tc>
          <w:tcPr>
            <w:tcW w:w="3036" w:type="dxa"/>
            <w:gridSpan w:val="2"/>
            <w:shd w:val="clear" w:color="auto" w:fill="FFFFFF"/>
            <w:vAlign w:val="center"/>
          </w:tcPr>
          <w:p w14:paraId="39BAC6E7" w14:textId="77777777" w:rsidR="00974A98" w:rsidRPr="0002093C" w:rsidRDefault="00974A98" w:rsidP="00974A98">
            <w:pPr>
              <w:pStyle w:val="Header"/>
              <w:rPr>
                <w:rFonts w:cs="Arial"/>
              </w:rPr>
            </w:pPr>
            <w:r w:rsidRPr="0002093C">
              <w:rPr>
                <w:rFonts w:cs="Arial"/>
              </w:rPr>
              <w:t>E-mail Address</w:t>
            </w:r>
          </w:p>
        </w:tc>
        <w:tc>
          <w:tcPr>
            <w:tcW w:w="7404" w:type="dxa"/>
            <w:gridSpan w:val="2"/>
            <w:vAlign w:val="center"/>
          </w:tcPr>
          <w:p w14:paraId="4D6D642F" w14:textId="7814429C" w:rsidR="00974A98" w:rsidRPr="0002093C" w:rsidRDefault="00974A98" w:rsidP="00974A98">
            <w:pPr>
              <w:pStyle w:val="NormalArial"/>
              <w:rPr>
                <w:rFonts w:cs="Arial"/>
              </w:rPr>
            </w:pPr>
            <w:hyperlink r:id="rId11" w:history="1">
              <w:r w:rsidRPr="0002093C">
                <w:rPr>
                  <w:rStyle w:val="Hyperlink"/>
                  <w:rFonts w:cs="Arial"/>
                </w:rPr>
                <w:t>Monica.jha@vistracorp.com</w:t>
              </w:r>
            </w:hyperlink>
            <w:r w:rsidR="002E1CE2">
              <w:rPr>
                <w:rFonts w:cs="Arial"/>
              </w:rPr>
              <w:t xml:space="preserve"> / </w:t>
            </w:r>
            <w:hyperlink r:id="rId12" w:history="1">
              <w:r w:rsidRPr="0002093C">
                <w:rPr>
                  <w:rStyle w:val="Hyperlink"/>
                  <w:rFonts w:cs="Arial"/>
                </w:rPr>
                <w:t>ned.bonskowski@vistracorp.com</w:t>
              </w:r>
            </w:hyperlink>
            <w:r w:rsidRPr="0002093C">
              <w:rPr>
                <w:rFonts w:cs="Arial"/>
              </w:rPr>
              <w:t xml:space="preserve"> </w:t>
            </w:r>
          </w:p>
        </w:tc>
      </w:tr>
      <w:tr w:rsidR="00974A98" w:rsidRPr="0002093C" w14:paraId="18A3C556" w14:textId="77777777" w:rsidTr="00974A98">
        <w:trPr>
          <w:trHeight w:val="350"/>
        </w:trPr>
        <w:tc>
          <w:tcPr>
            <w:tcW w:w="3036" w:type="dxa"/>
            <w:gridSpan w:val="2"/>
            <w:shd w:val="clear" w:color="auto" w:fill="FFFFFF"/>
            <w:vAlign w:val="center"/>
          </w:tcPr>
          <w:p w14:paraId="0ED0FC7E" w14:textId="77777777" w:rsidR="00974A98" w:rsidRPr="0002093C" w:rsidRDefault="00974A98" w:rsidP="00974A98">
            <w:pPr>
              <w:pStyle w:val="Header"/>
              <w:rPr>
                <w:rFonts w:cs="Arial"/>
              </w:rPr>
            </w:pPr>
            <w:r w:rsidRPr="0002093C">
              <w:rPr>
                <w:rFonts w:cs="Arial"/>
              </w:rPr>
              <w:t>Company</w:t>
            </w:r>
          </w:p>
        </w:tc>
        <w:tc>
          <w:tcPr>
            <w:tcW w:w="7404" w:type="dxa"/>
            <w:gridSpan w:val="2"/>
            <w:vAlign w:val="center"/>
          </w:tcPr>
          <w:p w14:paraId="02733423" w14:textId="77777777" w:rsidR="00974A98" w:rsidRPr="0002093C" w:rsidRDefault="00974A98" w:rsidP="00974A98">
            <w:pPr>
              <w:pStyle w:val="NormalArial"/>
              <w:rPr>
                <w:rFonts w:cs="Arial"/>
              </w:rPr>
            </w:pPr>
            <w:r w:rsidRPr="0002093C">
              <w:rPr>
                <w:rFonts w:cs="Arial"/>
              </w:rPr>
              <w:t>Vistra Operations Company LLC</w:t>
            </w:r>
          </w:p>
        </w:tc>
      </w:tr>
      <w:tr w:rsidR="00974A98" w:rsidRPr="0002093C" w14:paraId="4479AD3B" w14:textId="77777777" w:rsidTr="00974A98">
        <w:trPr>
          <w:trHeight w:val="350"/>
        </w:trPr>
        <w:tc>
          <w:tcPr>
            <w:tcW w:w="303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D62492" w14:textId="77777777" w:rsidR="00974A98" w:rsidRPr="0002093C" w:rsidRDefault="00974A98" w:rsidP="00974A98">
            <w:pPr>
              <w:pStyle w:val="Header"/>
              <w:rPr>
                <w:rFonts w:cs="Arial"/>
              </w:rPr>
            </w:pPr>
            <w:r w:rsidRPr="0002093C">
              <w:rPr>
                <w:rFonts w:cs="Arial"/>
              </w:rPr>
              <w:t>Phone Number</w:t>
            </w:r>
          </w:p>
        </w:tc>
        <w:tc>
          <w:tcPr>
            <w:tcW w:w="7404" w:type="dxa"/>
            <w:gridSpan w:val="2"/>
            <w:tcBorders>
              <w:bottom w:val="single" w:sz="4" w:space="0" w:color="auto"/>
            </w:tcBorders>
            <w:vAlign w:val="center"/>
          </w:tcPr>
          <w:p w14:paraId="7B45EBF2" w14:textId="77777777" w:rsidR="00974A98" w:rsidRPr="0002093C" w:rsidRDefault="00974A98" w:rsidP="00974A98">
            <w:pPr>
              <w:pStyle w:val="NormalArial"/>
              <w:rPr>
                <w:rFonts w:cs="Arial"/>
              </w:rPr>
            </w:pPr>
          </w:p>
        </w:tc>
      </w:tr>
      <w:tr w:rsidR="00974A98" w:rsidRPr="0002093C" w14:paraId="2781FA58" w14:textId="77777777" w:rsidTr="00974A98">
        <w:trPr>
          <w:trHeight w:val="350"/>
        </w:trPr>
        <w:tc>
          <w:tcPr>
            <w:tcW w:w="3036" w:type="dxa"/>
            <w:gridSpan w:val="2"/>
            <w:shd w:val="clear" w:color="auto" w:fill="FFFFFF"/>
            <w:vAlign w:val="center"/>
          </w:tcPr>
          <w:p w14:paraId="0AF79644" w14:textId="77777777" w:rsidR="00974A98" w:rsidRPr="0002093C" w:rsidRDefault="00974A98" w:rsidP="00974A98">
            <w:pPr>
              <w:pStyle w:val="Header"/>
              <w:rPr>
                <w:rFonts w:cs="Arial"/>
              </w:rPr>
            </w:pPr>
            <w:r w:rsidRPr="0002093C">
              <w:rPr>
                <w:rFonts w:cs="Arial"/>
              </w:rPr>
              <w:t>Cell Number</w:t>
            </w:r>
          </w:p>
        </w:tc>
        <w:tc>
          <w:tcPr>
            <w:tcW w:w="7404" w:type="dxa"/>
            <w:gridSpan w:val="2"/>
            <w:vAlign w:val="center"/>
          </w:tcPr>
          <w:p w14:paraId="574C5C69" w14:textId="542E4C91" w:rsidR="00974A98" w:rsidRPr="0002093C" w:rsidRDefault="00974A98" w:rsidP="00974A98">
            <w:pPr>
              <w:pStyle w:val="NormalArial"/>
              <w:rPr>
                <w:rFonts w:cs="Arial"/>
              </w:rPr>
            </w:pPr>
            <w:r w:rsidRPr="0002093C">
              <w:rPr>
                <w:rFonts w:cs="Arial"/>
              </w:rPr>
              <w:t>832-215-5713</w:t>
            </w:r>
            <w:r w:rsidR="002E1CE2">
              <w:rPr>
                <w:rFonts w:cs="Arial"/>
              </w:rPr>
              <w:t xml:space="preserve"> / </w:t>
            </w:r>
            <w:r w:rsidRPr="0002093C">
              <w:rPr>
                <w:rStyle w:val="normaltextrun"/>
                <w:rFonts w:cs="Arial"/>
              </w:rPr>
              <w:t>214-288-2456</w:t>
            </w:r>
            <w:r w:rsidRPr="0002093C">
              <w:rPr>
                <w:rStyle w:val="eop"/>
                <w:rFonts w:cs="Arial"/>
              </w:rPr>
              <w:t> </w:t>
            </w:r>
          </w:p>
        </w:tc>
      </w:tr>
      <w:tr w:rsidR="00974A98" w:rsidRPr="0002093C" w14:paraId="4F9030D7" w14:textId="77777777" w:rsidTr="00974A98">
        <w:trPr>
          <w:trHeight w:val="350"/>
        </w:trPr>
        <w:tc>
          <w:tcPr>
            <w:tcW w:w="303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6DBF69" w14:textId="77777777" w:rsidR="00974A98" w:rsidRPr="0002093C" w:rsidDel="00075A94" w:rsidRDefault="00974A98" w:rsidP="00974A98">
            <w:pPr>
              <w:pStyle w:val="Header"/>
              <w:rPr>
                <w:rFonts w:cs="Arial"/>
              </w:rPr>
            </w:pPr>
            <w:r w:rsidRPr="0002093C">
              <w:rPr>
                <w:rFonts w:cs="Arial"/>
              </w:rPr>
              <w:t>Market Segment</w:t>
            </w:r>
          </w:p>
        </w:tc>
        <w:tc>
          <w:tcPr>
            <w:tcW w:w="7404" w:type="dxa"/>
            <w:gridSpan w:val="2"/>
            <w:tcBorders>
              <w:bottom w:val="single" w:sz="4" w:space="0" w:color="auto"/>
            </w:tcBorders>
            <w:vAlign w:val="center"/>
          </w:tcPr>
          <w:p w14:paraId="4D54F6E3" w14:textId="77777777" w:rsidR="00974A98" w:rsidRPr="0002093C" w:rsidRDefault="00974A98" w:rsidP="00974A98">
            <w:pPr>
              <w:pStyle w:val="NormalArial"/>
              <w:rPr>
                <w:rFonts w:cs="Arial"/>
              </w:rPr>
            </w:pPr>
            <w:r w:rsidRPr="0002093C">
              <w:rPr>
                <w:rFonts w:cs="Arial"/>
              </w:rPr>
              <w:t>Independent Generator</w:t>
            </w:r>
          </w:p>
        </w:tc>
      </w:tr>
    </w:tbl>
    <w:p w14:paraId="69AE81CB" w14:textId="77777777" w:rsidR="00152993" w:rsidRPr="0002093C" w:rsidRDefault="00152993">
      <w:pPr>
        <w:pStyle w:val="NormalArial"/>
        <w:rPr>
          <w:rFonts w:cs="Arial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02093C" w14:paraId="27F834EC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76C96A19" w14:textId="77777777" w:rsidR="00075A94" w:rsidRPr="0002093C" w:rsidRDefault="00075A94" w:rsidP="00B5080A">
            <w:pPr>
              <w:pStyle w:val="Header"/>
              <w:jc w:val="center"/>
              <w:rPr>
                <w:rFonts w:cs="Arial"/>
              </w:rPr>
            </w:pPr>
            <w:r w:rsidRPr="0002093C">
              <w:rPr>
                <w:rFonts w:cs="Arial"/>
              </w:rPr>
              <w:t>Comments</w:t>
            </w:r>
          </w:p>
        </w:tc>
      </w:tr>
    </w:tbl>
    <w:p w14:paraId="0F0D33FA" w14:textId="65B62B4D" w:rsidR="0015587E" w:rsidRPr="0002093C" w:rsidRDefault="00D26CBF" w:rsidP="002E1CE2">
      <w:pPr>
        <w:pStyle w:val="NormalArial"/>
        <w:spacing w:before="120" w:after="120"/>
        <w:rPr>
          <w:rFonts w:cs="Arial"/>
        </w:rPr>
      </w:pPr>
      <w:r w:rsidRPr="0002093C">
        <w:rPr>
          <w:rFonts w:cs="Arial"/>
        </w:rPr>
        <w:t xml:space="preserve">Vistra Operations </w:t>
      </w:r>
      <w:r w:rsidR="00974A98" w:rsidRPr="0002093C">
        <w:rPr>
          <w:rStyle w:val="normaltextrun"/>
          <w:rFonts w:cs="Arial"/>
          <w:color w:val="000000"/>
        </w:rPr>
        <w:t xml:space="preserve">Company LLC </w:t>
      </w:r>
      <w:r w:rsidR="00974A98" w:rsidRPr="0002093C">
        <w:rPr>
          <w:rStyle w:val="normaltextrun"/>
          <w:rFonts w:cs="Arial"/>
          <w:color w:val="000000"/>
          <w:shd w:val="clear" w:color="auto" w:fill="FFFFFF"/>
        </w:rPr>
        <w:t xml:space="preserve">appreciates </w:t>
      </w:r>
      <w:r w:rsidRPr="0002093C">
        <w:rPr>
          <w:rFonts w:cs="Arial"/>
        </w:rPr>
        <w:t xml:space="preserve">SC Energy Partners LLC’s effort to </w:t>
      </w:r>
      <w:r w:rsidR="008E7886" w:rsidRPr="0002093C">
        <w:rPr>
          <w:rFonts w:cs="Arial"/>
        </w:rPr>
        <w:t>find a creative solution to increase efficiency in the optimization and reduce overall solution time.</w:t>
      </w:r>
      <w:r w:rsidRPr="0002093C">
        <w:rPr>
          <w:rFonts w:cs="Arial"/>
        </w:rPr>
        <w:t xml:space="preserve"> </w:t>
      </w:r>
      <w:r w:rsidR="0015587E" w:rsidRPr="0002093C">
        <w:rPr>
          <w:rFonts w:cs="Arial"/>
        </w:rPr>
        <w:t>However, SC</w:t>
      </w:r>
      <w:r w:rsidR="008E7886" w:rsidRPr="0002093C">
        <w:rPr>
          <w:rFonts w:cs="Arial"/>
        </w:rPr>
        <w:t xml:space="preserve"> Energy Partners LLC’s </w:t>
      </w:r>
      <w:r w:rsidR="008E7886" w:rsidRPr="0002093C">
        <w:rPr>
          <w:rStyle w:val="normaltextrun"/>
          <w:rFonts w:cs="Arial"/>
          <w:color w:val="000000"/>
          <w:shd w:val="clear" w:color="auto" w:fill="FFFFFF"/>
        </w:rPr>
        <w:t xml:space="preserve">proposed changes effectively </w:t>
      </w:r>
      <w:r w:rsidR="0015587E" w:rsidRPr="0002093C">
        <w:rPr>
          <w:rStyle w:val="normaltextrun"/>
          <w:rFonts w:cs="Arial"/>
          <w:color w:val="000000"/>
          <w:shd w:val="clear" w:color="auto" w:fill="FFFFFF"/>
        </w:rPr>
        <w:t>defeat</w:t>
      </w:r>
      <w:r w:rsidR="008E7886" w:rsidRPr="0002093C">
        <w:rPr>
          <w:rStyle w:val="normaltextrun"/>
          <w:rFonts w:cs="Arial"/>
          <w:color w:val="000000"/>
          <w:shd w:val="clear" w:color="auto" w:fill="FFFFFF"/>
        </w:rPr>
        <w:t xml:space="preserve"> a key </w:t>
      </w:r>
      <w:r w:rsidR="0015587E" w:rsidRPr="0002093C">
        <w:rPr>
          <w:rStyle w:val="normaltextrun"/>
          <w:rFonts w:cs="Arial"/>
          <w:color w:val="000000"/>
          <w:shd w:val="clear" w:color="auto" w:fill="FFFFFF"/>
        </w:rPr>
        <w:t>objective</w:t>
      </w:r>
      <w:r w:rsidR="008E481A" w:rsidRPr="0002093C">
        <w:rPr>
          <w:rStyle w:val="normaltextrun"/>
          <w:rFonts w:cs="Arial"/>
          <w:color w:val="000000"/>
          <w:shd w:val="clear" w:color="auto" w:fill="FFFFFF"/>
        </w:rPr>
        <w:t xml:space="preserve"> of </w:t>
      </w:r>
      <w:r w:rsidR="008E481A" w:rsidRPr="0002093C">
        <w:rPr>
          <w:rFonts w:cs="Arial"/>
        </w:rPr>
        <w:t xml:space="preserve">Congestion Revenue Rights (CRRs) </w:t>
      </w:r>
      <w:r w:rsidR="00467267">
        <w:rPr>
          <w:rFonts w:cs="Arial"/>
        </w:rPr>
        <w:t>m</w:t>
      </w:r>
      <w:r w:rsidR="008E481A" w:rsidRPr="0002093C">
        <w:rPr>
          <w:rFonts w:cs="Arial"/>
        </w:rPr>
        <w:t>arket</w:t>
      </w:r>
      <w:r w:rsidR="00225802" w:rsidRPr="0002093C">
        <w:rPr>
          <w:rStyle w:val="normaltextrun"/>
          <w:rFonts w:cs="Arial"/>
          <w:color w:val="000000"/>
          <w:shd w:val="clear" w:color="auto" w:fill="FFFFFF"/>
        </w:rPr>
        <w:t xml:space="preserve">: </w:t>
      </w:r>
      <w:r w:rsidR="0015587E" w:rsidRPr="0002093C">
        <w:rPr>
          <w:rFonts w:cs="Arial"/>
        </w:rPr>
        <w:t xml:space="preserve">providing </w:t>
      </w:r>
      <w:r w:rsidR="00467267">
        <w:rPr>
          <w:rFonts w:cs="Arial"/>
        </w:rPr>
        <w:t>M</w:t>
      </w:r>
      <w:r w:rsidR="0015587E" w:rsidRPr="0002093C">
        <w:rPr>
          <w:rFonts w:cs="Arial"/>
        </w:rPr>
        <w:t xml:space="preserve">arket </w:t>
      </w:r>
      <w:r w:rsidR="00467267">
        <w:rPr>
          <w:rFonts w:cs="Arial"/>
        </w:rPr>
        <w:t>P</w:t>
      </w:r>
      <w:r w:rsidR="0015587E" w:rsidRPr="0002093C">
        <w:rPr>
          <w:rFonts w:cs="Arial"/>
        </w:rPr>
        <w:t>articipants an effective financial instrument to hedge against the unpredictable costs of transmission congestion</w:t>
      </w:r>
      <w:r w:rsidR="008E481A" w:rsidRPr="0002093C">
        <w:rPr>
          <w:rFonts w:cs="Arial"/>
        </w:rPr>
        <w:t xml:space="preserve">. </w:t>
      </w:r>
    </w:p>
    <w:p w14:paraId="0AD98A90" w14:textId="5470E4DE" w:rsidR="008E481A" w:rsidRPr="0002093C" w:rsidRDefault="008E481A" w:rsidP="002E1CE2">
      <w:pPr>
        <w:spacing w:before="120" w:after="120"/>
        <w:rPr>
          <w:rFonts w:ascii="Arial" w:hAnsi="Arial" w:cs="Arial"/>
        </w:rPr>
      </w:pPr>
      <w:r w:rsidRPr="0002093C">
        <w:rPr>
          <w:rFonts w:ascii="Arial" w:hAnsi="Arial" w:cs="Arial"/>
          <w:color w:val="000000"/>
          <w:shd w:val="clear" w:color="auto" w:fill="FFFFFF"/>
        </w:rPr>
        <w:t>CRRs are a cornerstone of ERCOT’s market design.</w:t>
      </w:r>
      <w:r w:rsidRPr="0002093C">
        <w:rPr>
          <w:rFonts w:ascii="Arial" w:hAnsi="Arial" w:cs="Arial"/>
        </w:rPr>
        <w:t xml:space="preserve"> By offering market-based protection against price volatility, CRRs foster a liquid and competitive energy market, ultimately benefiting electricity producers and consumers</w:t>
      </w:r>
      <w:r w:rsidR="00225802" w:rsidRPr="0002093C">
        <w:rPr>
          <w:rFonts w:ascii="Arial" w:hAnsi="Arial" w:cs="Arial"/>
        </w:rPr>
        <w:t xml:space="preserve"> alike</w:t>
      </w:r>
      <w:r w:rsidRPr="0002093C">
        <w:rPr>
          <w:rFonts w:ascii="Arial" w:hAnsi="Arial" w:cs="Arial"/>
        </w:rPr>
        <w:t xml:space="preserve">. Decoupling physical delivery and financial risk allows </w:t>
      </w:r>
      <w:r w:rsidR="00467267">
        <w:rPr>
          <w:rFonts w:ascii="Arial" w:hAnsi="Arial" w:cs="Arial"/>
        </w:rPr>
        <w:t>M</w:t>
      </w:r>
      <w:r w:rsidRPr="0002093C">
        <w:rPr>
          <w:rFonts w:ascii="Arial" w:hAnsi="Arial" w:cs="Arial"/>
        </w:rPr>
        <w:t xml:space="preserve">arket </w:t>
      </w:r>
      <w:r w:rsidR="00467267">
        <w:rPr>
          <w:rFonts w:ascii="Arial" w:hAnsi="Arial" w:cs="Arial"/>
        </w:rPr>
        <w:t>P</w:t>
      </w:r>
      <w:r w:rsidRPr="0002093C">
        <w:rPr>
          <w:rFonts w:ascii="Arial" w:hAnsi="Arial" w:cs="Arial"/>
        </w:rPr>
        <w:t xml:space="preserve">articipants, such as generators and </w:t>
      </w:r>
      <w:r w:rsidR="00467267">
        <w:rPr>
          <w:rFonts w:ascii="Arial" w:hAnsi="Arial" w:cs="Arial"/>
        </w:rPr>
        <w:t>L</w:t>
      </w:r>
      <w:r w:rsidRPr="0002093C">
        <w:rPr>
          <w:rFonts w:ascii="Arial" w:hAnsi="Arial" w:cs="Arial"/>
        </w:rPr>
        <w:t>oad</w:t>
      </w:r>
      <w:r w:rsidR="00467267">
        <w:rPr>
          <w:rFonts w:ascii="Arial" w:hAnsi="Arial" w:cs="Arial"/>
        </w:rPr>
        <w:t xml:space="preserve"> S</w:t>
      </w:r>
      <w:r w:rsidRPr="0002093C">
        <w:rPr>
          <w:rFonts w:ascii="Arial" w:hAnsi="Arial" w:cs="Arial"/>
        </w:rPr>
        <w:t xml:space="preserve">erving </w:t>
      </w:r>
      <w:r w:rsidR="00467267">
        <w:rPr>
          <w:rFonts w:ascii="Arial" w:hAnsi="Arial" w:cs="Arial"/>
        </w:rPr>
        <w:t>E</w:t>
      </w:r>
      <w:r w:rsidRPr="0002093C">
        <w:rPr>
          <w:rFonts w:ascii="Arial" w:hAnsi="Arial" w:cs="Arial"/>
        </w:rPr>
        <w:t>ntities</w:t>
      </w:r>
      <w:r w:rsidR="00467267">
        <w:rPr>
          <w:rFonts w:ascii="Arial" w:hAnsi="Arial" w:cs="Arial"/>
        </w:rPr>
        <w:t xml:space="preserve"> (LSEs)</w:t>
      </w:r>
      <w:r w:rsidRPr="0002093C">
        <w:rPr>
          <w:rFonts w:ascii="Arial" w:hAnsi="Arial" w:cs="Arial"/>
        </w:rPr>
        <w:t>, to hedge against congestion costs without altering their physical energy transactions.</w:t>
      </w:r>
    </w:p>
    <w:p w14:paraId="220F051C" w14:textId="7BC8A522" w:rsidR="00B827A3" w:rsidRPr="0002093C" w:rsidRDefault="00B827A3" w:rsidP="002E1CE2">
      <w:pPr>
        <w:spacing w:before="120" w:after="120" w:line="278" w:lineRule="auto"/>
        <w:rPr>
          <w:rFonts w:ascii="Arial" w:hAnsi="Arial" w:cs="Arial"/>
        </w:rPr>
      </w:pPr>
      <w:r w:rsidRPr="0002093C">
        <w:rPr>
          <w:rFonts w:ascii="Arial" w:hAnsi="Arial" w:cs="Arial"/>
        </w:rPr>
        <w:t xml:space="preserve">For generators, the CRR market allows them to financially protect themselves against </w:t>
      </w:r>
      <w:r w:rsidR="009B6B7B" w:rsidRPr="0002093C">
        <w:rPr>
          <w:rFonts w:ascii="Arial" w:hAnsi="Arial" w:cs="Arial"/>
        </w:rPr>
        <w:t>l</w:t>
      </w:r>
      <w:r w:rsidRPr="0002093C">
        <w:rPr>
          <w:rFonts w:ascii="Arial" w:hAnsi="Arial" w:cs="Arial"/>
        </w:rPr>
        <w:t xml:space="preserve">ocational price divergence.  It also helps generators </w:t>
      </w:r>
      <w:r w:rsidR="00C679AE" w:rsidRPr="0002093C">
        <w:rPr>
          <w:rFonts w:ascii="Arial" w:hAnsi="Arial" w:cs="Arial"/>
        </w:rPr>
        <w:t xml:space="preserve">participate </w:t>
      </w:r>
      <w:r w:rsidRPr="0002093C">
        <w:rPr>
          <w:rFonts w:ascii="Arial" w:hAnsi="Arial" w:cs="Arial"/>
        </w:rPr>
        <w:t>more efficient</w:t>
      </w:r>
      <w:r w:rsidR="00C679AE" w:rsidRPr="0002093C">
        <w:rPr>
          <w:rFonts w:ascii="Arial" w:hAnsi="Arial" w:cs="Arial"/>
        </w:rPr>
        <w:t>ly</w:t>
      </w:r>
      <w:r w:rsidRPr="0002093C">
        <w:rPr>
          <w:rFonts w:ascii="Arial" w:hAnsi="Arial" w:cs="Arial"/>
        </w:rPr>
        <w:t xml:space="preserve"> in both the Day-Ahead and Real-Time markets.  </w:t>
      </w:r>
      <w:r w:rsidR="00641920" w:rsidRPr="0002093C">
        <w:rPr>
          <w:rFonts w:ascii="Arial" w:hAnsi="Arial" w:cs="Arial"/>
        </w:rPr>
        <w:t xml:space="preserve">The current CRR </w:t>
      </w:r>
      <w:r w:rsidR="00467267">
        <w:rPr>
          <w:rFonts w:ascii="Arial" w:hAnsi="Arial" w:cs="Arial"/>
        </w:rPr>
        <w:t>m</w:t>
      </w:r>
      <w:r w:rsidR="00641920" w:rsidRPr="0002093C">
        <w:rPr>
          <w:rFonts w:ascii="Arial" w:hAnsi="Arial" w:cs="Arial"/>
        </w:rPr>
        <w:t>arket structure supports multiple bids per unique combination of source, sink, Time Of Use (TOU), and period during CRR Auctions</w:t>
      </w:r>
      <w:r w:rsidR="00C679AE" w:rsidRPr="0002093C">
        <w:rPr>
          <w:rFonts w:ascii="Arial" w:hAnsi="Arial" w:cs="Arial"/>
        </w:rPr>
        <w:t>, which</w:t>
      </w:r>
      <w:r w:rsidR="00641920" w:rsidRPr="0002093C">
        <w:rPr>
          <w:rFonts w:ascii="Arial" w:hAnsi="Arial" w:cs="Arial"/>
        </w:rPr>
        <w:t xml:space="preserve"> is critical to ensure that </w:t>
      </w:r>
      <w:r w:rsidR="00467267">
        <w:rPr>
          <w:rFonts w:ascii="Arial" w:hAnsi="Arial" w:cs="Arial"/>
        </w:rPr>
        <w:t>M</w:t>
      </w:r>
      <w:r w:rsidR="00641920" w:rsidRPr="0002093C">
        <w:rPr>
          <w:rFonts w:ascii="Arial" w:hAnsi="Arial" w:cs="Arial"/>
        </w:rPr>
        <w:t xml:space="preserve">arket </w:t>
      </w:r>
      <w:r w:rsidR="00467267">
        <w:rPr>
          <w:rFonts w:ascii="Arial" w:hAnsi="Arial" w:cs="Arial"/>
        </w:rPr>
        <w:t>P</w:t>
      </w:r>
      <w:r w:rsidR="00641920" w:rsidRPr="0002093C">
        <w:rPr>
          <w:rFonts w:ascii="Arial" w:hAnsi="Arial" w:cs="Arial"/>
        </w:rPr>
        <w:t xml:space="preserve">articipants </w:t>
      </w:r>
      <w:r w:rsidR="00976404" w:rsidRPr="0002093C">
        <w:rPr>
          <w:rFonts w:ascii="Arial" w:hAnsi="Arial" w:cs="Arial"/>
        </w:rPr>
        <w:t>can</w:t>
      </w:r>
      <w:r w:rsidR="00641920" w:rsidRPr="0002093C">
        <w:rPr>
          <w:rFonts w:ascii="Arial" w:hAnsi="Arial" w:cs="Arial"/>
        </w:rPr>
        <w:t xml:space="preserve"> adequately hedg</w:t>
      </w:r>
      <w:r w:rsidR="00C679AE" w:rsidRPr="0002093C">
        <w:rPr>
          <w:rFonts w:ascii="Arial" w:hAnsi="Arial" w:cs="Arial"/>
        </w:rPr>
        <w:t xml:space="preserve">e risk </w:t>
      </w:r>
      <w:r w:rsidR="00641920" w:rsidRPr="0002093C">
        <w:rPr>
          <w:rFonts w:ascii="Arial" w:hAnsi="Arial" w:cs="Arial"/>
        </w:rPr>
        <w:t xml:space="preserve">across the entire range of </w:t>
      </w:r>
      <w:r w:rsidR="00C679AE" w:rsidRPr="0002093C">
        <w:rPr>
          <w:rFonts w:ascii="Arial" w:hAnsi="Arial" w:cs="Arial"/>
        </w:rPr>
        <w:t xml:space="preserve">potential </w:t>
      </w:r>
      <w:r w:rsidR="00641920" w:rsidRPr="0002093C">
        <w:rPr>
          <w:rFonts w:ascii="Arial" w:hAnsi="Arial" w:cs="Arial"/>
        </w:rPr>
        <w:t xml:space="preserve">generation </w:t>
      </w:r>
      <w:r w:rsidR="009B6B7B" w:rsidRPr="0002093C">
        <w:rPr>
          <w:rFonts w:ascii="Arial" w:hAnsi="Arial" w:cs="Arial"/>
        </w:rPr>
        <w:t>profiles</w:t>
      </w:r>
      <w:r w:rsidR="00641920" w:rsidRPr="0002093C">
        <w:rPr>
          <w:rFonts w:ascii="Arial" w:hAnsi="Arial" w:cs="Arial"/>
        </w:rPr>
        <w:t xml:space="preserve">. </w:t>
      </w:r>
    </w:p>
    <w:p w14:paraId="04AE2E5B" w14:textId="0677DCF9" w:rsidR="00976404" w:rsidRDefault="00C679AE" w:rsidP="002E1CE2">
      <w:pPr>
        <w:spacing w:before="120" w:after="120" w:line="278" w:lineRule="auto"/>
        <w:rPr>
          <w:rFonts w:ascii="Arial" w:hAnsi="Arial" w:cs="Arial"/>
        </w:rPr>
      </w:pPr>
      <w:r w:rsidRPr="0002093C">
        <w:rPr>
          <w:rFonts w:ascii="Arial" w:hAnsi="Arial" w:cs="Arial"/>
        </w:rPr>
        <w:t>SC Energy Partners LLC’s proposal to limit bids to two price-quantity (</w:t>
      </w:r>
      <w:r w:rsidR="002E1CE2">
        <w:rPr>
          <w:rFonts w:ascii="Arial" w:hAnsi="Arial" w:cs="Arial"/>
        </w:rPr>
        <w:t>“</w:t>
      </w:r>
      <w:r w:rsidRPr="0002093C">
        <w:rPr>
          <w:rFonts w:ascii="Arial" w:hAnsi="Arial" w:cs="Arial"/>
        </w:rPr>
        <w:t>PQ</w:t>
      </w:r>
      <w:r w:rsidR="002E1CE2">
        <w:rPr>
          <w:rFonts w:ascii="Arial" w:hAnsi="Arial" w:cs="Arial"/>
        </w:rPr>
        <w:t>”</w:t>
      </w:r>
      <w:r w:rsidRPr="0002093C">
        <w:rPr>
          <w:rFonts w:ascii="Arial" w:hAnsi="Arial" w:cs="Arial"/>
        </w:rPr>
        <w:t xml:space="preserve">) pairs per path would reduce this granularity, thereby impairing participants' ability to manage portfolio risk effectively. </w:t>
      </w:r>
      <w:r w:rsidR="002E1CE2">
        <w:rPr>
          <w:rFonts w:ascii="Arial" w:hAnsi="Arial" w:cs="Arial"/>
        </w:rPr>
        <w:t xml:space="preserve"> </w:t>
      </w:r>
      <w:r w:rsidR="00976404" w:rsidRPr="0002093C">
        <w:rPr>
          <w:rFonts w:ascii="Arial" w:hAnsi="Arial" w:cs="Arial"/>
        </w:rPr>
        <w:t xml:space="preserve">For </w:t>
      </w:r>
      <w:r w:rsidRPr="0002093C">
        <w:rPr>
          <w:rFonts w:ascii="Arial" w:hAnsi="Arial" w:cs="Arial"/>
        </w:rPr>
        <w:t>e</w:t>
      </w:r>
      <w:r w:rsidR="00976404" w:rsidRPr="0002093C">
        <w:rPr>
          <w:rFonts w:ascii="Arial" w:hAnsi="Arial" w:cs="Arial"/>
        </w:rPr>
        <w:t>xample, PQ pair</w:t>
      </w:r>
      <w:r w:rsidRPr="0002093C">
        <w:rPr>
          <w:rFonts w:ascii="Arial" w:hAnsi="Arial" w:cs="Arial"/>
        </w:rPr>
        <w:t>s</w:t>
      </w:r>
      <w:r w:rsidR="00976404" w:rsidRPr="0002093C">
        <w:rPr>
          <w:rFonts w:ascii="Arial" w:hAnsi="Arial" w:cs="Arial"/>
        </w:rPr>
        <w:t xml:space="preserve"> for a Market Participant trying to hedge a 1</w:t>
      </w:r>
      <w:r w:rsidRPr="0002093C">
        <w:rPr>
          <w:rFonts w:ascii="Arial" w:hAnsi="Arial" w:cs="Arial"/>
        </w:rPr>
        <w:t>,</w:t>
      </w:r>
      <w:r w:rsidR="00976404" w:rsidRPr="0002093C">
        <w:rPr>
          <w:rFonts w:ascii="Arial" w:hAnsi="Arial" w:cs="Arial"/>
        </w:rPr>
        <w:t>000</w:t>
      </w:r>
      <w:r w:rsidRPr="0002093C">
        <w:rPr>
          <w:rFonts w:ascii="Arial" w:hAnsi="Arial" w:cs="Arial"/>
        </w:rPr>
        <w:t xml:space="preserve"> </w:t>
      </w:r>
      <w:r w:rsidR="00976404" w:rsidRPr="0002093C">
        <w:rPr>
          <w:rFonts w:ascii="Arial" w:hAnsi="Arial" w:cs="Arial"/>
        </w:rPr>
        <w:t xml:space="preserve">MW </w:t>
      </w:r>
      <w:r w:rsidRPr="0002093C">
        <w:rPr>
          <w:rFonts w:ascii="Arial" w:hAnsi="Arial" w:cs="Arial"/>
        </w:rPr>
        <w:t>g</w:t>
      </w:r>
      <w:r w:rsidR="00976404" w:rsidRPr="0002093C">
        <w:rPr>
          <w:rFonts w:ascii="Arial" w:hAnsi="Arial" w:cs="Arial"/>
        </w:rPr>
        <w:t>enerator could be</w:t>
      </w:r>
      <w:r w:rsidRPr="0002093C">
        <w:rPr>
          <w:rFonts w:ascii="Arial" w:hAnsi="Arial" w:cs="Arial"/>
        </w:rPr>
        <w:t xml:space="preserve"> either</w:t>
      </w:r>
      <w:r w:rsidR="00976404" w:rsidRPr="0002093C">
        <w:rPr>
          <w:rFonts w:ascii="Arial" w:hAnsi="Arial" w:cs="Arial"/>
        </w:rPr>
        <w:t>:</w:t>
      </w:r>
    </w:p>
    <w:tbl>
      <w:tblPr>
        <w:tblW w:w="6048" w:type="dxa"/>
        <w:tblLook w:val="04A0" w:firstRow="1" w:lastRow="0" w:firstColumn="1" w:lastColumn="0" w:noHBand="0" w:noVBand="1"/>
      </w:tblPr>
      <w:tblGrid>
        <w:gridCol w:w="1638"/>
        <w:gridCol w:w="1260"/>
        <w:gridCol w:w="1620"/>
        <w:gridCol w:w="1530"/>
      </w:tblGrid>
      <w:tr w:rsidR="00976404" w:rsidRPr="0002093C" w14:paraId="4E33F229" w14:textId="77777777" w:rsidTr="007F351E">
        <w:trPr>
          <w:trHeight w:val="300"/>
        </w:trPr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9350EC9" w14:textId="77777777" w:rsidR="00976404" w:rsidRPr="0002093C" w:rsidRDefault="00976404" w:rsidP="000209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093C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Current 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384F18F" w14:textId="77777777" w:rsidR="00976404" w:rsidRPr="0002093C" w:rsidRDefault="00976404" w:rsidP="000209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2093C">
              <w:rPr>
                <w:rFonts w:ascii="Arial" w:hAnsi="Arial" w:cs="Arial"/>
                <w:b/>
                <w:bCs/>
                <w:color w:val="000000"/>
              </w:rPr>
              <w:t xml:space="preserve">Proposed </w:t>
            </w:r>
            <w:r w:rsidR="00C679AE" w:rsidRPr="0002093C">
              <w:rPr>
                <w:rFonts w:ascii="Arial" w:hAnsi="Arial" w:cs="Arial"/>
                <w:b/>
                <w:bCs/>
                <w:color w:val="000000"/>
              </w:rPr>
              <w:t>NPRR1297</w:t>
            </w:r>
          </w:p>
        </w:tc>
      </w:tr>
      <w:tr w:rsidR="00976404" w:rsidRPr="0002093C" w14:paraId="221F96B5" w14:textId="77777777" w:rsidTr="007F351E">
        <w:trPr>
          <w:trHeight w:val="30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DE86F" w14:textId="77777777" w:rsidR="00976404" w:rsidRPr="0002093C" w:rsidRDefault="00976404" w:rsidP="000209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093C">
              <w:rPr>
                <w:rFonts w:ascii="Arial" w:hAnsi="Arial" w:cs="Arial"/>
                <w:b/>
                <w:bCs/>
                <w:color w:val="000000"/>
              </w:rPr>
              <w:t>Bid Quantity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2AC67D" w14:textId="77777777" w:rsidR="00976404" w:rsidRPr="0002093C" w:rsidRDefault="00976404" w:rsidP="000209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093C">
              <w:rPr>
                <w:rFonts w:ascii="Arial" w:hAnsi="Arial" w:cs="Arial"/>
                <w:b/>
                <w:bCs/>
                <w:color w:val="000000"/>
              </w:rPr>
              <w:t>Bid Price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0D6CEC" w14:textId="77777777" w:rsidR="00976404" w:rsidRPr="0002093C" w:rsidRDefault="00976404" w:rsidP="000209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093C">
              <w:rPr>
                <w:rFonts w:ascii="Arial" w:hAnsi="Arial" w:cs="Arial"/>
                <w:b/>
                <w:bCs/>
                <w:color w:val="000000"/>
              </w:rPr>
              <w:t>Bid Quantity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B186675" w14:textId="77777777" w:rsidR="00976404" w:rsidRPr="0002093C" w:rsidRDefault="00976404" w:rsidP="000209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093C">
              <w:rPr>
                <w:rFonts w:ascii="Arial" w:hAnsi="Arial" w:cs="Arial"/>
                <w:b/>
                <w:bCs/>
                <w:color w:val="000000"/>
              </w:rPr>
              <w:t>Bid Price</w:t>
            </w:r>
          </w:p>
        </w:tc>
      </w:tr>
      <w:tr w:rsidR="00976404" w:rsidRPr="0002093C" w14:paraId="11F11DD0" w14:textId="77777777" w:rsidTr="007F351E">
        <w:trPr>
          <w:trHeight w:val="29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56F80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F361DB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0.1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DFF06" w14:textId="77777777" w:rsidR="00976404" w:rsidRPr="0002093C" w:rsidRDefault="00976404" w:rsidP="0002093C">
            <w:pPr>
              <w:jc w:val="right"/>
              <w:rPr>
                <w:rFonts w:ascii="Arial" w:hAnsi="Arial" w:cs="Arial"/>
                <w:color w:val="000000"/>
              </w:rPr>
            </w:pPr>
            <w:r w:rsidRPr="0002093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2D7BBE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0.25</w:t>
            </w:r>
          </w:p>
        </w:tc>
      </w:tr>
      <w:tr w:rsidR="00976404" w:rsidRPr="0002093C" w14:paraId="550E76B4" w14:textId="77777777" w:rsidTr="007F351E">
        <w:trPr>
          <w:trHeight w:val="29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17CB7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EA759C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0.2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EC88D" w14:textId="77777777" w:rsidR="00976404" w:rsidRPr="0002093C" w:rsidRDefault="00976404" w:rsidP="0002093C">
            <w:pPr>
              <w:jc w:val="right"/>
              <w:rPr>
                <w:rFonts w:ascii="Arial" w:hAnsi="Arial" w:cs="Arial"/>
                <w:color w:val="000000"/>
              </w:rPr>
            </w:pPr>
            <w:r w:rsidRPr="0002093C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508BC2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0.75</w:t>
            </w:r>
          </w:p>
        </w:tc>
      </w:tr>
      <w:tr w:rsidR="00976404" w:rsidRPr="0002093C" w14:paraId="314A84D9" w14:textId="77777777" w:rsidTr="007F351E">
        <w:trPr>
          <w:trHeight w:val="29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CC071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9F7BDA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0.3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85F3B00" w14:textId="77777777" w:rsidR="00976404" w:rsidRPr="0002093C" w:rsidRDefault="00976404" w:rsidP="0002093C">
            <w:pPr>
              <w:rPr>
                <w:rFonts w:ascii="Arial" w:hAnsi="Arial" w:cs="Arial"/>
                <w:color w:val="000000"/>
              </w:rPr>
            </w:pPr>
            <w:r w:rsidRPr="000209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6762E9" w14:textId="77777777" w:rsidR="00976404" w:rsidRPr="0002093C" w:rsidRDefault="00976404" w:rsidP="0002093C">
            <w:pPr>
              <w:rPr>
                <w:rFonts w:ascii="Arial" w:hAnsi="Arial" w:cs="Arial"/>
                <w:color w:val="000000"/>
              </w:rPr>
            </w:pPr>
            <w:r w:rsidRPr="0002093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76404" w:rsidRPr="0002093C" w14:paraId="24072545" w14:textId="77777777" w:rsidTr="007F351E">
        <w:trPr>
          <w:trHeight w:val="29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74A95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54F01F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0.4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8CC5BB" w14:textId="77777777" w:rsidR="00976404" w:rsidRPr="0002093C" w:rsidRDefault="00976404" w:rsidP="0002093C">
            <w:pPr>
              <w:rPr>
                <w:rFonts w:ascii="Arial" w:hAnsi="Arial" w:cs="Arial"/>
                <w:color w:val="000000"/>
              </w:rPr>
            </w:pPr>
            <w:r w:rsidRPr="000209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C8A6310" w14:textId="77777777" w:rsidR="00976404" w:rsidRPr="0002093C" w:rsidRDefault="00976404" w:rsidP="0002093C">
            <w:pPr>
              <w:rPr>
                <w:rFonts w:ascii="Arial" w:hAnsi="Arial" w:cs="Arial"/>
                <w:color w:val="000000"/>
              </w:rPr>
            </w:pPr>
            <w:r w:rsidRPr="0002093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76404" w:rsidRPr="0002093C" w14:paraId="74018F50" w14:textId="77777777" w:rsidTr="007F351E">
        <w:trPr>
          <w:trHeight w:val="29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D9458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A0CA5D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0.5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F8015D3" w14:textId="77777777" w:rsidR="00976404" w:rsidRPr="0002093C" w:rsidRDefault="00976404" w:rsidP="0002093C">
            <w:pPr>
              <w:rPr>
                <w:rFonts w:ascii="Arial" w:hAnsi="Arial" w:cs="Arial"/>
                <w:color w:val="FF0000"/>
              </w:rPr>
            </w:pPr>
            <w:r w:rsidRPr="0002093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FD1F06E" w14:textId="77777777" w:rsidR="00976404" w:rsidRPr="0002093C" w:rsidRDefault="00976404" w:rsidP="0002093C">
            <w:pPr>
              <w:rPr>
                <w:rFonts w:ascii="Arial" w:hAnsi="Arial" w:cs="Arial"/>
                <w:color w:val="000000"/>
              </w:rPr>
            </w:pPr>
            <w:r w:rsidRPr="0002093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76404" w:rsidRPr="0002093C" w14:paraId="3BAB4B00" w14:textId="77777777" w:rsidTr="007F351E">
        <w:trPr>
          <w:trHeight w:val="29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3EAB8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B07C06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0.6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192AA4D" w14:textId="77777777" w:rsidR="00976404" w:rsidRPr="0002093C" w:rsidRDefault="00976404" w:rsidP="0002093C">
            <w:pPr>
              <w:rPr>
                <w:rFonts w:ascii="Arial" w:hAnsi="Arial" w:cs="Arial"/>
                <w:color w:val="000000"/>
              </w:rPr>
            </w:pPr>
            <w:r w:rsidRPr="000209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29C27B0" w14:textId="77777777" w:rsidR="00976404" w:rsidRPr="0002093C" w:rsidRDefault="00976404" w:rsidP="0002093C">
            <w:pPr>
              <w:rPr>
                <w:rFonts w:ascii="Arial" w:hAnsi="Arial" w:cs="Arial"/>
                <w:color w:val="000000"/>
              </w:rPr>
            </w:pPr>
            <w:r w:rsidRPr="0002093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76404" w:rsidRPr="0002093C" w14:paraId="2A66ABAC" w14:textId="77777777" w:rsidTr="007F351E">
        <w:trPr>
          <w:trHeight w:val="29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92475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A864BD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0.7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02D5E08" w14:textId="77777777" w:rsidR="00976404" w:rsidRPr="0002093C" w:rsidRDefault="00976404" w:rsidP="0002093C">
            <w:pPr>
              <w:rPr>
                <w:rFonts w:ascii="Arial" w:hAnsi="Arial" w:cs="Arial"/>
                <w:color w:val="000000"/>
              </w:rPr>
            </w:pPr>
            <w:r w:rsidRPr="000209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7D3BA9" w14:textId="77777777" w:rsidR="00976404" w:rsidRPr="0002093C" w:rsidRDefault="00976404" w:rsidP="0002093C">
            <w:pPr>
              <w:rPr>
                <w:rFonts w:ascii="Arial" w:hAnsi="Arial" w:cs="Arial"/>
                <w:color w:val="000000"/>
              </w:rPr>
            </w:pPr>
            <w:r w:rsidRPr="0002093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76404" w:rsidRPr="0002093C" w14:paraId="28287F48" w14:textId="77777777" w:rsidTr="007F351E">
        <w:trPr>
          <w:trHeight w:val="29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4A0D4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2AB975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0.8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119B28C" w14:textId="77777777" w:rsidR="00976404" w:rsidRPr="0002093C" w:rsidRDefault="00976404" w:rsidP="0002093C">
            <w:pPr>
              <w:rPr>
                <w:rFonts w:ascii="Arial" w:hAnsi="Arial" w:cs="Arial"/>
                <w:color w:val="000000"/>
              </w:rPr>
            </w:pPr>
            <w:r w:rsidRPr="000209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1E34DB3" w14:textId="77777777" w:rsidR="00976404" w:rsidRPr="0002093C" w:rsidRDefault="00976404" w:rsidP="0002093C">
            <w:pPr>
              <w:rPr>
                <w:rFonts w:ascii="Arial" w:hAnsi="Arial" w:cs="Arial"/>
                <w:color w:val="000000"/>
              </w:rPr>
            </w:pPr>
            <w:r w:rsidRPr="0002093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76404" w:rsidRPr="0002093C" w14:paraId="59F7F2B6" w14:textId="77777777" w:rsidTr="007F351E">
        <w:trPr>
          <w:trHeight w:val="29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7A9ED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2EA87D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0.9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C029083" w14:textId="77777777" w:rsidR="00976404" w:rsidRPr="0002093C" w:rsidRDefault="00976404" w:rsidP="0002093C">
            <w:pPr>
              <w:rPr>
                <w:rFonts w:ascii="Arial" w:hAnsi="Arial" w:cs="Arial"/>
                <w:color w:val="000000"/>
              </w:rPr>
            </w:pPr>
            <w:r w:rsidRPr="0002093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96EC7E8" w14:textId="77777777" w:rsidR="00976404" w:rsidRPr="0002093C" w:rsidRDefault="00976404" w:rsidP="0002093C">
            <w:pPr>
              <w:rPr>
                <w:rFonts w:ascii="Arial" w:hAnsi="Arial" w:cs="Arial"/>
                <w:color w:val="000000"/>
              </w:rPr>
            </w:pPr>
            <w:r w:rsidRPr="0002093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76404" w:rsidRPr="0002093C" w14:paraId="3C44FEBB" w14:textId="77777777" w:rsidTr="007F351E">
        <w:trPr>
          <w:trHeight w:val="30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270B62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EC6B38" w14:textId="77777777" w:rsidR="00976404" w:rsidRPr="0002093C" w:rsidRDefault="00976404" w:rsidP="0002093C">
            <w:pPr>
              <w:jc w:val="right"/>
              <w:rPr>
                <w:rFonts w:ascii="Arial" w:hAnsi="Arial" w:cs="Arial"/>
              </w:rPr>
            </w:pPr>
            <w:r w:rsidRPr="0002093C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4DA1B2A" w14:textId="77777777" w:rsidR="00976404" w:rsidRPr="0002093C" w:rsidRDefault="00976404" w:rsidP="0002093C">
            <w:pPr>
              <w:rPr>
                <w:rFonts w:ascii="Arial" w:hAnsi="Arial" w:cs="Arial"/>
                <w:color w:val="FF0000"/>
              </w:rPr>
            </w:pPr>
            <w:r w:rsidRPr="0002093C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50C93D" w14:textId="77777777" w:rsidR="00976404" w:rsidRPr="0002093C" w:rsidRDefault="00976404" w:rsidP="0002093C">
            <w:pPr>
              <w:rPr>
                <w:rFonts w:ascii="Arial" w:hAnsi="Arial" w:cs="Arial"/>
                <w:color w:val="000000"/>
              </w:rPr>
            </w:pPr>
            <w:r w:rsidRPr="0002093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4A8D541B" w14:textId="6A0D2B64" w:rsidR="00B827A3" w:rsidRPr="0002093C" w:rsidRDefault="00507834" w:rsidP="002E1CE2">
      <w:pPr>
        <w:spacing w:before="120" w:after="120" w:line="278" w:lineRule="auto"/>
        <w:rPr>
          <w:rFonts w:ascii="Arial" w:hAnsi="Arial" w:cs="Arial"/>
        </w:rPr>
      </w:pPr>
      <w:r w:rsidRPr="0002093C">
        <w:rPr>
          <w:rFonts w:ascii="Arial" w:hAnsi="Arial" w:cs="Arial"/>
        </w:rPr>
        <w:t>LSEs, such as Retail Electric Providers (REPs)</w:t>
      </w:r>
      <w:r w:rsidR="008574BE">
        <w:rPr>
          <w:rFonts w:ascii="Arial" w:hAnsi="Arial" w:cs="Arial"/>
        </w:rPr>
        <w:t>,</w:t>
      </w:r>
      <w:r w:rsidRPr="0002093C">
        <w:rPr>
          <w:rFonts w:ascii="Arial" w:hAnsi="Arial" w:cs="Arial"/>
        </w:rPr>
        <w:t xml:space="preserve"> use CRRs to protect themselves and their </w:t>
      </w:r>
      <w:r w:rsidR="005E29AC">
        <w:rPr>
          <w:rFonts w:ascii="Arial" w:hAnsi="Arial" w:cs="Arial"/>
        </w:rPr>
        <w:t>C</w:t>
      </w:r>
      <w:r w:rsidRPr="0002093C">
        <w:rPr>
          <w:rFonts w:ascii="Arial" w:hAnsi="Arial" w:cs="Arial"/>
        </w:rPr>
        <w:t xml:space="preserve">ustomers from the unpredictable and often volatile costs that arise when the </w:t>
      </w:r>
      <w:r w:rsidR="00C679AE" w:rsidRPr="0002093C">
        <w:rPr>
          <w:rFonts w:ascii="Arial" w:hAnsi="Arial" w:cs="Arial"/>
        </w:rPr>
        <w:t xml:space="preserve">transmission </w:t>
      </w:r>
      <w:r w:rsidRPr="0002093C">
        <w:rPr>
          <w:rFonts w:ascii="Arial" w:hAnsi="Arial" w:cs="Arial"/>
        </w:rPr>
        <w:t xml:space="preserve">grid becomes constrained, ultimately ensuring more stable and predictable retail energy costs.  By using CRRs to manage this risk, </w:t>
      </w:r>
      <w:r w:rsidR="00C679AE" w:rsidRPr="0002093C">
        <w:rPr>
          <w:rFonts w:ascii="Arial" w:hAnsi="Arial" w:cs="Arial"/>
        </w:rPr>
        <w:t xml:space="preserve">REPs </w:t>
      </w:r>
      <w:r w:rsidRPr="0002093C">
        <w:rPr>
          <w:rFonts w:ascii="Arial" w:hAnsi="Arial" w:cs="Arial"/>
        </w:rPr>
        <w:t xml:space="preserve">can offer more stable and competitive fixed-rate plans to their </w:t>
      </w:r>
      <w:r w:rsidR="00467267">
        <w:rPr>
          <w:rFonts w:ascii="Arial" w:hAnsi="Arial" w:cs="Arial"/>
        </w:rPr>
        <w:t>C</w:t>
      </w:r>
      <w:r w:rsidRPr="0002093C">
        <w:rPr>
          <w:rFonts w:ascii="Arial" w:hAnsi="Arial" w:cs="Arial"/>
        </w:rPr>
        <w:t>ustomers. </w:t>
      </w:r>
      <w:r w:rsidR="00467267">
        <w:rPr>
          <w:rFonts w:ascii="Arial" w:hAnsi="Arial" w:cs="Arial"/>
        </w:rPr>
        <w:t xml:space="preserve"> </w:t>
      </w:r>
      <w:r w:rsidRPr="0002093C">
        <w:rPr>
          <w:rFonts w:ascii="Arial" w:hAnsi="Arial" w:cs="Arial"/>
        </w:rPr>
        <w:t xml:space="preserve">In addition, by providing a tool to hedge transmission costs, CRRs allow </w:t>
      </w:r>
      <w:r w:rsidR="00C679AE" w:rsidRPr="0002093C">
        <w:rPr>
          <w:rFonts w:ascii="Arial" w:hAnsi="Arial" w:cs="Arial"/>
        </w:rPr>
        <w:t xml:space="preserve">REPs </w:t>
      </w:r>
      <w:r w:rsidRPr="0002093C">
        <w:rPr>
          <w:rFonts w:ascii="Arial" w:hAnsi="Arial" w:cs="Arial"/>
        </w:rPr>
        <w:t>to compete more effectively with one another. This fosters a more competitive market for retail electricity by mitigating a significant source of risk that could otherwise favor LSEs with greater proximity to major generation hubs. </w:t>
      </w:r>
      <w:r w:rsidR="00467267">
        <w:rPr>
          <w:rFonts w:ascii="Arial" w:hAnsi="Arial" w:cs="Arial"/>
        </w:rPr>
        <w:t xml:space="preserve"> </w:t>
      </w:r>
      <w:r w:rsidRPr="0002093C">
        <w:rPr>
          <w:rFonts w:ascii="Arial" w:hAnsi="Arial" w:cs="Arial"/>
        </w:rPr>
        <w:t xml:space="preserve">The current CRR Market structure that supports multiple bids per unique combination of source, sink, TOU, and period during CRR Auctions provides </w:t>
      </w:r>
      <w:r w:rsidR="008971CB" w:rsidRPr="0002093C">
        <w:rPr>
          <w:rFonts w:ascii="Arial" w:hAnsi="Arial" w:cs="Arial"/>
        </w:rPr>
        <w:t xml:space="preserve">appropriate </w:t>
      </w:r>
      <w:r w:rsidR="00840A93" w:rsidRPr="0002093C">
        <w:rPr>
          <w:rFonts w:ascii="Arial" w:hAnsi="Arial" w:cs="Arial"/>
        </w:rPr>
        <w:t xml:space="preserve">granularity </w:t>
      </w:r>
      <w:r w:rsidR="008971CB" w:rsidRPr="0002093C">
        <w:rPr>
          <w:rFonts w:ascii="Arial" w:hAnsi="Arial" w:cs="Arial"/>
        </w:rPr>
        <w:t xml:space="preserve">to </w:t>
      </w:r>
      <w:r w:rsidR="00F91204" w:rsidRPr="0002093C">
        <w:rPr>
          <w:rFonts w:ascii="Arial" w:hAnsi="Arial" w:cs="Arial"/>
        </w:rPr>
        <w:t>REPs</w:t>
      </w:r>
      <w:r w:rsidR="00F91204" w:rsidRPr="0002093C" w:rsidDel="00F91204">
        <w:rPr>
          <w:rFonts w:ascii="Arial" w:hAnsi="Arial" w:cs="Arial"/>
        </w:rPr>
        <w:t xml:space="preserve"> </w:t>
      </w:r>
      <w:r w:rsidR="008971CB" w:rsidRPr="0002093C">
        <w:rPr>
          <w:rFonts w:ascii="Arial" w:hAnsi="Arial" w:cs="Arial"/>
        </w:rPr>
        <w:t xml:space="preserve">to </w:t>
      </w:r>
      <w:r w:rsidR="00840A93" w:rsidRPr="0002093C">
        <w:rPr>
          <w:rFonts w:ascii="Arial" w:hAnsi="Arial" w:cs="Arial"/>
        </w:rPr>
        <w:t xml:space="preserve">efficiently </w:t>
      </w:r>
      <w:r w:rsidR="008971CB" w:rsidRPr="0002093C">
        <w:rPr>
          <w:rFonts w:ascii="Arial" w:hAnsi="Arial" w:cs="Arial"/>
        </w:rPr>
        <w:t>hedg</w:t>
      </w:r>
      <w:r w:rsidR="00840A93" w:rsidRPr="0002093C">
        <w:rPr>
          <w:rFonts w:ascii="Arial" w:hAnsi="Arial" w:cs="Arial"/>
        </w:rPr>
        <w:t>e</w:t>
      </w:r>
      <w:r w:rsidR="008971CB" w:rsidRPr="0002093C">
        <w:rPr>
          <w:rFonts w:ascii="Arial" w:hAnsi="Arial" w:cs="Arial"/>
        </w:rPr>
        <w:t xml:space="preserve"> their entire portfolio</w:t>
      </w:r>
      <w:r w:rsidR="005B701B" w:rsidRPr="0002093C">
        <w:rPr>
          <w:rFonts w:ascii="Arial" w:hAnsi="Arial" w:cs="Arial"/>
        </w:rPr>
        <w:t xml:space="preserve"> across a range of load scenarios</w:t>
      </w:r>
      <w:r w:rsidR="008971CB" w:rsidRPr="0002093C">
        <w:rPr>
          <w:rFonts w:ascii="Arial" w:hAnsi="Arial" w:cs="Arial"/>
        </w:rPr>
        <w:t>.</w:t>
      </w:r>
    </w:p>
    <w:p w14:paraId="2AE06F0B" w14:textId="12F929CA" w:rsidR="002672E9" w:rsidRPr="0002093C" w:rsidRDefault="009B6B7B" w:rsidP="002E1CE2">
      <w:pPr>
        <w:pStyle w:val="NormalArial"/>
        <w:spacing w:before="120" w:after="120"/>
        <w:rPr>
          <w:rFonts w:cs="Arial"/>
        </w:rPr>
      </w:pPr>
      <w:r w:rsidRPr="0002093C">
        <w:rPr>
          <w:rFonts w:cs="Arial"/>
        </w:rPr>
        <w:t xml:space="preserve">To summarize, CRRs, in its current form, </w:t>
      </w:r>
      <w:r w:rsidR="005B701B" w:rsidRPr="0002093C">
        <w:rPr>
          <w:rFonts w:cs="Arial"/>
        </w:rPr>
        <w:t xml:space="preserve">help to </w:t>
      </w:r>
      <w:r w:rsidRPr="0002093C">
        <w:rPr>
          <w:rFonts w:cs="Arial"/>
        </w:rPr>
        <w:t xml:space="preserve">provide predictable financial outcomes and manage cost uncertainties for both </w:t>
      </w:r>
      <w:r w:rsidR="005B701B" w:rsidRPr="0002093C">
        <w:rPr>
          <w:rFonts w:cs="Arial"/>
        </w:rPr>
        <w:t>g</w:t>
      </w:r>
      <w:r w:rsidRPr="0002093C">
        <w:rPr>
          <w:rFonts w:cs="Arial"/>
        </w:rPr>
        <w:t xml:space="preserve">enerators and </w:t>
      </w:r>
      <w:proofErr w:type="spellStart"/>
      <w:r w:rsidR="007F351E" w:rsidRPr="0002093C">
        <w:rPr>
          <w:rFonts w:cs="Arial"/>
        </w:rPr>
        <w:t>REPs</w:t>
      </w:r>
      <w:r w:rsidRPr="0002093C">
        <w:rPr>
          <w:rFonts w:cs="Arial"/>
        </w:rPr>
        <w:t>.</w:t>
      </w:r>
      <w:proofErr w:type="spellEnd"/>
      <w:r w:rsidRPr="0002093C">
        <w:rPr>
          <w:rFonts w:cs="Arial"/>
        </w:rPr>
        <w:t xml:space="preserve"> </w:t>
      </w:r>
      <w:r w:rsidR="00F30BF2">
        <w:rPr>
          <w:rFonts w:cs="Arial"/>
        </w:rPr>
        <w:t xml:space="preserve"> </w:t>
      </w:r>
      <w:r w:rsidR="00AF293B" w:rsidRPr="0002093C">
        <w:rPr>
          <w:rFonts w:cs="Arial"/>
        </w:rPr>
        <w:t xml:space="preserve">Amid the </w:t>
      </w:r>
      <w:r w:rsidR="005B701B" w:rsidRPr="0002093C">
        <w:rPr>
          <w:rFonts w:cs="Arial"/>
        </w:rPr>
        <w:t xml:space="preserve">many </w:t>
      </w:r>
      <w:r w:rsidR="00AF293B" w:rsidRPr="0002093C">
        <w:rPr>
          <w:rFonts w:cs="Arial"/>
        </w:rPr>
        <w:t xml:space="preserve">current uncertainties in the ERCOT market, it is </w:t>
      </w:r>
      <w:r w:rsidR="00507834" w:rsidRPr="0002093C">
        <w:rPr>
          <w:rFonts w:cs="Arial"/>
        </w:rPr>
        <w:t xml:space="preserve">imperative that any proposed change does not add to the challenge </w:t>
      </w:r>
      <w:r w:rsidR="00413D39" w:rsidRPr="0002093C">
        <w:rPr>
          <w:rFonts w:cs="Arial"/>
        </w:rPr>
        <w:t xml:space="preserve">of </w:t>
      </w:r>
      <w:r w:rsidR="005B701B" w:rsidRPr="0002093C">
        <w:rPr>
          <w:rFonts w:cs="Arial"/>
        </w:rPr>
        <w:t xml:space="preserve">navigating risk in the </w:t>
      </w:r>
      <w:r w:rsidR="00507834" w:rsidRPr="0002093C">
        <w:rPr>
          <w:rFonts w:cs="Arial"/>
        </w:rPr>
        <w:t>competitive energy market</w:t>
      </w:r>
      <w:r w:rsidR="00F424F9" w:rsidRPr="0002093C">
        <w:rPr>
          <w:rFonts w:cs="Arial"/>
        </w:rPr>
        <w:t>.</w:t>
      </w:r>
    </w:p>
    <w:p w14:paraId="48618A84" w14:textId="5B75E6CA" w:rsidR="00BD7258" w:rsidRPr="0002093C" w:rsidRDefault="002672E9" w:rsidP="002E1CE2">
      <w:pPr>
        <w:pStyle w:val="NormalArial"/>
        <w:spacing w:before="120" w:after="120"/>
        <w:rPr>
          <w:rFonts w:cs="Arial"/>
        </w:rPr>
      </w:pPr>
      <w:r w:rsidRPr="0002093C">
        <w:rPr>
          <w:rFonts w:cs="Arial"/>
        </w:rPr>
        <w:t xml:space="preserve">For the reasons stated above, Vistra recommends </w:t>
      </w:r>
      <w:r w:rsidR="00134B28" w:rsidRPr="0002093C">
        <w:rPr>
          <w:rFonts w:cs="Arial"/>
        </w:rPr>
        <w:t>NPRR1297</w:t>
      </w:r>
      <w:r w:rsidRPr="0002093C">
        <w:rPr>
          <w:rFonts w:cs="Arial"/>
        </w:rPr>
        <w:t xml:space="preserve"> be withdrawn from further consideration</w:t>
      </w:r>
      <w:r w:rsidR="00976404" w:rsidRPr="0002093C">
        <w:rPr>
          <w:rFonts w:cs="Arial"/>
        </w:rP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:rsidRPr="0002093C" w14:paraId="1C90E6D7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0BCBA8" w14:textId="77777777" w:rsidR="00BD7258" w:rsidRPr="0002093C" w:rsidRDefault="00BD7258" w:rsidP="00B5080A">
            <w:pPr>
              <w:pStyle w:val="Header"/>
              <w:jc w:val="center"/>
              <w:rPr>
                <w:rFonts w:cs="Arial"/>
              </w:rPr>
            </w:pPr>
            <w:r w:rsidRPr="0002093C">
              <w:rPr>
                <w:rFonts w:cs="Arial"/>
              </w:rPr>
              <w:t>Revised Cover Page Language</w:t>
            </w:r>
          </w:p>
        </w:tc>
      </w:tr>
    </w:tbl>
    <w:p w14:paraId="2AFC8BDB" w14:textId="3487DEAA" w:rsidR="00BD7258" w:rsidRPr="002E1CE2" w:rsidRDefault="002672E9" w:rsidP="002E1CE2">
      <w:pPr>
        <w:pStyle w:val="BodyText"/>
        <w:rPr>
          <w:rFonts w:ascii="Arial" w:hAnsi="Arial" w:cs="Arial"/>
          <w:bCs/>
        </w:rPr>
      </w:pPr>
      <w:r w:rsidRPr="0002093C"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:rsidRPr="0002093C" w14:paraId="29F79CF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8E2A40" w14:textId="77777777" w:rsidR="00152993" w:rsidRPr="0002093C" w:rsidRDefault="00152993">
            <w:pPr>
              <w:pStyle w:val="Header"/>
              <w:jc w:val="center"/>
              <w:rPr>
                <w:rFonts w:cs="Arial"/>
              </w:rPr>
            </w:pPr>
            <w:r w:rsidRPr="0002093C">
              <w:rPr>
                <w:rFonts w:cs="Arial"/>
              </w:rPr>
              <w:t>Revised Proposed Protocol Language</w:t>
            </w:r>
          </w:p>
        </w:tc>
      </w:tr>
    </w:tbl>
    <w:p w14:paraId="1B4E512E" w14:textId="77777777" w:rsidR="00152993" w:rsidRPr="0002093C" w:rsidRDefault="002672E9">
      <w:pPr>
        <w:pStyle w:val="BodyText"/>
        <w:rPr>
          <w:rFonts w:ascii="Arial" w:hAnsi="Arial" w:cs="Arial"/>
          <w:bCs/>
        </w:rPr>
      </w:pPr>
      <w:r w:rsidRPr="0002093C">
        <w:rPr>
          <w:rFonts w:ascii="Arial" w:hAnsi="Arial" w:cs="Arial"/>
          <w:bCs/>
        </w:rPr>
        <w:t>None</w:t>
      </w:r>
    </w:p>
    <w:sectPr w:rsidR="00152993" w:rsidRPr="0002093C" w:rsidSect="0074209E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C4EEE" w14:textId="77777777" w:rsidR="00514B95" w:rsidRDefault="00514B95">
      <w:r>
        <w:separator/>
      </w:r>
    </w:p>
  </w:endnote>
  <w:endnote w:type="continuationSeparator" w:id="0">
    <w:p w14:paraId="46118FB7" w14:textId="77777777" w:rsidR="00514B95" w:rsidRDefault="0051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E74B" w14:textId="3C713354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2E1CE2">
      <w:rPr>
        <w:rFonts w:ascii="Arial" w:hAnsi="Arial"/>
        <w:noProof/>
        <w:sz w:val="18"/>
      </w:rPr>
      <w:t>1297NPRR-02 Vistra Comments 090525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2E0109F4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14E97" w14:textId="77777777" w:rsidR="00514B95" w:rsidRDefault="00514B95">
      <w:r>
        <w:separator/>
      </w:r>
    </w:p>
  </w:footnote>
  <w:footnote w:type="continuationSeparator" w:id="0">
    <w:p w14:paraId="37696FD1" w14:textId="77777777" w:rsidR="00514B95" w:rsidRDefault="0051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BA3DD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4B5A0CA8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AB021F"/>
    <w:multiLevelType w:val="multilevel"/>
    <w:tmpl w:val="175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3237D"/>
    <w:multiLevelType w:val="hybridMultilevel"/>
    <w:tmpl w:val="3C02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80078307">
    <w:abstractNumId w:val="0"/>
  </w:num>
  <w:num w:numId="2" w16cid:durableId="1707634234">
    <w:abstractNumId w:val="3"/>
  </w:num>
  <w:num w:numId="3" w16cid:durableId="1861358332">
    <w:abstractNumId w:val="2"/>
  </w:num>
  <w:num w:numId="4" w16cid:durableId="10709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D"/>
    <w:rsid w:val="0002093C"/>
    <w:rsid w:val="00037668"/>
    <w:rsid w:val="00075A94"/>
    <w:rsid w:val="000C5614"/>
    <w:rsid w:val="00132855"/>
    <w:rsid w:val="00134B28"/>
    <w:rsid w:val="00152993"/>
    <w:rsid w:val="0015587E"/>
    <w:rsid w:val="00170297"/>
    <w:rsid w:val="001A227D"/>
    <w:rsid w:val="001E2032"/>
    <w:rsid w:val="00225802"/>
    <w:rsid w:val="002672E9"/>
    <w:rsid w:val="002E1CE2"/>
    <w:rsid w:val="003010C0"/>
    <w:rsid w:val="00332A97"/>
    <w:rsid w:val="00350C00"/>
    <w:rsid w:val="00366113"/>
    <w:rsid w:val="003C270C"/>
    <w:rsid w:val="003D0994"/>
    <w:rsid w:val="00413D39"/>
    <w:rsid w:val="00423824"/>
    <w:rsid w:val="0043567D"/>
    <w:rsid w:val="00467267"/>
    <w:rsid w:val="004801C6"/>
    <w:rsid w:val="004A1805"/>
    <w:rsid w:val="004B7B90"/>
    <w:rsid w:val="004E2C19"/>
    <w:rsid w:val="00507834"/>
    <w:rsid w:val="00514B95"/>
    <w:rsid w:val="005B701B"/>
    <w:rsid w:val="005D284C"/>
    <w:rsid w:val="005E29AC"/>
    <w:rsid w:val="00604512"/>
    <w:rsid w:val="00633E23"/>
    <w:rsid w:val="00641920"/>
    <w:rsid w:val="00673B94"/>
    <w:rsid w:val="00680AC6"/>
    <w:rsid w:val="006835D8"/>
    <w:rsid w:val="006C316E"/>
    <w:rsid w:val="006D0F7C"/>
    <w:rsid w:val="007269C4"/>
    <w:rsid w:val="0074209E"/>
    <w:rsid w:val="007F2CA8"/>
    <w:rsid w:val="007F351E"/>
    <w:rsid w:val="007F7161"/>
    <w:rsid w:val="00840A93"/>
    <w:rsid w:val="0085559E"/>
    <w:rsid w:val="008574BE"/>
    <w:rsid w:val="00896B1B"/>
    <w:rsid w:val="008971CB"/>
    <w:rsid w:val="008E481A"/>
    <w:rsid w:val="008E559E"/>
    <w:rsid w:val="008E7886"/>
    <w:rsid w:val="00916080"/>
    <w:rsid w:val="00921A68"/>
    <w:rsid w:val="00974A98"/>
    <w:rsid w:val="00976404"/>
    <w:rsid w:val="009B6B7B"/>
    <w:rsid w:val="00A015C4"/>
    <w:rsid w:val="00A15172"/>
    <w:rsid w:val="00AF293B"/>
    <w:rsid w:val="00B5080A"/>
    <w:rsid w:val="00B827A3"/>
    <w:rsid w:val="00B943AE"/>
    <w:rsid w:val="00BD7258"/>
    <w:rsid w:val="00C0598D"/>
    <w:rsid w:val="00C11956"/>
    <w:rsid w:val="00C54CAC"/>
    <w:rsid w:val="00C602E5"/>
    <w:rsid w:val="00C679AE"/>
    <w:rsid w:val="00C748FD"/>
    <w:rsid w:val="00CA16F5"/>
    <w:rsid w:val="00D26CBF"/>
    <w:rsid w:val="00D4046E"/>
    <w:rsid w:val="00D4362F"/>
    <w:rsid w:val="00DD4739"/>
    <w:rsid w:val="00DE4F42"/>
    <w:rsid w:val="00DE5F33"/>
    <w:rsid w:val="00E07B54"/>
    <w:rsid w:val="00E11F78"/>
    <w:rsid w:val="00E26D8D"/>
    <w:rsid w:val="00E27F49"/>
    <w:rsid w:val="00E621E1"/>
    <w:rsid w:val="00EC55B3"/>
    <w:rsid w:val="00EE6681"/>
    <w:rsid w:val="00F30BF2"/>
    <w:rsid w:val="00F424F9"/>
    <w:rsid w:val="00F91204"/>
    <w:rsid w:val="00F96FB2"/>
    <w:rsid w:val="00FA1108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78D05"/>
  <w15:chartTrackingRefBased/>
  <w15:docId w15:val="{EF0A70F3-6714-4E6C-B5A3-57E35CEE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table" w:customStyle="1" w:styleId="BoxedLanguage">
    <w:name w:val="Boxed Language"/>
    <w:basedOn w:val="TableNormal"/>
    <w:rsid w:val="0026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character" w:customStyle="1" w:styleId="NormalArialChar">
    <w:name w:val="Normal+Arial Char"/>
    <w:link w:val="NormalArial"/>
    <w:rsid w:val="002672E9"/>
    <w:rPr>
      <w:rFonts w:ascii="Arial" w:hAnsi="Arial"/>
      <w:sz w:val="24"/>
      <w:szCs w:val="24"/>
    </w:rPr>
  </w:style>
  <w:style w:type="character" w:customStyle="1" w:styleId="normaltextrun">
    <w:name w:val="normaltextrun"/>
    <w:basedOn w:val="DefaultParagraphFont"/>
    <w:rsid w:val="002672E9"/>
  </w:style>
  <w:style w:type="character" w:customStyle="1" w:styleId="eop">
    <w:name w:val="eop"/>
    <w:basedOn w:val="DefaultParagraphFont"/>
    <w:rsid w:val="002672E9"/>
  </w:style>
  <w:style w:type="character" w:styleId="UnresolvedMention">
    <w:name w:val="Unresolved Mention"/>
    <w:uiPriority w:val="99"/>
    <w:semiHidden/>
    <w:unhideWhenUsed/>
    <w:rsid w:val="002672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5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ed.bonskowski@vistracor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ica.jha@vistracorp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rcot.com/mktrules/issues/NPRR129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BFEBFDFFD3847B45188E2352039EE" ma:contentTypeVersion="6" ma:contentTypeDescription="Create a new document." ma:contentTypeScope="" ma:versionID="20836f7abd169c95b5ee9154357b5786">
  <xsd:schema xmlns:xsd="http://www.w3.org/2001/XMLSchema" xmlns:xs="http://www.w3.org/2001/XMLSchema" xmlns:p="http://schemas.microsoft.com/office/2006/metadata/properties" xmlns:ns1="http://schemas.microsoft.com/sharepoint/v3" xmlns:ns2="0e7f0178-c4f6-49ef-8e27-5f2d3e0fd230" targetNamespace="http://schemas.microsoft.com/office/2006/metadata/properties" ma:root="true" ma:fieldsID="6d7f645f33d90d130392415d0de862ce" ns1:_="" ns2:_="">
    <xsd:import namespace="http://schemas.microsoft.com/sharepoint/v3"/>
    <xsd:import namespace="0e7f0178-c4f6-49ef-8e27-5f2d3e0fd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0178-c4f6-49ef-8e27-5f2d3e0f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5DB02-F654-450D-B800-BE1D4D23B4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D82FA96-DF8B-426D-BABB-6387147A7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6164F-67C8-4800-B4E2-47F938E81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7f0178-c4f6-49ef-8e27-5f2d3e0fd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3921</CharactersWithSpaces>
  <SharedDoc>false</SharedDoc>
  <HLinks>
    <vt:vector size="18" baseType="variant">
      <vt:variant>
        <vt:i4>4063311</vt:i4>
      </vt:variant>
      <vt:variant>
        <vt:i4>6</vt:i4>
      </vt:variant>
      <vt:variant>
        <vt:i4>0</vt:i4>
      </vt:variant>
      <vt:variant>
        <vt:i4>5</vt:i4>
      </vt:variant>
      <vt:variant>
        <vt:lpwstr>mailto:ned.bonskowski@vistracorp.com</vt:lpwstr>
      </vt:variant>
      <vt:variant>
        <vt:lpwstr/>
      </vt:variant>
      <vt:variant>
        <vt:i4>6881281</vt:i4>
      </vt:variant>
      <vt:variant>
        <vt:i4>3</vt:i4>
      </vt:variant>
      <vt:variant>
        <vt:i4>0</vt:i4>
      </vt:variant>
      <vt:variant>
        <vt:i4>5</vt:i4>
      </vt:variant>
      <vt:variant>
        <vt:lpwstr>mailto:Monica.jha@vistracorp.com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2001-06-20T16:28:00Z</cp:lastPrinted>
  <dcterms:created xsi:type="dcterms:W3CDTF">2025-09-05T16:16:00Z</dcterms:created>
  <dcterms:modified xsi:type="dcterms:W3CDTF">2025-09-05T16:32:00Z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2025-09-05T16:32:44Z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e7856bc6-2ab7-45c0-a1fc-3dc13dc8ba15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