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4684E" w14:textId="77777777" w:rsidR="00EB6FD2" w:rsidRDefault="00EB6FD2" w:rsidP="00EB6FD2">
      <w:pPr>
        <w:pStyle w:val="H4"/>
      </w:pPr>
      <w:bookmarkStart w:id="0" w:name="_Toc148170030"/>
      <w:bookmarkStart w:id="1" w:name="_Toc157587983"/>
      <w:bookmarkStart w:id="2" w:name="_Toc121993799"/>
      <w:r>
        <w:t>10.6.1.2</w:t>
      </w:r>
      <w:r>
        <w:tab/>
        <w:t>TSP and DSP Testing Requirements for EPS Metering Facilities</w:t>
      </w:r>
      <w:bookmarkEnd w:id="0"/>
      <w:bookmarkEnd w:id="1"/>
      <w:bookmarkEnd w:id="2"/>
    </w:p>
    <w:p w14:paraId="07E23D20" w14:textId="77777777" w:rsidR="00EB6FD2" w:rsidRDefault="00EB6FD2" w:rsidP="00EB6FD2">
      <w:pPr>
        <w:pStyle w:val="List"/>
        <w:ind w:left="720"/>
      </w:pPr>
      <w:r>
        <w:t>(1)</w:t>
      </w:r>
      <w:r>
        <w:tab/>
        <w:t>At a minimum, the TSP and DSP EPS Meter Inspector shall conduct testing of EPS Meters on an annual basis, within the same month of each year as the previous year’s test.  Metering Facilities used in the ERCOT system for settlement must be tested pursuant to the TSP or DSP tariffs, the Settlement Metering Operating Guide and these Protocols.</w:t>
      </w:r>
    </w:p>
    <w:p w14:paraId="0D4F9E5D" w14:textId="77777777" w:rsidR="00EB6FD2" w:rsidRDefault="00EB6FD2" w:rsidP="00EB6FD2">
      <w:pPr>
        <w:pStyle w:val="List"/>
        <w:ind w:left="720"/>
      </w:pPr>
      <w:r>
        <w:t>(2)</w:t>
      </w:r>
      <w:r>
        <w:tab/>
        <w:t>Instrument transformers used in settlement metering circuits must be tested per the American National Standards Institute (ANSI) C12.1, Code for Electricity Metering, and the following guidelines:</w:t>
      </w:r>
    </w:p>
    <w:p w14:paraId="427B0FEE" w14:textId="77777777" w:rsidR="00EB6FD2" w:rsidRDefault="00EB6FD2" w:rsidP="00EB6FD2">
      <w:pPr>
        <w:pStyle w:val="List"/>
      </w:pPr>
      <w:r>
        <w:t>(a)</w:t>
      </w:r>
      <w:r>
        <w:tab/>
        <w:t xml:space="preserve">Magnetic Instrument Transformers do not require periodic </w:t>
      </w:r>
      <w:proofErr w:type="gramStart"/>
      <w:r>
        <w:t>testing;</w:t>
      </w:r>
      <w:proofErr w:type="gramEnd"/>
    </w:p>
    <w:p w14:paraId="061EF581" w14:textId="77777777" w:rsidR="00EB6FD2" w:rsidRDefault="00EB6FD2" w:rsidP="00EB6FD2">
      <w:pPr>
        <w:pStyle w:val="List"/>
      </w:pPr>
      <w:r>
        <w:t>(b)</w:t>
      </w:r>
      <w:r>
        <w:tab/>
        <w:t>Coupling Capacitor Voltage Transformers (CCVTs) shall be tested for accuracy:</w:t>
      </w:r>
    </w:p>
    <w:p w14:paraId="6CBD19BF" w14:textId="77777777" w:rsidR="00EB6FD2" w:rsidRDefault="00EB6FD2" w:rsidP="00EB6FD2">
      <w:pPr>
        <w:pStyle w:val="List"/>
        <w:ind w:left="2160"/>
      </w:pPr>
      <w:r>
        <w:t>(</w:t>
      </w:r>
      <w:proofErr w:type="spellStart"/>
      <w:r>
        <w:t>i</w:t>
      </w:r>
      <w:proofErr w:type="spellEnd"/>
      <w:r>
        <w:t>)</w:t>
      </w:r>
      <w:r>
        <w:tab/>
        <w:t>By the end of the year in which the fifth anniversary of the previous test occurs; or</w:t>
      </w:r>
    </w:p>
    <w:p w14:paraId="2D91A3F5" w14:textId="77777777" w:rsidR="00EB6FD2" w:rsidRDefault="00EB6FD2" w:rsidP="00EB6FD2">
      <w:pPr>
        <w:pStyle w:val="List"/>
        <w:ind w:left="2160"/>
      </w:pPr>
      <w:r>
        <w:t>(ii)</w:t>
      </w:r>
      <w:r>
        <w:tab/>
        <w:t>By the end of the year in which the sixth anniversary of the previous test occurs, if the previous test occurred during the fourth quarter of the year.</w:t>
      </w:r>
    </w:p>
    <w:p w14:paraId="3AA67B70" w14:textId="1CEA537F" w:rsidR="00EB6FD2" w:rsidRDefault="00EB6FD2" w:rsidP="00EB6FD2">
      <w:pPr>
        <w:pStyle w:val="List"/>
      </w:pPr>
      <w:r>
        <w:t>(c)</w:t>
      </w:r>
      <w:r>
        <w:tab/>
        <w:t xml:space="preserve">At the end of the year of </w:t>
      </w:r>
      <w:r w:rsidR="0001473E">
        <w:t xml:space="preserve">the </w:t>
      </w:r>
      <w:r>
        <w:t>fifth anniversary of the original CCVT testing a TSP or DSP may request in writing to be exempt from 10.6.1.2(2)(b) above for a period of 15 years by agreeing to perform</w:t>
      </w:r>
      <w:r w:rsidR="0001473E">
        <w:t xml:space="preserve"> </w:t>
      </w:r>
      <w:r>
        <w:t>monitoring of the phase voltages along with the following requirements:</w:t>
      </w:r>
    </w:p>
    <w:p w14:paraId="4993C185" w14:textId="5EF88EC3" w:rsidR="00EB6FD2" w:rsidRDefault="00EB6FD2" w:rsidP="00EB6FD2">
      <w:pPr>
        <w:pStyle w:val="List"/>
        <w:ind w:left="2160"/>
      </w:pPr>
      <w:r>
        <w:t>(</w:t>
      </w:r>
      <w:proofErr w:type="spellStart"/>
      <w:r>
        <w:t>i</w:t>
      </w:r>
      <w:proofErr w:type="spellEnd"/>
      <w:r>
        <w:t>)</w:t>
      </w:r>
      <w:r>
        <w:tab/>
        <w:t xml:space="preserve">The TSP or DSP </w:t>
      </w:r>
      <w:r w:rsidR="00DC1D1D">
        <w:t>shall</w:t>
      </w:r>
      <w:r>
        <w:t xml:space="preserve"> perform monitoring of the phase voltages ensuring that the voltages do not fall outside 1.6% of the other two </w:t>
      </w:r>
      <w:proofErr w:type="gramStart"/>
      <w:r>
        <w:t>phases;</w:t>
      </w:r>
      <w:proofErr w:type="gramEnd"/>
      <w:r>
        <w:t xml:space="preserve"> or</w:t>
      </w:r>
    </w:p>
    <w:p w14:paraId="4473F3B1" w14:textId="393E1E94" w:rsidR="00EB6FD2" w:rsidRDefault="00EB6FD2" w:rsidP="00EB6FD2">
      <w:pPr>
        <w:pStyle w:val="List"/>
        <w:ind w:left="2160"/>
      </w:pPr>
      <w:r>
        <w:t>(ii)</w:t>
      </w:r>
      <w:r>
        <w:tab/>
        <w:t xml:space="preserve">The TSP or DSP </w:t>
      </w:r>
      <w:r w:rsidR="00DC1D1D">
        <w:t>shall</w:t>
      </w:r>
      <w:r>
        <w:t xml:space="preserve"> perform monitoring of the voltages of two CCVTs that are physically located on the same phase of the same electrical buss ensuring that the voltages do not fall outside 0.6% of </w:t>
      </w:r>
      <w:r w:rsidR="0001473E">
        <w:t>each</w:t>
      </w:r>
      <w:r>
        <w:t xml:space="preserve"> other.</w:t>
      </w:r>
    </w:p>
    <w:p w14:paraId="15663AC5" w14:textId="71B87BF3" w:rsidR="00EB6FD2" w:rsidRDefault="00EB6FD2" w:rsidP="00EB6FD2">
      <w:pPr>
        <w:pStyle w:val="List"/>
        <w:ind w:left="2160"/>
      </w:pPr>
      <w:r>
        <w:t>(iii)</w:t>
      </w:r>
      <w:r w:rsidRPr="00EB6FD2">
        <w:t xml:space="preserve"> </w:t>
      </w:r>
      <w:r>
        <w:tab/>
        <w:t xml:space="preserve">The TSP or DSP </w:t>
      </w:r>
      <w:r w:rsidR="001A4D86">
        <w:t>will</w:t>
      </w:r>
      <w:r w:rsidR="00DC1D1D">
        <w:t xml:space="preserve"> </w:t>
      </w:r>
      <w:r>
        <w:t xml:space="preserve">review this monitoring </w:t>
      </w:r>
      <w:r w:rsidR="0001473E">
        <w:t>m</w:t>
      </w:r>
      <w:r>
        <w:t>onthly to ensure that the voltages do not exceed the parameters defined in10.6.1.2(2)(c)(</w:t>
      </w:r>
      <w:proofErr w:type="spellStart"/>
      <w:r>
        <w:t>i</w:t>
      </w:r>
      <w:proofErr w:type="spellEnd"/>
      <w:r>
        <w:t>) or 10.6.1.2.(2)(c)(ii) on a contin</w:t>
      </w:r>
      <w:r w:rsidR="0001473E">
        <w:t>uous</w:t>
      </w:r>
      <w:r>
        <w:t xml:space="preserve"> basis for a period of one </w:t>
      </w:r>
      <w:r w:rsidR="0001473E">
        <w:t>m</w:t>
      </w:r>
      <w:r>
        <w:t>onth.</w:t>
      </w:r>
      <w:r w:rsidR="0041448E">
        <w:t xml:space="preserve"> This review may be an automated or manual process.</w:t>
      </w:r>
    </w:p>
    <w:p w14:paraId="513CCE00" w14:textId="710AC930" w:rsidR="00EB6FD2" w:rsidRDefault="00EB6FD2" w:rsidP="00EB6FD2">
      <w:pPr>
        <w:pStyle w:val="List"/>
        <w:ind w:left="2160"/>
      </w:pPr>
      <w:r>
        <w:lastRenderedPageBreak/>
        <w:t>(iv)</w:t>
      </w:r>
      <w:r>
        <w:tab/>
        <w:t xml:space="preserve">The TSP or DSP </w:t>
      </w:r>
      <w:r w:rsidR="00DC1D1D">
        <w:t>shall</w:t>
      </w:r>
      <w:r>
        <w:t xml:space="preserve"> add comments to the annual meter test report that voltage monitoring is being performed as per </w:t>
      </w:r>
      <w:bookmarkStart w:id="3" w:name="_Hlk204772969"/>
      <w:r>
        <w:t>10.6.1.2(2)(c)(</w:t>
      </w:r>
      <w:proofErr w:type="spellStart"/>
      <w:r>
        <w:t>i</w:t>
      </w:r>
      <w:proofErr w:type="spellEnd"/>
      <w:r>
        <w:t xml:space="preserve">) or 10.6.1.2(2)(c)(ii) </w:t>
      </w:r>
      <w:bookmarkEnd w:id="3"/>
      <w:r>
        <w:t xml:space="preserve">and there has been </w:t>
      </w:r>
      <w:r w:rsidR="0001473E">
        <w:t xml:space="preserve">no </w:t>
      </w:r>
      <w:r>
        <w:t xml:space="preserve">consistent failure lasting a </w:t>
      </w:r>
      <w:r w:rsidR="0001473E">
        <w:t>m</w:t>
      </w:r>
      <w:r>
        <w:t>onth or longer.</w:t>
      </w:r>
    </w:p>
    <w:p w14:paraId="6F3417FB" w14:textId="5ACD9387" w:rsidR="00EB6FD2" w:rsidRDefault="00EB6FD2" w:rsidP="00596662">
      <w:pPr>
        <w:pStyle w:val="List"/>
        <w:ind w:left="2160"/>
      </w:pPr>
      <w:r>
        <w:t>(v)</w:t>
      </w:r>
      <w:r>
        <w:tab/>
        <w:t xml:space="preserve">If there is a failure of the voltage monitoring </w:t>
      </w:r>
      <w:r w:rsidR="00596662">
        <w:t xml:space="preserve">per 10.6.1.2(2)(c)(iv) </w:t>
      </w:r>
      <w:r>
        <w:t xml:space="preserve">the TSP or DSP </w:t>
      </w:r>
      <w:r w:rsidR="001A4D86">
        <w:t>shall</w:t>
      </w:r>
      <w:r>
        <w:t xml:space="preserve"> r</w:t>
      </w:r>
      <w:r w:rsidR="001F6C94">
        <w:t xml:space="preserve">emove </w:t>
      </w:r>
      <w:r>
        <w:t xml:space="preserve">the CCVT </w:t>
      </w:r>
      <w:r w:rsidR="001F6C94">
        <w:t xml:space="preserve">from service </w:t>
      </w:r>
      <w:r>
        <w:t>with the option to send it back to the manufacturer for testing and calibration</w:t>
      </w:r>
      <w:r w:rsidR="001F6C94">
        <w:t>.</w:t>
      </w:r>
    </w:p>
    <w:p w14:paraId="5561D82D" w14:textId="747DEC9C" w:rsidR="00EB6FD2" w:rsidRDefault="00EB6FD2" w:rsidP="00EB6FD2">
      <w:pPr>
        <w:pStyle w:val="List"/>
        <w:ind w:left="2160"/>
      </w:pPr>
      <w:r>
        <w:t>(vi)</w:t>
      </w:r>
      <w:r>
        <w:tab/>
        <w:t xml:space="preserve">The TSP or DSP </w:t>
      </w:r>
      <w:r w:rsidR="001A4D86">
        <w:t>shall</w:t>
      </w:r>
      <w:r>
        <w:t xml:space="preserve"> remove the CCVT f</w:t>
      </w:r>
      <w:r w:rsidR="001A4D86">
        <w:t>rom</w:t>
      </w:r>
      <w:r>
        <w:t xml:space="preserve"> service by the end of the year of the 20</w:t>
      </w:r>
      <w:r w:rsidRPr="00B53BF0">
        <w:rPr>
          <w:vertAlign w:val="superscript"/>
        </w:rPr>
        <w:t>th</w:t>
      </w:r>
      <w:r>
        <w:t xml:space="preserve"> anniversary of the original CCVT testing with the option to send it back to the manufacturer for testing and calibration.</w:t>
      </w:r>
    </w:p>
    <w:p w14:paraId="3E230B43" w14:textId="0282817B" w:rsidR="00EB6FD2" w:rsidRPr="00B22A00" w:rsidRDefault="00EB6FD2" w:rsidP="00EB6FD2">
      <w:pPr>
        <w:pStyle w:val="List"/>
        <w:ind w:left="720"/>
      </w:pPr>
      <w:r w:rsidRPr="00B22A00">
        <w:t>(3)</w:t>
      </w:r>
      <w:r w:rsidRPr="00B22A00">
        <w:tab/>
        <w:t xml:space="preserve">ERCOT may determine that periodic testing of CCVTs </w:t>
      </w:r>
      <w:r w:rsidR="0001473E">
        <w:t xml:space="preserve">and or voltage monitoring </w:t>
      </w:r>
      <w:r w:rsidRPr="00B22A00">
        <w:t>is not required once these devices have been proven to be stable.  If the devices have shown themselves to be unstable, ERCOT may discontinue the use of these devices for settlement purposes.</w:t>
      </w:r>
    </w:p>
    <w:p w14:paraId="72E0096B" w14:textId="77777777" w:rsidR="0014727A" w:rsidRDefault="0014727A"/>
    <w:sectPr w:rsidR="001472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FD2"/>
    <w:rsid w:val="0001473E"/>
    <w:rsid w:val="0014727A"/>
    <w:rsid w:val="001A4D86"/>
    <w:rsid w:val="001F6C94"/>
    <w:rsid w:val="002B3B90"/>
    <w:rsid w:val="002C6879"/>
    <w:rsid w:val="003B0229"/>
    <w:rsid w:val="0041448E"/>
    <w:rsid w:val="00596662"/>
    <w:rsid w:val="009B258E"/>
    <w:rsid w:val="00A32507"/>
    <w:rsid w:val="00D85A17"/>
    <w:rsid w:val="00DC1D1D"/>
    <w:rsid w:val="00DC5CC6"/>
    <w:rsid w:val="00EB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1D34A"/>
  <w15:chartTrackingRefBased/>
  <w15:docId w15:val="{E80B426C-A6AA-4E0C-A641-2C77C23B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6F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6F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6F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6F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6F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6F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6F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6F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6F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F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6F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6F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6F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6F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6F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6F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6F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6FD2"/>
    <w:rPr>
      <w:rFonts w:eastAsiaTheme="majorEastAsia" w:cstheme="majorBidi"/>
      <w:color w:val="272727" w:themeColor="text1" w:themeTint="D8"/>
    </w:rPr>
  </w:style>
  <w:style w:type="paragraph" w:styleId="Title">
    <w:name w:val="Title"/>
    <w:basedOn w:val="Normal"/>
    <w:next w:val="Normal"/>
    <w:link w:val="TitleChar"/>
    <w:uiPriority w:val="10"/>
    <w:qFormat/>
    <w:rsid w:val="00EB6F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6F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6F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6F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6FD2"/>
    <w:pPr>
      <w:spacing w:before="160"/>
      <w:jc w:val="center"/>
    </w:pPr>
    <w:rPr>
      <w:i/>
      <w:iCs/>
      <w:color w:val="404040" w:themeColor="text1" w:themeTint="BF"/>
    </w:rPr>
  </w:style>
  <w:style w:type="character" w:customStyle="1" w:styleId="QuoteChar">
    <w:name w:val="Quote Char"/>
    <w:basedOn w:val="DefaultParagraphFont"/>
    <w:link w:val="Quote"/>
    <w:uiPriority w:val="29"/>
    <w:rsid w:val="00EB6FD2"/>
    <w:rPr>
      <w:i/>
      <w:iCs/>
      <w:color w:val="404040" w:themeColor="text1" w:themeTint="BF"/>
    </w:rPr>
  </w:style>
  <w:style w:type="paragraph" w:styleId="ListParagraph">
    <w:name w:val="List Paragraph"/>
    <w:basedOn w:val="Normal"/>
    <w:uiPriority w:val="34"/>
    <w:qFormat/>
    <w:rsid w:val="00EB6FD2"/>
    <w:pPr>
      <w:ind w:left="720"/>
      <w:contextualSpacing/>
    </w:pPr>
  </w:style>
  <w:style w:type="character" w:styleId="IntenseEmphasis">
    <w:name w:val="Intense Emphasis"/>
    <w:basedOn w:val="DefaultParagraphFont"/>
    <w:uiPriority w:val="21"/>
    <w:qFormat/>
    <w:rsid w:val="00EB6FD2"/>
    <w:rPr>
      <w:i/>
      <w:iCs/>
      <w:color w:val="0F4761" w:themeColor="accent1" w:themeShade="BF"/>
    </w:rPr>
  </w:style>
  <w:style w:type="paragraph" w:styleId="IntenseQuote">
    <w:name w:val="Intense Quote"/>
    <w:basedOn w:val="Normal"/>
    <w:next w:val="Normal"/>
    <w:link w:val="IntenseQuoteChar"/>
    <w:uiPriority w:val="30"/>
    <w:qFormat/>
    <w:rsid w:val="00EB6F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6FD2"/>
    <w:rPr>
      <w:i/>
      <w:iCs/>
      <w:color w:val="0F4761" w:themeColor="accent1" w:themeShade="BF"/>
    </w:rPr>
  </w:style>
  <w:style w:type="character" w:styleId="IntenseReference">
    <w:name w:val="Intense Reference"/>
    <w:basedOn w:val="DefaultParagraphFont"/>
    <w:uiPriority w:val="32"/>
    <w:qFormat/>
    <w:rsid w:val="00EB6FD2"/>
    <w:rPr>
      <w:b/>
      <w:bCs/>
      <w:smallCaps/>
      <w:color w:val="0F4761" w:themeColor="accent1" w:themeShade="BF"/>
      <w:spacing w:val="5"/>
    </w:rPr>
  </w:style>
  <w:style w:type="paragraph" w:styleId="List">
    <w:name w:val="List"/>
    <w:aliases w:val=" Char2 Char Char Char Char"/>
    <w:basedOn w:val="Normal"/>
    <w:link w:val="ListChar"/>
    <w:rsid w:val="00EB6FD2"/>
    <w:pPr>
      <w:spacing w:after="240" w:line="240" w:lineRule="auto"/>
      <w:ind w:left="1440" w:hanging="720"/>
    </w:pPr>
    <w:rPr>
      <w:rFonts w:ascii="Times New Roman" w:eastAsia="Times New Roman" w:hAnsi="Times New Roman" w:cs="Times New Roman"/>
      <w:kern w:val="0"/>
      <w:szCs w:val="20"/>
      <w14:ligatures w14:val="none"/>
    </w:rPr>
  </w:style>
  <w:style w:type="paragraph" w:customStyle="1" w:styleId="H4">
    <w:name w:val="H4"/>
    <w:basedOn w:val="Heading4"/>
    <w:next w:val="BodyText"/>
    <w:link w:val="H4Char"/>
    <w:rsid w:val="00EB6FD2"/>
    <w:pPr>
      <w:keepLines w:val="0"/>
      <w:widowControl w:val="0"/>
      <w:tabs>
        <w:tab w:val="left" w:pos="1260"/>
      </w:tabs>
      <w:spacing w:before="240" w:after="240" w:line="240" w:lineRule="auto"/>
      <w:ind w:left="1260" w:hanging="1260"/>
    </w:pPr>
    <w:rPr>
      <w:rFonts w:ascii="Times New Roman" w:eastAsia="Times New Roman" w:hAnsi="Times New Roman" w:cs="Times New Roman"/>
      <w:b/>
      <w:bCs/>
      <w:i w:val="0"/>
      <w:iCs w:val="0"/>
      <w:snapToGrid w:val="0"/>
      <w:color w:val="auto"/>
      <w:kern w:val="0"/>
      <w:szCs w:val="20"/>
      <w14:ligatures w14:val="none"/>
    </w:rPr>
  </w:style>
  <w:style w:type="character" w:customStyle="1" w:styleId="ListChar">
    <w:name w:val="List Char"/>
    <w:aliases w:val=" Char2 Char Char Char Char Char"/>
    <w:link w:val="List"/>
    <w:rsid w:val="00EB6FD2"/>
    <w:rPr>
      <w:rFonts w:ascii="Times New Roman" w:eastAsia="Times New Roman" w:hAnsi="Times New Roman" w:cs="Times New Roman"/>
      <w:kern w:val="0"/>
      <w:szCs w:val="20"/>
      <w14:ligatures w14:val="none"/>
    </w:rPr>
  </w:style>
  <w:style w:type="character" w:customStyle="1" w:styleId="H4Char">
    <w:name w:val="H4 Char"/>
    <w:link w:val="H4"/>
    <w:rsid w:val="00EB6FD2"/>
    <w:rPr>
      <w:rFonts w:ascii="Times New Roman" w:eastAsia="Times New Roman" w:hAnsi="Times New Roman" w:cs="Times New Roman"/>
      <w:b/>
      <w:bCs/>
      <w:snapToGrid w:val="0"/>
      <w:kern w:val="0"/>
      <w:szCs w:val="20"/>
      <w14:ligatures w14:val="none"/>
    </w:rPr>
  </w:style>
  <w:style w:type="paragraph" w:styleId="BodyText">
    <w:name w:val="Body Text"/>
    <w:basedOn w:val="Normal"/>
    <w:link w:val="BodyTextChar"/>
    <w:uiPriority w:val="99"/>
    <w:semiHidden/>
    <w:unhideWhenUsed/>
    <w:rsid w:val="00EB6FD2"/>
    <w:pPr>
      <w:spacing w:after="120"/>
    </w:pPr>
  </w:style>
  <w:style w:type="character" w:customStyle="1" w:styleId="BodyTextChar">
    <w:name w:val="Body Text Char"/>
    <w:basedOn w:val="DefaultParagraphFont"/>
    <w:link w:val="BodyText"/>
    <w:uiPriority w:val="99"/>
    <w:semiHidden/>
    <w:rsid w:val="00EB6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Davis</dc:creator>
  <cp:keywords/>
  <dc:description/>
  <cp:lastModifiedBy>Tony Davis</cp:lastModifiedBy>
  <cp:revision>5</cp:revision>
  <dcterms:created xsi:type="dcterms:W3CDTF">2025-07-31T15:18:00Z</dcterms:created>
  <dcterms:modified xsi:type="dcterms:W3CDTF">2025-08-06T20:38:00Z</dcterms:modified>
</cp:coreProperties>
</file>