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8528" w14:textId="09DCAE8B" w:rsidR="000D2AA6" w:rsidRDefault="00287C66" w:rsidP="00287C66">
      <w:pPr>
        <w:jc w:val="center"/>
        <w:rPr>
          <w:b/>
          <w:bCs/>
          <w:sz w:val="28"/>
          <w:szCs w:val="28"/>
        </w:rPr>
      </w:pPr>
      <w:r w:rsidRPr="00287C66">
        <w:rPr>
          <w:b/>
          <w:bCs/>
          <w:sz w:val="28"/>
          <w:szCs w:val="28"/>
        </w:rPr>
        <w:t>Planning Working Group (PLWG) Meeting Minutes</w:t>
      </w:r>
    </w:p>
    <w:p w14:paraId="1EE0C269" w14:textId="6F9B6346" w:rsidR="00A765CC" w:rsidRPr="00A765CC" w:rsidRDefault="00DB5C56" w:rsidP="00287C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29</w:t>
      </w:r>
      <w:r w:rsidR="00287C66" w:rsidRPr="00287C66">
        <w:rPr>
          <w:b/>
          <w:bCs/>
          <w:sz w:val="28"/>
          <w:szCs w:val="28"/>
        </w:rPr>
        <w:t>, 2025 (</w:t>
      </w:r>
      <w:r w:rsidR="00B24967">
        <w:rPr>
          <w:b/>
          <w:bCs/>
          <w:sz w:val="28"/>
          <w:szCs w:val="28"/>
        </w:rPr>
        <w:t xml:space="preserve">In Person + </w:t>
      </w:r>
      <w:proofErr w:type="spellStart"/>
      <w:r w:rsidR="00287C66" w:rsidRPr="00287C66">
        <w:rPr>
          <w:b/>
          <w:bCs/>
          <w:sz w:val="28"/>
          <w:szCs w:val="28"/>
        </w:rPr>
        <w:t>WebEx</w:t>
      </w:r>
      <w:proofErr w:type="spellEnd"/>
      <w:r w:rsidR="00287C66" w:rsidRPr="00287C66">
        <w:rPr>
          <w:b/>
          <w:bCs/>
          <w:sz w:val="28"/>
          <w:szCs w:val="28"/>
        </w:rPr>
        <w:t>)</w:t>
      </w:r>
    </w:p>
    <w:tbl>
      <w:tblPr>
        <w:tblW w:w="49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110"/>
        <w:gridCol w:w="1620"/>
      </w:tblGrid>
      <w:tr w:rsidR="0056135A" w:rsidRPr="00A765CC" w14:paraId="2C1C752A" w14:textId="77777777" w:rsidTr="0056135A">
        <w:trPr>
          <w:trHeight w:val="630"/>
        </w:trPr>
        <w:tc>
          <w:tcPr>
            <w:tcW w:w="291" w:type="pct"/>
            <w:hideMark/>
          </w:tcPr>
          <w:p w14:paraId="2F8EFA68" w14:textId="77777777" w:rsidR="0056135A" w:rsidRPr="00A765CC" w:rsidRDefault="0056135A" w:rsidP="00A765CC">
            <w:r w:rsidRPr="00A765CC">
              <w:rPr>
                <w:b/>
                <w:bCs/>
              </w:rPr>
              <w:t>1.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323D7672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Antitrust Admonition</w:t>
            </w:r>
          </w:p>
          <w:p w14:paraId="1B292D78" w14:textId="3FAB99B2" w:rsidR="0056135A" w:rsidRPr="00A765CC" w:rsidRDefault="00DC7FCA" w:rsidP="00A765CC">
            <w:proofErr w:type="gramStart"/>
            <w:r>
              <w:t>Meeting</w:t>
            </w:r>
            <w:proofErr w:type="gramEnd"/>
            <w:r>
              <w:t xml:space="preserve"> </w:t>
            </w:r>
            <w:r w:rsidR="007B7E9D">
              <w:t xml:space="preserve">started </w:t>
            </w:r>
            <w:r>
              <w:t xml:space="preserve">at 1:17 pm. </w:t>
            </w:r>
            <w:r w:rsidR="0056135A">
              <w:t>Antitrust admonition was given.</w:t>
            </w:r>
          </w:p>
        </w:tc>
        <w:tc>
          <w:tcPr>
            <w:tcW w:w="874" w:type="pct"/>
            <w:hideMark/>
          </w:tcPr>
          <w:p w14:paraId="15C2053A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4A04B9CE" w14:textId="77777777" w:rsidTr="0056135A">
        <w:trPr>
          <w:trHeight w:val="630"/>
        </w:trPr>
        <w:tc>
          <w:tcPr>
            <w:tcW w:w="291" w:type="pct"/>
            <w:hideMark/>
          </w:tcPr>
          <w:p w14:paraId="5AC78C3F" w14:textId="77777777" w:rsidR="0056135A" w:rsidRPr="00A765CC" w:rsidRDefault="0056135A" w:rsidP="00A765CC">
            <w:r w:rsidRPr="00A765CC">
              <w:rPr>
                <w:b/>
                <w:bCs/>
              </w:rPr>
              <w:t>2.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0D6A44C6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Agenda Review</w:t>
            </w:r>
          </w:p>
          <w:p w14:paraId="345C2B5F" w14:textId="03AFE6BC" w:rsidR="0056135A" w:rsidRPr="00A765CC" w:rsidRDefault="0056135A" w:rsidP="00A765CC">
            <w:r>
              <w:t>Agenda was reviewed.</w:t>
            </w:r>
          </w:p>
        </w:tc>
        <w:tc>
          <w:tcPr>
            <w:tcW w:w="874" w:type="pct"/>
            <w:hideMark/>
          </w:tcPr>
          <w:p w14:paraId="4EF8B739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7FD5B6DD" w14:textId="77777777" w:rsidTr="0056135A">
        <w:trPr>
          <w:trHeight w:val="630"/>
        </w:trPr>
        <w:tc>
          <w:tcPr>
            <w:tcW w:w="291" w:type="pct"/>
            <w:hideMark/>
          </w:tcPr>
          <w:p w14:paraId="3258EB6E" w14:textId="77777777" w:rsidR="0056135A" w:rsidRPr="00A765CC" w:rsidRDefault="0056135A" w:rsidP="00A765CC">
            <w:r w:rsidRPr="00A765CC">
              <w:rPr>
                <w:b/>
                <w:bCs/>
              </w:rPr>
              <w:t>3.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6418ACD8" w14:textId="118F0F76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Review of PLWG Meeting Minutes (</w:t>
            </w:r>
            <w:r w:rsidR="00DB5C56">
              <w:rPr>
                <w:b/>
                <w:bCs/>
              </w:rPr>
              <w:t>June 17</w:t>
            </w:r>
            <w:r w:rsidR="002D22AD">
              <w:rPr>
                <w:b/>
                <w:bCs/>
              </w:rPr>
              <w:t>th</w:t>
            </w:r>
            <w:r w:rsidRPr="00A765CC">
              <w:rPr>
                <w:b/>
                <w:bCs/>
              </w:rPr>
              <w:t>)</w:t>
            </w:r>
          </w:p>
          <w:p w14:paraId="184C9B67" w14:textId="66E993B2" w:rsidR="0056135A" w:rsidRPr="00A765CC" w:rsidRDefault="0056135A" w:rsidP="00A765CC">
            <w:r>
              <w:t>Meeting minutes reviewed. No feedback received.</w:t>
            </w:r>
          </w:p>
        </w:tc>
        <w:tc>
          <w:tcPr>
            <w:tcW w:w="874" w:type="pct"/>
            <w:hideMark/>
          </w:tcPr>
          <w:p w14:paraId="4DF279FC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DB5C56" w:rsidRPr="00A765CC" w14:paraId="45D55A22" w14:textId="77777777" w:rsidTr="0056135A">
        <w:trPr>
          <w:trHeight w:val="630"/>
        </w:trPr>
        <w:tc>
          <w:tcPr>
            <w:tcW w:w="291" w:type="pct"/>
          </w:tcPr>
          <w:p w14:paraId="3ECEA174" w14:textId="17C8857E" w:rsidR="00DB5C56" w:rsidRPr="00A765CC" w:rsidRDefault="00DB5C56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4E310784" w14:textId="7331E816" w:rsidR="00DB5C56" w:rsidRPr="006F4888" w:rsidRDefault="00DB5C56" w:rsidP="00A765CC">
            <w:pPr>
              <w:rPr>
                <w:b/>
                <w:bCs/>
              </w:rPr>
            </w:pPr>
            <w:r w:rsidRPr="006F4888">
              <w:rPr>
                <w:b/>
                <w:bCs/>
              </w:rPr>
              <w:t>NPRR 128</w:t>
            </w:r>
            <w:r w:rsidR="00FD3130" w:rsidRPr="006F4888">
              <w:rPr>
                <w:b/>
                <w:bCs/>
              </w:rPr>
              <w:t>0</w:t>
            </w:r>
            <w:r w:rsidRPr="006F4888">
              <w:rPr>
                <w:b/>
                <w:bCs/>
              </w:rPr>
              <w:t xml:space="preserve"> - Establish Process for Permanent Bypass of Series Capacitor</w:t>
            </w:r>
          </w:p>
          <w:p w14:paraId="709F35F3" w14:textId="1CA5E417" w:rsidR="002714D4" w:rsidRPr="006F4888" w:rsidRDefault="00A153B9" w:rsidP="00A765CC">
            <w:r w:rsidRPr="006F4888">
              <w:t xml:space="preserve">John Russ Hubbard spoke to </w:t>
            </w:r>
            <w:r w:rsidR="00615801" w:rsidRPr="006F4888">
              <w:t>Texas Industrial Energy Consumer (</w:t>
            </w:r>
            <w:r w:rsidR="002714D4" w:rsidRPr="006F4888">
              <w:t>TIEC</w:t>
            </w:r>
            <w:r w:rsidR="00615801" w:rsidRPr="006F4888">
              <w:t>)</w:t>
            </w:r>
            <w:r w:rsidR="002714D4" w:rsidRPr="006F4888">
              <w:t xml:space="preserve"> Comments (July 8)</w:t>
            </w:r>
            <w:r w:rsidR="00615801" w:rsidRPr="006F4888">
              <w:t>. TIEC suggests revi</w:t>
            </w:r>
            <w:r w:rsidR="000F70C5" w:rsidRPr="006F4888">
              <w:t xml:space="preserve">sing </w:t>
            </w:r>
            <w:proofErr w:type="gramStart"/>
            <w:r w:rsidR="000F70C5" w:rsidRPr="006F4888">
              <w:t>categorization</w:t>
            </w:r>
            <w:proofErr w:type="gramEnd"/>
            <w:r w:rsidR="000F70C5" w:rsidRPr="006F4888">
              <w:t xml:space="preserve"> of these projects from Tier 3 to Tier 2</w:t>
            </w:r>
            <w:r w:rsidR="006F4888" w:rsidRPr="006F4888">
              <w:t xml:space="preserve"> as there is key information delivered to stakeholders in advance that could assist in the review.</w:t>
            </w:r>
          </w:p>
          <w:p w14:paraId="6E82F6D9" w14:textId="37052A9D" w:rsidR="00DB19BE" w:rsidRDefault="00DB19BE" w:rsidP="00DB19BE">
            <w:proofErr w:type="spellStart"/>
            <w:r w:rsidRPr="006F4888">
              <w:t>Sunwook</w:t>
            </w:r>
            <w:proofErr w:type="spellEnd"/>
            <w:r w:rsidRPr="006F4888">
              <w:t xml:space="preserve"> Kang </w:t>
            </w:r>
            <w:r w:rsidR="006F4888" w:rsidRPr="006F4888">
              <w:t>stated that ERCOT is</w:t>
            </w:r>
            <w:r w:rsidRPr="006F4888">
              <w:t xml:space="preserve"> currently discussing </w:t>
            </w:r>
            <w:proofErr w:type="gramStart"/>
            <w:r w:rsidRPr="006F4888">
              <w:t>internally about</w:t>
            </w:r>
            <w:proofErr w:type="gramEnd"/>
            <w:r w:rsidRPr="006F4888">
              <w:t xml:space="preserve"> Tier 2 vs 3 approach.</w:t>
            </w:r>
            <w:r w:rsidR="006F4888" w:rsidRPr="006F4888">
              <w:t xml:space="preserve"> ERCOT plans </w:t>
            </w:r>
            <w:r w:rsidRPr="006F4888">
              <w:t xml:space="preserve">to file comments in August to </w:t>
            </w:r>
            <w:proofErr w:type="gramStart"/>
            <w:r w:rsidRPr="006F4888">
              <w:t>discuss</w:t>
            </w:r>
            <w:proofErr w:type="gramEnd"/>
            <w:r w:rsidRPr="006F4888">
              <w:t xml:space="preserve"> at </w:t>
            </w:r>
            <w:r w:rsidR="006F4888" w:rsidRPr="006F4888">
              <w:t xml:space="preserve">the next </w:t>
            </w:r>
            <w:r w:rsidRPr="006F4888">
              <w:t>PLWG meeting</w:t>
            </w:r>
            <w:r w:rsidR="006F4888" w:rsidRPr="006F4888">
              <w:t xml:space="preserve"> on 8/26.</w:t>
            </w:r>
          </w:p>
          <w:p w14:paraId="6428CA0C" w14:textId="39F22E87" w:rsidR="00DB19BE" w:rsidRDefault="00DB19BE" w:rsidP="00DB19BE">
            <w:r>
              <w:t xml:space="preserve">Eric Goff (TEBA) – </w:t>
            </w:r>
            <w:r w:rsidR="00DB71C5">
              <w:t>W</w:t>
            </w:r>
            <w:r>
              <w:t xml:space="preserve">ould the economic analysis be standalone or would it be paired with the reliability analysis? </w:t>
            </w:r>
          </w:p>
          <w:p w14:paraId="1F0AAE15" w14:textId="32471E93" w:rsidR="00DB19BE" w:rsidRDefault="00DB19BE" w:rsidP="00DB19BE">
            <w:proofErr w:type="spellStart"/>
            <w:r>
              <w:t>Sunwook</w:t>
            </w:r>
            <w:proofErr w:type="spellEnd"/>
            <w:r w:rsidR="00DB71C5">
              <w:t xml:space="preserve"> (ERCOT)</w:t>
            </w:r>
            <w:r>
              <w:t xml:space="preserve"> – Expectation as of now is that </w:t>
            </w:r>
            <w:r w:rsidR="00DB71C5">
              <w:t>they</w:t>
            </w:r>
            <w:r>
              <w:t xml:space="preserve"> will be conducted together.</w:t>
            </w:r>
          </w:p>
          <w:p w14:paraId="395C99EF" w14:textId="122BF4E6" w:rsidR="00DB19BE" w:rsidRDefault="00DB19BE" w:rsidP="00DB19BE">
            <w:r>
              <w:t xml:space="preserve">Warren Lasher (TXOGA) – Analysis would be </w:t>
            </w:r>
            <w:proofErr w:type="gramStart"/>
            <w:r>
              <w:t>similar to</w:t>
            </w:r>
            <w:proofErr w:type="gramEnd"/>
            <w:r>
              <w:t xml:space="preserve"> when ERCOT conducts a reliability analysis and then look at the congestion impacts at the end – it’s not necessarily passing either of the economic cost tests.</w:t>
            </w:r>
          </w:p>
          <w:p w14:paraId="410AE2A1" w14:textId="5054F92D" w:rsidR="00DB19BE" w:rsidRDefault="00DB19BE" w:rsidP="00DB19BE">
            <w:r>
              <w:t xml:space="preserve">Prabhu Gnanam (ERCOT) – Reliability analysis conducted by the TSP; subsequently ERCOT would perform economic analysis and would provide those results simultaneously. Could subsequently </w:t>
            </w:r>
            <w:proofErr w:type="gramStart"/>
            <w:r>
              <w:t>classify</w:t>
            </w:r>
            <w:proofErr w:type="gramEnd"/>
            <w:r>
              <w:t xml:space="preserve"> as </w:t>
            </w:r>
            <w:proofErr w:type="gramStart"/>
            <w:r>
              <w:t>Tier</w:t>
            </w:r>
            <w:proofErr w:type="gramEnd"/>
            <w:r>
              <w:t xml:space="preserve"> 4 project.</w:t>
            </w:r>
          </w:p>
          <w:p w14:paraId="034F5DB6" w14:textId="4BA86AF7" w:rsidR="006F1F5D" w:rsidRDefault="00DB19BE" w:rsidP="00A765CC">
            <w:r>
              <w:t>Erin Rasmussen (AEP) spoke to</w:t>
            </w:r>
            <w:r w:rsidR="00D0069D">
              <w:t xml:space="preserve"> comments filed jointly with </w:t>
            </w:r>
            <w:r>
              <w:t>LoneStar Transmission</w:t>
            </w:r>
            <w:r w:rsidR="00D0069D">
              <w:t xml:space="preserve"> on July 28</w:t>
            </w:r>
            <w:r>
              <w:t xml:space="preserve">. Since the devices originated for reliability needs, </w:t>
            </w:r>
            <w:r w:rsidR="00D0069D">
              <w:t xml:space="preserve">commenters </w:t>
            </w:r>
            <w:r>
              <w:t xml:space="preserve">believe </w:t>
            </w:r>
            <w:r w:rsidR="00D0069D">
              <w:t xml:space="preserve">an </w:t>
            </w:r>
            <w:r>
              <w:t>economic test would be inappropriate</w:t>
            </w:r>
            <w:r w:rsidR="00DB71C5">
              <w:t>. Retiring a series cap would be for a reliability reason</w:t>
            </w:r>
            <w:r w:rsidR="009B165E">
              <w:t>. Commenters advise</w:t>
            </w:r>
            <w:r>
              <w:t xml:space="preserve"> that</w:t>
            </w:r>
            <w:r w:rsidR="009B165E">
              <w:t xml:space="preserve"> the language</w:t>
            </w:r>
            <w:r>
              <w:t xml:space="preserve"> should remain Tier 3 and not bump up to Tier 2. </w:t>
            </w:r>
            <w:r w:rsidR="00763C10">
              <w:t>These projects do not fit the characteristics of a Tier 2 project, as they are not</w:t>
            </w:r>
            <w:r>
              <w:t xml:space="preserve"> a large capital investment nor require a CCN.</w:t>
            </w:r>
            <w:r w:rsidR="00CB7AEA">
              <w:t xml:space="preserve"> Moreover, the</w:t>
            </w:r>
            <w:r w:rsidR="006F1F5D">
              <w:t xml:space="preserve"> existing economic tests aren’t appropriate for these projects because there are problems with both cost-</w:t>
            </w:r>
            <w:r w:rsidR="006F1F5D">
              <w:lastRenderedPageBreak/>
              <w:t>to-benefit evaluations</w:t>
            </w:r>
            <w:r w:rsidR="0022624C">
              <w:t xml:space="preserve"> (the P</w:t>
            </w:r>
            <w:r w:rsidR="000D3D9F">
              <w:t>roduction Cost Savings and Congestion Cost Savings tests</w:t>
            </w:r>
            <w:r w:rsidR="0022624C">
              <w:t>)</w:t>
            </w:r>
            <w:r w:rsidR="006F1F5D">
              <w:t>. Which costs do you use? The</w:t>
            </w:r>
            <w:r w:rsidR="000D3D9F">
              <w:t xml:space="preserve"> series capacitors </w:t>
            </w:r>
            <w:r w:rsidR="006F1F5D">
              <w:t xml:space="preserve">are existing assets </w:t>
            </w:r>
            <w:r w:rsidR="000D3D9F">
              <w:t>and reflect a sunk cost.</w:t>
            </w:r>
            <w:r w:rsidR="006F1F5D">
              <w:t xml:space="preserve"> PCS and CCS use </w:t>
            </w:r>
            <w:r w:rsidR="0022624C">
              <w:t>initial and first three</w:t>
            </w:r>
            <w:r w:rsidR="006F1F5D">
              <w:t xml:space="preserve"> years of the revenue</w:t>
            </w:r>
            <w:r w:rsidR="0022624C">
              <w:t>, respectively</w:t>
            </w:r>
            <w:r w:rsidR="006F1F5D">
              <w:t xml:space="preserve"> – what would be applicable here?</w:t>
            </w:r>
          </w:p>
          <w:p w14:paraId="1814B2B0" w14:textId="7DB11B63" w:rsidR="006F1F5D" w:rsidRPr="006F1F5D" w:rsidRDefault="006F1F5D" w:rsidP="00A765CC">
            <w:pPr>
              <w:rPr>
                <w:b/>
                <w:bCs/>
                <w:i/>
                <w:iCs/>
              </w:rPr>
            </w:pPr>
            <w:r w:rsidRPr="006F1F5D">
              <w:rPr>
                <w:b/>
                <w:bCs/>
                <w:i/>
                <w:iCs/>
              </w:rPr>
              <w:t>Action Taken: Tabled to August 26 PLWG pending ERCOT comments.</w:t>
            </w:r>
          </w:p>
        </w:tc>
        <w:tc>
          <w:tcPr>
            <w:tcW w:w="874" w:type="pct"/>
          </w:tcPr>
          <w:p w14:paraId="407B3B25" w14:textId="611DF869" w:rsidR="00DB5C56" w:rsidRDefault="00800FE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ERCOT</w:t>
            </w:r>
          </w:p>
          <w:p w14:paraId="6D17D1B7" w14:textId="77777777" w:rsidR="002714D4" w:rsidRPr="00A765CC" w:rsidRDefault="002714D4" w:rsidP="00A765CC">
            <w:pPr>
              <w:rPr>
                <w:b/>
                <w:bCs/>
              </w:rPr>
            </w:pPr>
          </w:p>
        </w:tc>
      </w:tr>
      <w:tr w:rsidR="00800FEF" w:rsidRPr="00A765CC" w14:paraId="7EA0D1F4" w14:textId="77777777" w:rsidTr="0056135A">
        <w:trPr>
          <w:trHeight w:val="630"/>
        </w:trPr>
        <w:tc>
          <w:tcPr>
            <w:tcW w:w="291" w:type="pct"/>
          </w:tcPr>
          <w:p w14:paraId="1BCBC0EA" w14:textId="6C1FC4CC" w:rsidR="00800FEF" w:rsidRDefault="00800FE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12FFE89B" w14:textId="77777777" w:rsidR="00800FEF" w:rsidRDefault="00800FEF" w:rsidP="00A765CC">
            <w:pPr>
              <w:rPr>
                <w:b/>
                <w:bCs/>
              </w:rPr>
            </w:pPr>
            <w:r w:rsidRPr="00CD6C60">
              <w:rPr>
                <w:b/>
                <w:bCs/>
              </w:rPr>
              <w:t>NPRR 1274</w:t>
            </w:r>
            <w:r>
              <w:rPr>
                <w:b/>
                <w:bCs/>
              </w:rPr>
              <w:t xml:space="preserve"> –</w:t>
            </w:r>
            <w:r w:rsidRPr="00CD6C60">
              <w:rPr>
                <w:b/>
                <w:bCs/>
              </w:rPr>
              <w:t xml:space="preserve"> RPG</w:t>
            </w:r>
            <w:r>
              <w:rPr>
                <w:b/>
                <w:bCs/>
              </w:rPr>
              <w:t xml:space="preserve"> </w:t>
            </w:r>
            <w:r w:rsidRPr="00CD6C60">
              <w:rPr>
                <w:b/>
                <w:bCs/>
              </w:rPr>
              <w:t>Estimated Capital Cost Thresholds of Proposed Transmission Projects</w:t>
            </w:r>
          </w:p>
          <w:p w14:paraId="21A45478" w14:textId="077CE6AE" w:rsidR="0032192A" w:rsidRPr="00FA5326" w:rsidRDefault="00DB71C5" w:rsidP="00A765CC">
            <w:r w:rsidRPr="00FA5326">
              <w:t xml:space="preserve">Robert Golen (ERCOT) </w:t>
            </w:r>
            <w:r w:rsidR="00FA5326" w:rsidRPr="00FA5326">
              <w:t>requested tabling for one more month. ERCOT has issued an RFI to the TSPs and is awaiting feedback. ERCOT plans to share findings and comments at the August 26</w:t>
            </w:r>
            <w:r w:rsidR="00FA5326" w:rsidRPr="00FA5326">
              <w:rPr>
                <w:vertAlign w:val="superscript"/>
              </w:rPr>
              <w:t>th</w:t>
            </w:r>
            <w:r w:rsidR="00FA5326" w:rsidRPr="00FA5326">
              <w:t xml:space="preserve"> PLWG meeting. </w:t>
            </w:r>
          </w:p>
          <w:p w14:paraId="72B4998A" w14:textId="01BF918C" w:rsidR="006F1F5D" w:rsidRPr="006F1F5D" w:rsidRDefault="006F1F5D" w:rsidP="00A765CC">
            <w:pPr>
              <w:rPr>
                <w:b/>
                <w:bCs/>
                <w:i/>
                <w:iCs/>
              </w:rPr>
            </w:pPr>
            <w:r w:rsidRPr="006F1F5D">
              <w:rPr>
                <w:b/>
                <w:bCs/>
                <w:i/>
                <w:iCs/>
              </w:rPr>
              <w:t>Action Taken: Keep tabled pending ERCOT comments and RFI feedback.</w:t>
            </w:r>
          </w:p>
        </w:tc>
        <w:tc>
          <w:tcPr>
            <w:tcW w:w="874" w:type="pct"/>
          </w:tcPr>
          <w:p w14:paraId="15732D62" w14:textId="04B02A8F" w:rsidR="00800FEF" w:rsidRDefault="00800FE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ERCOT</w:t>
            </w:r>
          </w:p>
        </w:tc>
      </w:tr>
      <w:tr w:rsidR="00FD3130" w:rsidRPr="00A765CC" w14:paraId="61DB2DBD" w14:textId="77777777" w:rsidTr="0056135A">
        <w:trPr>
          <w:trHeight w:val="630"/>
        </w:trPr>
        <w:tc>
          <w:tcPr>
            <w:tcW w:w="291" w:type="pct"/>
          </w:tcPr>
          <w:p w14:paraId="43AA5318" w14:textId="51AF45D9" w:rsidR="00FD3130" w:rsidRDefault="00FD3130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7D47A0CF" w14:textId="77777777" w:rsidR="00FD3130" w:rsidRDefault="00FD3130" w:rsidP="00FD3130">
            <w:pPr>
              <w:pStyle w:val="ListParagraph"/>
              <w:ind w:left="525" w:hanging="525"/>
              <w:rPr>
                <w:b/>
                <w:bCs/>
              </w:rPr>
            </w:pPr>
            <w:r w:rsidRPr="001E1E53">
              <w:rPr>
                <w:b/>
                <w:bCs/>
              </w:rPr>
              <w:t>NPRR 1272</w:t>
            </w:r>
            <w:r w:rsidRPr="00A765CC">
              <w:rPr>
                <w:b/>
                <w:bCs/>
              </w:rPr>
              <w:t xml:space="preserve"> – Voltage Support at Private Use Networks</w:t>
            </w:r>
          </w:p>
          <w:p w14:paraId="13146CD4" w14:textId="6014A70F" w:rsidR="006F1F5D" w:rsidRDefault="008372D0" w:rsidP="00A765CC">
            <w:r>
              <w:t>Bill Blevins (</w:t>
            </w:r>
            <w:r w:rsidR="006F1F5D">
              <w:t>ERCOT</w:t>
            </w:r>
            <w:r>
              <w:t>)</w:t>
            </w:r>
            <w:r w:rsidR="006F1F5D">
              <w:t xml:space="preserve"> </w:t>
            </w:r>
            <w:r w:rsidR="000E058B">
              <w:t>shared that ongoing discussions</w:t>
            </w:r>
            <w:r w:rsidR="006F1F5D">
              <w:t xml:space="preserve"> have not persuaded ERCOT to change position </w:t>
            </w:r>
            <w:r w:rsidR="000E058B">
              <w:t>from their</w:t>
            </w:r>
            <w:r w:rsidR="006F1F5D">
              <w:t xml:space="preserve"> last posted comments. </w:t>
            </w:r>
            <w:r w:rsidR="00480803">
              <w:t xml:space="preserve">There are reliability impacts and cost considerations </w:t>
            </w:r>
            <w:r w:rsidR="004C3D86">
              <w:t xml:space="preserve">to compensate for the lack of reactive power that would result from </w:t>
            </w:r>
            <w:proofErr w:type="spellStart"/>
            <w:r w:rsidR="004C3D86">
              <w:t>Oxy’s</w:t>
            </w:r>
            <w:proofErr w:type="spellEnd"/>
            <w:r w:rsidR="004C3D86">
              <w:t xml:space="preserve"> interpretation. Also noted that ERCOT believes there is a path forward to register as a self-limiting generator and thus handled within normal processes. </w:t>
            </w:r>
          </w:p>
          <w:p w14:paraId="3C2972A8" w14:textId="3B3FFE2C" w:rsidR="00B91BB9" w:rsidRDefault="00B91BB9" w:rsidP="00A765CC">
            <w:r>
              <w:t>Melissa</w:t>
            </w:r>
            <w:r w:rsidR="00712452">
              <w:t xml:space="preserve"> Trevino (Oxy)</w:t>
            </w:r>
            <w:r>
              <w:t xml:space="preserve"> – No one has told us what the reliability issue is. Load was studied independently, generator was studied independently, but </w:t>
            </w:r>
            <w:r w:rsidR="00712452">
              <w:t xml:space="preserve">the </w:t>
            </w:r>
            <w:r>
              <w:t xml:space="preserve">issue </w:t>
            </w:r>
            <w:r w:rsidR="00712452">
              <w:t xml:space="preserve">was </w:t>
            </w:r>
            <w:r>
              <w:t xml:space="preserve">identified only when combined. Solution still shouldn’t be to have a punitive requirement over a merchant generator. </w:t>
            </w:r>
          </w:p>
          <w:p w14:paraId="6C4F06CB" w14:textId="731AC3DA" w:rsidR="00B91BB9" w:rsidRDefault="00B91BB9" w:rsidP="00A765CC">
            <w:r>
              <w:t>Scott</w:t>
            </w:r>
            <w:r w:rsidR="00D767FA">
              <w:t xml:space="preserve"> Wardle</w:t>
            </w:r>
            <w:r>
              <w:t xml:space="preserve"> (Oxy) – Required to </w:t>
            </w:r>
            <w:proofErr w:type="gramStart"/>
            <w:r>
              <w:t>maintain 0.95 power factor at all times</w:t>
            </w:r>
            <w:proofErr w:type="gramEnd"/>
            <w:r>
              <w:t xml:space="preserve"> regardless of load. </w:t>
            </w:r>
            <w:r w:rsidR="00712452">
              <w:t xml:space="preserve">ERCOT is </w:t>
            </w:r>
            <w:r>
              <w:t>Asking 160% reactive power in versus a merchant generator.</w:t>
            </w:r>
          </w:p>
          <w:p w14:paraId="5E1B7A20" w14:textId="12B4D46F" w:rsidR="00B91BB9" w:rsidRDefault="003C3DF4" w:rsidP="00A765CC">
            <w:r>
              <w:t>Oxy and ERCOT went b</w:t>
            </w:r>
            <w:r w:rsidR="00B91BB9">
              <w:t xml:space="preserve">ack and forth with </w:t>
            </w:r>
            <w:r>
              <w:t xml:space="preserve">several </w:t>
            </w:r>
            <w:r w:rsidR="00B91BB9">
              <w:t xml:space="preserve">examples. Oxy feels this interpretation is punitive to PUN generators compared to merchant generators. </w:t>
            </w:r>
            <w:r>
              <w:t xml:space="preserve">However, </w:t>
            </w:r>
            <w:r w:rsidR="00B91BB9">
              <w:t xml:space="preserve">ERCOT needs the generator to provide VSS that is short of the requirement at the POI </w:t>
            </w:r>
            <w:r>
              <w:t>due to</w:t>
            </w:r>
            <w:r w:rsidR="00B91BB9">
              <w:t xml:space="preserve"> the load consumption. </w:t>
            </w:r>
          </w:p>
          <w:p w14:paraId="48BD2D7E" w14:textId="2F997967" w:rsidR="0065597F" w:rsidRDefault="00F640E1" w:rsidP="00A765CC">
            <w:r>
              <w:t xml:space="preserve">Oxy and ERCOT reached an apparent impasse </w:t>
            </w:r>
            <w:r w:rsidR="004633B2">
              <w:t xml:space="preserve">in the </w:t>
            </w:r>
            <w:r>
              <w:t>disagreement</w:t>
            </w:r>
            <w:r w:rsidR="003C3DF4">
              <w:t xml:space="preserve"> of</w:t>
            </w:r>
            <w:r>
              <w:t xml:space="preserve"> </w:t>
            </w:r>
            <w:r w:rsidR="003C3DF4">
              <w:t xml:space="preserve">language </w:t>
            </w:r>
            <w:r>
              <w:t>interpretation</w:t>
            </w:r>
            <w:r w:rsidR="003C3DF4">
              <w:t xml:space="preserve">. </w:t>
            </w:r>
            <w:r w:rsidR="00F415BE">
              <w:t xml:space="preserve">Since the issue has been at PLWG for several months without progress, </w:t>
            </w:r>
            <w:r>
              <w:t>PLWG will report back to ROS that the group was unable to reach consensus</w:t>
            </w:r>
            <w:r w:rsidR="0065597F">
              <w:t>.</w:t>
            </w:r>
            <w:r w:rsidR="00BB3660">
              <w:t xml:space="preserve"> Katie Rich</w:t>
            </w:r>
            <w:r w:rsidR="004B734C">
              <w:t xml:space="preserve"> (</w:t>
            </w:r>
            <w:proofErr w:type="spellStart"/>
            <w:r w:rsidR="004B734C">
              <w:t>Vistra</w:t>
            </w:r>
            <w:proofErr w:type="spellEnd"/>
            <w:r w:rsidR="004B734C">
              <w:t xml:space="preserve">, Chair of ROS) asked the parties to work together prior to taking </w:t>
            </w:r>
            <w:proofErr w:type="gramStart"/>
            <w:r w:rsidR="004B734C">
              <w:t>up at</w:t>
            </w:r>
            <w:proofErr w:type="gramEnd"/>
            <w:r w:rsidR="004B734C">
              <w:t xml:space="preserve"> ROS.</w:t>
            </w:r>
          </w:p>
          <w:p w14:paraId="784297D5" w14:textId="3EE0128A" w:rsidR="00D767FA" w:rsidRPr="00B753D1" w:rsidRDefault="00D767FA" w:rsidP="00A765CC">
            <w:pPr>
              <w:rPr>
                <w:b/>
                <w:bCs/>
                <w:i/>
                <w:iCs/>
              </w:rPr>
            </w:pPr>
            <w:r w:rsidRPr="00B753D1">
              <w:rPr>
                <w:b/>
                <w:bCs/>
                <w:i/>
                <w:iCs/>
              </w:rPr>
              <w:t xml:space="preserve">Action Taken: </w:t>
            </w:r>
            <w:r w:rsidR="0065597F" w:rsidRPr="00B753D1">
              <w:rPr>
                <w:b/>
                <w:bCs/>
                <w:i/>
                <w:iCs/>
              </w:rPr>
              <w:t>P</w:t>
            </w:r>
            <w:r w:rsidRPr="00B753D1">
              <w:rPr>
                <w:b/>
                <w:bCs/>
                <w:i/>
                <w:iCs/>
              </w:rPr>
              <w:t>rovide report to ROS that PLWG was unable to reach consensus</w:t>
            </w:r>
            <w:r w:rsidR="0065597F" w:rsidRPr="00B753D1">
              <w:rPr>
                <w:b/>
                <w:bCs/>
                <w:i/>
                <w:iCs/>
              </w:rPr>
              <w:t xml:space="preserve"> after multiple months of discussion.</w:t>
            </w:r>
          </w:p>
        </w:tc>
        <w:tc>
          <w:tcPr>
            <w:tcW w:w="874" w:type="pct"/>
          </w:tcPr>
          <w:p w14:paraId="2DC7B799" w14:textId="1F7917DD" w:rsidR="00FD3130" w:rsidRDefault="00FD3130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ERCOT / Oxy</w:t>
            </w:r>
          </w:p>
        </w:tc>
      </w:tr>
      <w:tr w:rsidR="0056135A" w:rsidRPr="00A765CC" w14:paraId="0FD7E72D" w14:textId="77777777" w:rsidTr="00240829">
        <w:trPr>
          <w:trHeight w:val="345"/>
        </w:trPr>
        <w:tc>
          <w:tcPr>
            <w:tcW w:w="291" w:type="pct"/>
            <w:hideMark/>
          </w:tcPr>
          <w:p w14:paraId="66C479BD" w14:textId="3122C61D" w:rsidR="0056135A" w:rsidRPr="00A765CC" w:rsidRDefault="00FD0EDF" w:rsidP="00A765CC">
            <w:r>
              <w:rPr>
                <w:b/>
                <w:bCs/>
              </w:rPr>
              <w:lastRenderedPageBreak/>
              <w:t>7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1A7F28EB" w14:textId="77777777" w:rsidR="0056135A" w:rsidRPr="00A765CC" w:rsidRDefault="0056135A" w:rsidP="00A765CC">
            <w:r w:rsidRPr="00A765CC">
              <w:rPr>
                <w:b/>
                <w:bCs/>
              </w:rPr>
              <w:t>PGRR 122 – Reliability Performance Criteria for Loss of Load</w:t>
            </w:r>
          </w:p>
        </w:tc>
        <w:tc>
          <w:tcPr>
            <w:tcW w:w="874" w:type="pct"/>
            <w:hideMark/>
          </w:tcPr>
          <w:p w14:paraId="1B51905F" w14:textId="77777777" w:rsidR="0056135A" w:rsidRPr="00A765CC" w:rsidRDefault="0056135A" w:rsidP="00A765CC">
            <w:r w:rsidRPr="00A765CC">
              <w:rPr>
                <w:b/>
                <w:bCs/>
              </w:rPr>
              <w:t>ERCOT/PLWG</w:t>
            </w:r>
          </w:p>
        </w:tc>
      </w:tr>
      <w:tr w:rsidR="00240829" w:rsidRPr="00A765CC" w14:paraId="028401F1" w14:textId="77777777" w:rsidTr="00240829">
        <w:trPr>
          <w:trHeight w:val="990"/>
        </w:trPr>
        <w:tc>
          <w:tcPr>
            <w:tcW w:w="291" w:type="pct"/>
          </w:tcPr>
          <w:p w14:paraId="58CA2D1A" w14:textId="2F21FB06" w:rsidR="00240829" w:rsidRPr="00A765CC" w:rsidRDefault="00240829" w:rsidP="00A765CC">
            <w:pPr>
              <w:rPr>
                <w:b/>
                <w:bCs/>
              </w:rPr>
            </w:pP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31AC8F8E" w14:textId="34AFCAF0" w:rsidR="00882831" w:rsidRDefault="006F69E7" w:rsidP="00AC0571">
            <w:r>
              <w:t xml:space="preserve">Jeff Billo (ERCOT) </w:t>
            </w:r>
            <w:r w:rsidR="00571EE8">
              <w:t>shared that ERCOT has contemplated comments</w:t>
            </w:r>
            <w:r w:rsidR="000E090B">
              <w:t>,</w:t>
            </w:r>
            <w:r w:rsidR="00571EE8">
              <w:t xml:space="preserve"> but</w:t>
            </w:r>
            <w:r w:rsidR="000E090B">
              <w:t xml:space="preserve"> these are not yet</w:t>
            </w:r>
            <w:r w:rsidR="00571EE8">
              <w:t xml:space="preserve"> finalized. </w:t>
            </w:r>
            <w:r w:rsidR="004B3EC7">
              <w:t xml:space="preserve">Discussion on </w:t>
            </w:r>
            <w:r w:rsidR="00080683">
              <w:t xml:space="preserve">voltage ride through </w:t>
            </w:r>
            <w:r w:rsidR="004B3EC7">
              <w:t>requirements for load</w:t>
            </w:r>
            <w:r w:rsidR="00080683">
              <w:t xml:space="preserve"> </w:t>
            </w:r>
            <w:r w:rsidR="000E090B">
              <w:t>occurred</w:t>
            </w:r>
            <w:r w:rsidR="00080683">
              <w:t xml:space="preserve"> at </w:t>
            </w:r>
            <w:r w:rsidR="00197DE6">
              <w:t xml:space="preserve">the Large Load </w:t>
            </w:r>
            <w:r>
              <w:t xml:space="preserve">Workshop held on </w:t>
            </w:r>
            <w:r w:rsidR="000D2DD4">
              <w:t>June 13</w:t>
            </w:r>
            <w:r w:rsidR="000D2DD4" w:rsidRPr="000D2DD4">
              <w:rPr>
                <w:vertAlign w:val="superscript"/>
              </w:rPr>
              <w:t>th</w:t>
            </w:r>
            <w:r w:rsidR="00080683">
              <w:t xml:space="preserve">. Nothing new </w:t>
            </w:r>
            <w:r w:rsidR="002A1E26">
              <w:t>to share at</w:t>
            </w:r>
            <w:r w:rsidR="00080683">
              <w:t xml:space="preserve"> PLWG today.</w:t>
            </w:r>
          </w:p>
          <w:p w14:paraId="5F31332F" w14:textId="0AA88B74" w:rsidR="00240829" w:rsidRPr="00717207" w:rsidRDefault="00C020F5" w:rsidP="00AC0571">
            <w:r>
              <w:rPr>
                <w:b/>
                <w:bCs/>
                <w:i/>
                <w:iCs/>
              </w:rPr>
              <w:t xml:space="preserve">No action taken. </w:t>
            </w:r>
            <w:r w:rsidR="00F231D6" w:rsidRPr="00084DDC">
              <w:rPr>
                <w:b/>
                <w:bCs/>
                <w:i/>
                <w:iCs/>
              </w:rPr>
              <w:t>Continue</w:t>
            </w:r>
            <w:r w:rsidR="003979F5">
              <w:rPr>
                <w:b/>
                <w:bCs/>
                <w:i/>
                <w:iCs/>
              </w:rPr>
              <w:t>d</w:t>
            </w:r>
            <w:r w:rsidR="00F231D6" w:rsidRPr="00084DDC">
              <w:rPr>
                <w:b/>
                <w:bCs/>
                <w:i/>
                <w:iCs/>
              </w:rPr>
              <w:t xml:space="preserve"> to table</w:t>
            </w:r>
            <w:r w:rsidR="003979F5">
              <w:rPr>
                <w:b/>
                <w:bCs/>
                <w:i/>
                <w:iCs/>
              </w:rPr>
              <w:t xml:space="preserve"> PGRR122</w:t>
            </w:r>
            <w:r w:rsidR="00F26190" w:rsidRPr="00084DDC">
              <w:rPr>
                <w:b/>
                <w:bCs/>
                <w:i/>
                <w:iCs/>
              </w:rPr>
              <w:t>.</w:t>
            </w:r>
            <w:r w:rsidR="00D9624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74" w:type="pct"/>
          </w:tcPr>
          <w:p w14:paraId="7D856BC3" w14:textId="0EAA6140" w:rsidR="00240829" w:rsidRDefault="00240829" w:rsidP="00A765CC">
            <w:pPr>
              <w:rPr>
                <w:b/>
                <w:bCs/>
              </w:rPr>
            </w:pPr>
          </w:p>
        </w:tc>
      </w:tr>
      <w:tr w:rsidR="0056135A" w:rsidRPr="00A765CC" w14:paraId="775359B9" w14:textId="77777777" w:rsidTr="0056135A">
        <w:trPr>
          <w:trHeight w:val="645"/>
        </w:trPr>
        <w:tc>
          <w:tcPr>
            <w:tcW w:w="291" w:type="pct"/>
            <w:hideMark/>
          </w:tcPr>
          <w:p w14:paraId="06707E77" w14:textId="050C0D76" w:rsidR="0056135A" w:rsidRPr="00A765CC" w:rsidRDefault="007C027C" w:rsidP="00A765CC">
            <w:r>
              <w:rPr>
                <w:b/>
                <w:bCs/>
              </w:rPr>
              <w:t>8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2D95913B" w14:textId="2321FA7F" w:rsidR="0056135A" w:rsidRDefault="0024082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PGRR 124 – ESR Maintenance Exception to Modification</w:t>
            </w:r>
          </w:p>
          <w:p w14:paraId="586EBB9D" w14:textId="74110B01" w:rsidR="00B753D1" w:rsidRPr="00B753D1" w:rsidRDefault="00B753D1" w:rsidP="00A765CC">
            <w:r w:rsidRPr="00B753D1">
              <w:t xml:space="preserve">Eric </w:t>
            </w:r>
            <w:r>
              <w:t>Goff – Tesla is working with a battery developer on additional comments</w:t>
            </w:r>
            <w:r w:rsidR="00481527">
              <w:t xml:space="preserve"> and expects to file by the next PLWG meeting.</w:t>
            </w:r>
          </w:p>
          <w:p w14:paraId="24B05946" w14:textId="07E80610" w:rsidR="0056135A" w:rsidRPr="00A765CC" w:rsidRDefault="009D2313" w:rsidP="00A765C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Action: </w:t>
            </w:r>
            <w:r w:rsidR="00E741C8">
              <w:rPr>
                <w:b/>
                <w:bCs/>
                <w:i/>
                <w:iCs/>
              </w:rPr>
              <w:t>Continue</w:t>
            </w:r>
            <w:r w:rsidR="00064D14">
              <w:rPr>
                <w:b/>
                <w:bCs/>
                <w:i/>
                <w:iCs/>
              </w:rPr>
              <w:t>d</w:t>
            </w:r>
            <w:r w:rsidR="00E741C8">
              <w:rPr>
                <w:b/>
                <w:bCs/>
                <w:i/>
                <w:iCs/>
              </w:rPr>
              <w:t xml:space="preserve"> to table PGRR124.</w:t>
            </w:r>
          </w:p>
        </w:tc>
        <w:tc>
          <w:tcPr>
            <w:tcW w:w="874" w:type="pct"/>
            <w:hideMark/>
          </w:tcPr>
          <w:p w14:paraId="1C5D9531" w14:textId="437E432A" w:rsidR="0056135A" w:rsidRPr="00A765CC" w:rsidRDefault="00240829" w:rsidP="00A765CC">
            <w:r>
              <w:rPr>
                <w:b/>
                <w:bCs/>
              </w:rPr>
              <w:t>Tesla</w:t>
            </w:r>
            <w:r w:rsidR="00AC0571">
              <w:rPr>
                <w:b/>
                <w:bCs/>
              </w:rPr>
              <w:t xml:space="preserve"> / Eric Goff</w:t>
            </w:r>
          </w:p>
        </w:tc>
      </w:tr>
      <w:tr w:rsidR="0056135A" w:rsidRPr="00A765CC" w14:paraId="5C311365" w14:textId="77777777" w:rsidTr="0056135A">
        <w:trPr>
          <w:trHeight w:val="630"/>
        </w:trPr>
        <w:tc>
          <w:tcPr>
            <w:tcW w:w="291" w:type="pct"/>
            <w:hideMark/>
          </w:tcPr>
          <w:p w14:paraId="59FC715B" w14:textId="625B4AE0" w:rsidR="0056135A" w:rsidRPr="00A765CC" w:rsidRDefault="00E669C8" w:rsidP="00A765CC">
            <w:r>
              <w:rPr>
                <w:b/>
                <w:bCs/>
              </w:rPr>
              <w:t>9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4DF78FA5" w14:textId="4E5556FA" w:rsidR="0056135A" w:rsidRDefault="002D22AD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PGRR 126 – Related to NPRR1284, Guaranteed Reliability Load Process</w:t>
            </w:r>
          </w:p>
          <w:p w14:paraId="44959224" w14:textId="3C1C65B8" w:rsidR="000A3627" w:rsidRPr="00481527" w:rsidRDefault="00481527" w:rsidP="00481527">
            <w:r w:rsidRPr="00481527">
              <w:t>No discussion.</w:t>
            </w:r>
            <w:r>
              <w:t xml:space="preserve"> Continuing to table until </w:t>
            </w:r>
            <w:r w:rsidR="000D76BE">
              <w:t>PLWG receives</w:t>
            </w:r>
            <w:r>
              <w:t xml:space="preserve"> the associated NOGRR (TBD) referral to take up discussion together with NPRR1284 (referred from ROS on July 10).</w:t>
            </w:r>
          </w:p>
        </w:tc>
        <w:tc>
          <w:tcPr>
            <w:tcW w:w="874" w:type="pct"/>
            <w:hideMark/>
          </w:tcPr>
          <w:p w14:paraId="39144000" w14:textId="220309CB" w:rsidR="0056135A" w:rsidRPr="002D22AD" w:rsidRDefault="002D22AD" w:rsidP="00A765CC">
            <w:pPr>
              <w:rPr>
                <w:b/>
                <w:bCs/>
              </w:rPr>
            </w:pPr>
            <w:r w:rsidRPr="002D22AD">
              <w:rPr>
                <w:b/>
                <w:bCs/>
              </w:rPr>
              <w:t>Clayton Greer</w:t>
            </w:r>
          </w:p>
        </w:tc>
      </w:tr>
      <w:tr w:rsidR="00C82359" w:rsidRPr="00A765CC" w14:paraId="78EC6F2A" w14:textId="77777777" w:rsidTr="0056135A">
        <w:trPr>
          <w:trHeight w:val="630"/>
        </w:trPr>
        <w:tc>
          <w:tcPr>
            <w:tcW w:w="291" w:type="pct"/>
          </w:tcPr>
          <w:p w14:paraId="6A684F1C" w14:textId="77777777" w:rsidR="00C82359" w:rsidRDefault="00C82359" w:rsidP="00A765CC">
            <w:pPr>
              <w:rPr>
                <w:b/>
                <w:bCs/>
              </w:rPr>
            </w:pP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3EAFDD35" w14:textId="50963BB8" w:rsidR="005A6957" w:rsidRPr="000D76BE" w:rsidRDefault="00017743" w:rsidP="00E669C8">
            <w:pPr>
              <w:rPr>
                <w:b/>
                <w:bCs/>
              </w:rPr>
            </w:pPr>
            <w:r w:rsidRPr="000D76BE">
              <w:rPr>
                <w:b/>
                <w:bCs/>
              </w:rPr>
              <w:t xml:space="preserve">Action Taken: Tabled until receive the associated </w:t>
            </w:r>
            <w:r w:rsidR="000D76BE" w:rsidRPr="000D76BE">
              <w:rPr>
                <w:b/>
                <w:bCs/>
              </w:rPr>
              <w:t>language referrals.</w:t>
            </w:r>
          </w:p>
        </w:tc>
        <w:tc>
          <w:tcPr>
            <w:tcW w:w="874" w:type="pct"/>
          </w:tcPr>
          <w:p w14:paraId="7BC613A4" w14:textId="77777777" w:rsidR="00C82359" w:rsidRPr="002D22AD" w:rsidRDefault="00C82359" w:rsidP="00A765CC">
            <w:pPr>
              <w:rPr>
                <w:b/>
                <w:bCs/>
              </w:rPr>
            </w:pPr>
          </w:p>
        </w:tc>
      </w:tr>
      <w:tr w:rsidR="002D22AD" w:rsidRPr="00A765CC" w14:paraId="529DED66" w14:textId="77777777" w:rsidTr="0056135A">
        <w:trPr>
          <w:trHeight w:val="630"/>
        </w:trPr>
        <w:tc>
          <w:tcPr>
            <w:tcW w:w="291" w:type="pct"/>
          </w:tcPr>
          <w:p w14:paraId="18C0D84D" w14:textId="12043ABC" w:rsidR="002D22AD" w:rsidRDefault="002D22AD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5ADB957F" w14:textId="77777777" w:rsidR="002D22AD" w:rsidRDefault="008F0D11" w:rsidP="00A765CC">
            <w:pPr>
              <w:rPr>
                <w:b/>
                <w:bCs/>
              </w:rPr>
            </w:pPr>
            <w:r w:rsidRPr="00501CE0">
              <w:rPr>
                <w:b/>
                <w:bCs/>
              </w:rPr>
              <w:t>NPRR 1286 - Establish Multi-Value Criteria for Resiliency-Related Transmission Project Evaluation</w:t>
            </w:r>
          </w:p>
          <w:p w14:paraId="17B52086" w14:textId="2C9C274A" w:rsidR="008269AF" w:rsidRDefault="00027C1E" w:rsidP="00A765CC">
            <w:r>
              <w:t>Ping Yan (ERCOT) provided a short introduction.</w:t>
            </w:r>
          </w:p>
          <w:p w14:paraId="06007622" w14:textId="5DADEB49" w:rsidR="00481527" w:rsidRDefault="00481527" w:rsidP="00A765CC">
            <w:r>
              <w:t xml:space="preserve">Alex Miller (EDF power solutions) spoke to </w:t>
            </w:r>
            <w:r w:rsidR="006135A2">
              <w:t xml:space="preserve">comments jointly filed by </w:t>
            </w:r>
            <w:r w:rsidR="00F54A71">
              <w:t xml:space="preserve">EDF power solutions, Invenergy, and Pattern Energy (July 1). </w:t>
            </w:r>
            <w:r w:rsidR="00613833">
              <w:t xml:space="preserve">Alex and </w:t>
            </w:r>
            <w:r w:rsidR="00DB452E">
              <w:t xml:space="preserve">Kevin Hanson (Invenergy) </w:t>
            </w:r>
            <w:r w:rsidR="00613833">
              <w:t>went through a presentation (posted on meeting page).</w:t>
            </w:r>
          </w:p>
          <w:p w14:paraId="17C8D2FC" w14:textId="562EC8E5" w:rsidR="00DB452E" w:rsidRDefault="00DB452E" w:rsidP="00A765CC">
            <w:r>
              <w:t>Ping</w:t>
            </w:r>
            <w:r w:rsidR="00D64544">
              <w:t xml:space="preserve"> (ERCOT) – Feels as though </w:t>
            </w:r>
            <w:r>
              <w:t>the comments are relatively different from the focus on NPRR1070. 1286 is mainly to address the PUCT rules using resiliency as a pathway to endorse a project</w:t>
            </w:r>
            <w:r w:rsidR="00D64544">
              <w:t>—l</w:t>
            </w:r>
            <w:r>
              <w:t>ooking</w:t>
            </w:r>
            <w:r w:rsidR="00D64544">
              <w:t xml:space="preserve"> </w:t>
            </w:r>
            <w:r>
              <w:t xml:space="preserve">at, for example, extreme weather conditions and </w:t>
            </w:r>
            <w:proofErr w:type="gramStart"/>
            <w:r>
              <w:t>reducing</w:t>
            </w:r>
            <w:proofErr w:type="gramEnd"/>
            <w:r>
              <w:t xml:space="preserve"> cascading outages.</w:t>
            </w:r>
          </w:p>
          <w:p w14:paraId="264D6741" w14:textId="0A63869B" w:rsidR="00DB452E" w:rsidRDefault="00DB452E" w:rsidP="00A765CC">
            <w:r>
              <w:t xml:space="preserve">Kevin </w:t>
            </w:r>
            <w:r w:rsidR="00D64544">
              <w:t xml:space="preserve">Hanson (Invenergy) </w:t>
            </w:r>
            <w:r>
              <w:t>– Our concepts in the presentation still tie back to improving resiliency in the system.</w:t>
            </w:r>
          </w:p>
          <w:p w14:paraId="1363A52C" w14:textId="28144CA2" w:rsidR="00DB452E" w:rsidRDefault="00DB452E" w:rsidP="00A765CC">
            <w:r>
              <w:t xml:space="preserve">Alex – </w:t>
            </w:r>
            <w:r w:rsidR="00613833">
              <w:t>We do</w:t>
            </w:r>
            <w:r>
              <w:t xml:space="preserve"> feel it’s directly related even if it’s an expansion from what ERCOT originally proposed.</w:t>
            </w:r>
            <w:r w:rsidR="00613833">
              <w:t xml:space="preserve"> It m</w:t>
            </w:r>
            <w:r>
              <w:t xml:space="preserve">akes sense to resolve this while opening the language changes to this section. NPRR1070 has been on hold for </w:t>
            </w:r>
            <w:r w:rsidR="00613833">
              <w:t>four</w:t>
            </w:r>
            <w:r>
              <w:t xml:space="preserve"> years at ERCOT’s request</w:t>
            </w:r>
            <w:r w:rsidR="00613833">
              <w:t>, and it’s</w:t>
            </w:r>
            <w:r>
              <w:t xml:space="preserve"> an overlapping topic.</w:t>
            </w:r>
          </w:p>
          <w:p w14:paraId="3B94BD2A" w14:textId="076ACAEF" w:rsidR="00DB452E" w:rsidRDefault="00DB452E" w:rsidP="00A765CC">
            <w:r>
              <w:t>Prabhu</w:t>
            </w:r>
            <w:r w:rsidR="00613833">
              <w:t xml:space="preserve"> Gnanam (ERCOT)</w:t>
            </w:r>
            <w:r>
              <w:t xml:space="preserve"> – As Ping laid out, the reason for setting this up is there are a set of projects coming out of the resiliency criteria. GTC exit is a </w:t>
            </w:r>
            <w:r>
              <w:lastRenderedPageBreak/>
              <w:t xml:space="preserve">separate discussion. </w:t>
            </w:r>
            <w:r w:rsidR="001A1101">
              <w:t>ERCOT has c</w:t>
            </w:r>
            <w:r>
              <w:t xml:space="preserve">oncerns about expanding </w:t>
            </w:r>
            <w:proofErr w:type="gramStart"/>
            <w:r>
              <w:t>scope</w:t>
            </w:r>
            <w:proofErr w:type="gramEnd"/>
            <w:r>
              <w:t xml:space="preserve"> of the intent of this language.</w:t>
            </w:r>
          </w:p>
          <w:p w14:paraId="44188889" w14:textId="77777777" w:rsidR="001B3E50" w:rsidRDefault="001B3E50" w:rsidP="00A765CC">
            <w:r>
              <w:t>Suzi McClellan – Is there any downside to including this language for consideration that the JC’s have introduced?</w:t>
            </w:r>
          </w:p>
          <w:p w14:paraId="5EE2DE11" w14:textId="117992B9" w:rsidR="001B3E50" w:rsidRDefault="001B3E50" w:rsidP="00A765CC">
            <w:r>
              <w:t>Ping –</w:t>
            </w:r>
            <w:r w:rsidR="00501CE0">
              <w:t xml:space="preserve"> T</w:t>
            </w:r>
            <w:r>
              <w:t>he NPRR specifically targets what the PUCT has put forward to establish a resiliency path for projects. But the</w:t>
            </w:r>
            <w:r w:rsidR="00851030">
              <w:t>se comments</w:t>
            </w:r>
            <w:r>
              <w:t xml:space="preserve"> create a much larger umbrella. It’s appropriate to revisit 1070 at this point.</w:t>
            </w:r>
          </w:p>
          <w:p w14:paraId="0B57B80D" w14:textId="60BDB605" w:rsidR="001B3E50" w:rsidRDefault="001B3E50" w:rsidP="00A765CC">
            <w:r>
              <w:t xml:space="preserve">Alex – No action needed as </w:t>
            </w:r>
            <w:r w:rsidR="00851030">
              <w:t xml:space="preserve">1070 is </w:t>
            </w:r>
            <w:r>
              <w:t xml:space="preserve">tabled at ROS </w:t>
            </w:r>
            <w:r w:rsidR="00851030">
              <w:t>and</w:t>
            </w:r>
            <w:r>
              <w:t xml:space="preserve"> can </w:t>
            </w:r>
            <w:proofErr w:type="gramStart"/>
            <w:r>
              <w:t>refer back</w:t>
            </w:r>
            <w:proofErr w:type="gramEnd"/>
            <w:r>
              <w:t xml:space="preserve"> to PLWG</w:t>
            </w:r>
            <w:r w:rsidR="00851030">
              <w:t>. The Joint Commenters will discuss a path</w:t>
            </w:r>
            <w:r>
              <w:t xml:space="preserve"> forward.</w:t>
            </w:r>
          </w:p>
          <w:p w14:paraId="3936D212" w14:textId="7FFE6AD7" w:rsidR="00E14F6D" w:rsidRPr="00E14F6D" w:rsidRDefault="00E14F6D" w:rsidP="00A765CC">
            <w:pPr>
              <w:rPr>
                <w:b/>
                <w:bCs/>
                <w:i/>
                <w:iCs/>
              </w:rPr>
            </w:pPr>
            <w:r w:rsidRPr="00E14F6D">
              <w:rPr>
                <w:b/>
                <w:bCs/>
                <w:i/>
                <w:iCs/>
              </w:rPr>
              <w:t>Action Taken: Tabled 1286</w:t>
            </w:r>
            <w:r w:rsidR="00501CE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4" w:type="pct"/>
          </w:tcPr>
          <w:p w14:paraId="0725DD0D" w14:textId="1B5CDB96" w:rsidR="002D22AD" w:rsidRDefault="002D22AD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ERCOT</w:t>
            </w:r>
          </w:p>
        </w:tc>
      </w:tr>
      <w:tr w:rsidR="008269AF" w:rsidRPr="00A765CC" w14:paraId="6061816F" w14:textId="77777777" w:rsidTr="0056135A">
        <w:trPr>
          <w:trHeight w:val="630"/>
        </w:trPr>
        <w:tc>
          <w:tcPr>
            <w:tcW w:w="291" w:type="pct"/>
          </w:tcPr>
          <w:p w14:paraId="0E9E2B9B" w14:textId="3D16007D" w:rsidR="008269AF" w:rsidRDefault="008269A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02ACABAA" w14:textId="77777777" w:rsidR="008269AF" w:rsidRDefault="008269AF" w:rsidP="00A765CC">
            <w:pPr>
              <w:rPr>
                <w:b/>
                <w:bCs/>
              </w:rPr>
            </w:pPr>
            <w:r w:rsidRPr="00134CED">
              <w:rPr>
                <w:b/>
                <w:bCs/>
              </w:rPr>
              <w:t>PGRR 127</w:t>
            </w:r>
            <w:r w:rsidRPr="008269AF">
              <w:rPr>
                <w:b/>
                <w:bCs/>
              </w:rPr>
              <w:t>-Addition of Proposed Generation to the Planning Models</w:t>
            </w:r>
          </w:p>
          <w:p w14:paraId="5CB076BB" w14:textId="126846E6" w:rsidR="00B753D1" w:rsidRDefault="00B753D1" w:rsidP="00A765CC">
            <w:r>
              <w:t xml:space="preserve">Ping Yan (ERCOT) introduced this language. </w:t>
            </w:r>
            <w:r w:rsidR="00FA152C">
              <w:t>This is consi</w:t>
            </w:r>
            <w:r>
              <w:t xml:space="preserve">stent with what Jamison presented on the 2025 RTP assumptions. Over the past year, </w:t>
            </w:r>
            <w:r w:rsidR="00FA152C">
              <w:t>ERCOT has discussed this issue</w:t>
            </w:r>
            <w:r>
              <w:t xml:space="preserve"> at both PLWG and RPG groups. Note that </w:t>
            </w:r>
            <w:r w:rsidR="009177CC">
              <w:t>the new paragraph (</w:t>
            </w:r>
            <w:r>
              <w:t>5) incorporates the order of generation precedent in case of a deficit.</w:t>
            </w:r>
          </w:p>
          <w:p w14:paraId="2599F14D" w14:textId="25A0F3C3" w:rsidR="000A79C3" w:rsidRDefault="000A79C3" w:rsidP="00A765CC">
            <w:r>
              <w:t xml:space="preserve">John Russ Hubbard – </w:t>
            </w:r>
            <w:r w:rsidR="009177CC">
              <w:t>W</w:t>
            </w:r>
            <w:r>
              <w:t>hen ERCOT provides reasonable notice, will it also provide analysis of how it reached its determination and why?</w:t>
            </w:r>
          </w:p>
          <w:p w14:paraId="0F8A958B" w14:textId="2ACF48AA" w:rsidR="000A79C3" w:rsidRDefault="000A79C3" w:rsidP="00A765CC">
            <w:r>
              <w:t xml:space="preserve">Ping – Yes, </w:t>
            </w:r>
            <w:proofErr w:type="gramStart"/>
            <w:r>
              <w:t>similar to</w:t>
            </w:r>
            <w:proofErr w:type="gramEnd"/>
            <w:r>
              <w:t xml:space="preserve"> RPG presentations where</w:t>
            </w:r>
            <w:r w:rsidR="009177CC">
              <w:t>in</w:t>
            </w:r>
            <w:r>
              <w:t xml:space="preserve"> </w:t>
            </w:r>
            <w:r w:rsidR="009177CC">
              <w:t xml:space="preserve">ERCOT </w:t>
            </w:r>
            <w:r>
              <w:t>describe</w:t>
            </w:r>
            <w:r w:rsidR="009177CC">
              <w:t>s</w:t>
            </w:r>
            <w:r>
              <w:t xml:space="preserve"> how </w:t>
            </w:r>
            <w:r w:rsidR="009177CC">
              <w:t xml:space="preserve">it </w:t>
            </w:r>
            <w:r>
              <w:t>added this generation to the cases.</w:t>
            </w:r>
          </w:p>
          <w:p w14:paraId="658E06B6" w14:textId="77777777" w:rsidR="000A79C3" w:rsidRDefault="000A79C3" w:rsidP="00A765CC">
            <w:r>
              <w:t>JRH – It may be helpful to add language detailing that into the PGRR.</w:t>
            </w:r>
          </w:p>
          <w:p w14:paraId="1E3293B5" w14:textId="4A066097" w:rsidR="000A79C3" w:rsidRDefault="000A79C3" w:rsidP="00A765CC">
            <w:r>
              <w:t>Dylan Preas (LCRA) – How do you select everything in a single category – what is the methodology?</w:t>
            </w:r>
          </w:p>
          <w:p w14:paraId="3D369F1C" w14:textId="77777777" w:rsidR="000A79C3" w:rsidRDefault="000A79C3" w:rsidP="00A765CC">
            <w:r>
              <w:t xml:space="preserve">Ping – If only need part of a single group – like in (5)(a) large generators with a signed SGIA—then ERCOT did not qualify the procedure in the </w:t>
            </w:r>
            <w:proofErr w:type="gramStart"/>
            <w:r>
              <w:t>language, but</w:t>
            </w:r>
            <w:proofErr w:type="gramEnd"/>
            <w:r>
              <w:t xml:space="preserve"> would provide that methodology. </w:t>
            </w:r>
          </w:p>
          <w:p w14:paraId="2A861F34" w14:textId="39DFE04E" w:rsidR="00E85766" w:rsidRDefault="000A79C3" w:rsidP="00E85766">
            <w:r>
              <w:t>Alex Miller (EDF power solutions) – Suggests picking all and then scaling down to avoid hotspots.</w:t>
            </w:r>
            <w:r w:rsidR="00E85766">
              <w:t xml:space="preserve"> Also r</w:t>
            </w:r>
            <w:r w:rsidR="00E85766">
              <w:t>ecommends having some language describing the methodology of selecting generators within a category if not using the entire category.</w:t>
            </w:r>
          </w:p>
          <w:p w14:paraId="0EF251F6" w14:textId="36C72D91" w:rsidR="000A79C3" w:rsidRDefault="00FD6C32" w:rsidP="00A765CC">
            <w:r>
              <w:t xml:space="preserve">Dylan - </w:t>
            </w:r>
            <w:r w:rsidR="000A79C3">
              <w:t>Dynamic models needed for (a) and (b). If the generator doesn’t have models available, will it be dropped from inclusion? Is it helpful to call out which models are needed?</w:t>
            </w:r>
          </w:p>
          <w:p w14:paraId="3D62C7BE" w14:textId="5E06BB10" w:rsidR="008E3328" w:rsidRDefault="008E3328" w:rsidP="00A765CC">
            <w:r>
              <w:t>Kristin Cook (SPC) - Reasoning for the 60</w:t>
            </w:r>
            <w:r w:rsidR="001B2EE5">
              <w:t>-</w:t>
            </w:r>
            <w:r>
              <w:t>day</w:t>
            </w:r>
            <w:r w:rsidR="001B2EE5">
              <w:t xml:space="preserve"> model</w:t>
            </w:r>
            <w:r>
              <w:t xml:space="preserve"> requirement?</w:t>
            </w:r>
          </w:p>
          <w:p w14:paraId="49C8250F" w14:textId="7C67BA89" w:rsidR="008E3328" w:rsidRDefault="008E3328" w:rsidP="00A765CC">
            <w:r>
              <w:t xml:space="preserve">Ping – </w:t>
            </w:r>
            <w:r w:rsidR="001B2EE5">
              <w:t>The language limits</w:t>
            </w:r>
            <w:r>
              <w:t xml:space="preserve"> the 60-day turnaround on the dynamic model requirement to only type (a) and (b) – either </w:t>
            </w:r>
            <w:r w:rsidR="00C7413A">
              <w:t>the generators</w:t>
            </w:r>
            <w:r>
              <w:t xml:space="preserve"> have completed </w:t>
            </w:r>
            <w:r>
              <w:lastRenderedPageBreak/>
              <w:t>the FIS or signed SGIA</w:t>
            </w:r>
            <w:r w:rsidR="00C7413A">
              <w:t>. ERCOT</w:t>
            </w:r>
            <w:r>
              <w:t xml:space="preserve"> only found a handful of generators that have not yet completed the FIS study. There is a dynamic study portion that is required</w:t>
            </w:r>
            <w:r w:rsidR="00C7413A">
              <w:t>, so you should already have those models co</w:t>
            </w:r>
            <w:r>
              <w:t>mpleted if you’re at that point.</w:t>
            </w:r>
          </w:p>
          <w:p w14:paraId="64FBA2E3" w14:textId="654C72FD" w:rsidR="006258CE" w:rsidRPr="00156453" w:rsidRDefault="00156453" w:rsidP="00A765CC">
            <w:pPr>
              <w:rPr>
                <w:b/>
                <w:bCs/>
                <w:i/>
                <w:iCs/>
              </w:rPr>
            </w:pPr>
            <w:r w:rsidRPr="00156453">
              <w:rPr>
                <w:b/>
                <w:bCs/>
                <w:i/>
                <w:iCs/>
              </w:rPr>
              <w:t>Action Taken: Tabled</w:t>
            </w:r>
            <w:r>
              <w:rPr>
                <w:b/>
                <w:bCs/>
                <w:i/>
                <w:iCs/>
              </w:rPr>
              <w:t xml:space="preserve"> pending comments from LCRA and others.</w:t>
            </w:r>
          </w:p>
        </w:tc>
        <w:tc>
          <w:tcPr>
            <w:tcW w:w="874" w:type="pct"/>
          </w:tcPr>
          <w:p w14:paraId="24A4C68B" w14:textId="59051655" w:rsidR="008269AF" w:rsidRDefault="008269A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ERCOT</w:t>
            </w:r>
          </w:p>
        </w:tc>
      </w:tr>
      <w:tr w:rsidR="008269AF" w:rsidRPr="00A765CC" w14:paraId="45F0E3FB" w14:textId="77777777" w:rsidTr="0056135A">
        <w:trPr>
          <w:trHeight w:val="630"/>
        </w:trPr>
        <w:tc>
          <w:tcPr>
            <w:tcW w:w="291" w:type="pct"/>
          </w:tcPr>
          <w:p w14:paraId="56EC4ACD" w14:textId="35902DF0" w:rsidR="008269AF" w:rsidRDefault="008269A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1BCB9E33" w14:textId="77777777" w:rsidR="008269AF" w:rsidRDefault="008269AF" w:rsidP="00A765CC">
            <w:pPr>
              <w:rPr>
                <w:b/>
                <w:bCs/>
              </w:rPr>
            </w:pPr>
            <w:r w:rsidRPr="00134CED">
              <w:rPr>
                <w:b/>
                <w:bCs/>
              </w:rPr>
              <w:t>PGRR 128</w:t>
            </w:r>
            <w:r>
              <w:rPr>
                <w:b/>
                <w:bCs/>
              </w:rPr>
              <w:t xml:space="preserve"> - </w:t>
            </w:r>
            <w:r w:rsidR="00D724A0" w:rsidRPr="00D724A0">
              <w:rPr>
                <w:b/>
                <w:bCs/>
              </w:rPr>
              <w:t>Regional Transmission Plan Review of Grid Enhancing Technologies</w:t>
            </w:r>
          </w:p>
          <w:p w14:paraId="4BEB257D" w14:textId="793FC01F" w:rsidR="00156453" w:rsidRDefault="00156453" w:rsidP="00A765CC">
            <w:r>
              <w:t>Eric</w:t>
            </w:r>
            <w:r w:rsidR="00756E42">
              <w:t xml:space="preserve"> Goff (representing Texas Energy Buyers Alliance, TEBA)</w:t>
            </w:r>
            <w:r>
              <w:t xml:space="preserve"> introduced</w:t>
            </w:r>
            <w:r w:rsidR="00756E42">
              <w:t xml:space="preserve"> this language.</w:t>
            </w:r>
          </w:p>
          <w:p w14:paraId="624FB7AF" w14:textId="1E000FC7" w:rsidR="00156453" w:rsidRDefault="00156453" w:rsidP="00A765CC">
            <w:r>
              <w:t>Prabhu G</w:t>
            </w:r>
            <w:r w:rsidR="00756E42">
              <w:t>nanam</w:t>
            </w:r>
            <w:r>
              <w:t xml:space="preserve"> (ERCOT) – ERCOT plans to file comments in response.</w:t>
            </w:r>
          </w:p>
          <w:p w14:paraId="6E931996" w14:textId="32D4758D" w:rsidR="00156453" w:rsidRDefault="00156453" w:rsidP="00A765CC">
            <w:r>
              <w:t>Liz Jones</w:t>
            </w:r>
            <w:r w:rsidR="00756E42">
              <w:t xml:space="preserve"> (Oncor)</w:t>
            </w:r>
            <w:r>
              <w:t xml:space="preserve"> - Oncor has requested a meeting to better understand. Believes it’s good to raise GETS in comments to an RPG submission, but this approach requires TSPs to have a universal understanding of all GETS – an obligation that is unreasonable to impose on the process. </w:t>
            </w:r>
            <w:proofErr w:type="gramStart"/>
            <w:r>
              <w:t>Would</w:t>
            </w:r>
            <w:proofErr w:type="gramEnd"/>
            <w:r>
              <w:t xml:space="preserve"> feel much better about being asked about </w:t>
            </w:r>
            <w:proofErr w:type="gramStart"/>
            <w:r>
              <w:t>a specific</w:t>
            </w:r>
            <w:proofErr w:type="gramEnd"/>
            <w:r>
              <w:t xml:space="preserve"> technology on a specific project.</w:t>
            </w:r>
          </w:p>
          <w:p w14:paraId="27B136FF" w14:textId="22B60DAB" w:rsidR="00156453" w:rsidRDefault="00156453" w:rsidP="00A765CC">
            <w:r>
              <w:t xml:space="preserve">Eric – </w:t>
            </w:r>
            <w:r w:rsidR="00A32604">
              <w:t>L</w:t>
            </w:r>
            <w:r>
              <w:t xml:space="preserve">ooking forward to conversation with you and other </w:t>
            </w:r>
            <w:proofErr w:type="spellStart"/>
            <w:r>
              <w:t>TSPs.</w:t>
            </w:r>
            <w:proofErr w:type="spellEnd"/>
            <w:r>
              <w:t xml:space="preserve"> </w:t>
            </w:r>
            <w:proofErr w:type="gramStart"/>
            <w:r>
              <w:t>Happy</w:t>
            </w:r>
            <w:proofErr w:type="gramEnd"/>
            <w:r>
              <w:t xml:space="preserve"> to consider that approach, but </w:t>
            </w:r>
            <w:r w:rsidR="00A32604">
              <w:t xml:space="preserve">this revision request is </w:t>
            </w:r>
            <w:r>
              <w:t xml:space="preserve">intentionally trying to create a universal process and open to feedback to that. Having to comment project-by-project puts the burden on other stakeholders – </w:t>
            </w:r>
            <w:r w:rsidR="00A32604">
              <w:t xml:space="preserve">and it’s a </w:t>
            </w:r>
            <w:r>
              <w:t xml:space="preserve">significant effort. </w:t>
            </w:r>
          </w:p>
          <w:p w14:paraId="5C9F21AE" w14:textId="14C59799" w:rsidR="00156453" w:rsidRDefault="00156453" w:rsidP="00A765CC">
            <w:r>
              <w:t xml:space="preserve">Liz – </w:t>
            </w:r>
            <w:r w:rsidR="00844502">
              <w:t xml:space="preserve">In </w:t>
            </w:r>
            <w:proofErr w:type="gramStart"/>
            <w:r w:rsidR="00844502">
              <w:t>a</w:t>
            </w:r>
            <w:proofErr w:type="gramEnd"/>
            <w:r>
              <w:t xml:space="preserve"> RPG submittal,</w:t>
            </w:r>
            <w:r w:rsidR="00844502">
              <w:t xml:space="preserve"> the</w:t>
            </w:r>
            <w:r>
              <w:t xml:space="preserve"> utility</w:t>
            </w:r>
            <w:r w:rsidR="00844502">
              <w:t xml:space="preserve"> is</w:t>
            </w:r>
            <w:r>
              <w:t xml:space="preserve"> not obligated to discuss a range of possible tower structures, overhead vs. underground – there are myriad possibilities that go into a particular RPG project. It’s helpful to have the technology consideration called out in a specific project rather than an unlimited range of possibilities that the utility </w:t>
            </w:r>
            <w:proofErr w:type="gramStart"/>
            <w:r>
              <w:t>has to</w:t>
            </w:r>
            <w:proofErr w:type="gramEnd"/>
            <w:r>
              <w:t xml:space="preserve"> negate.</w:t>
            </w:r>
          </w:p>
          <w:p w14:paraId="41FE8A0B" w14:textId="7A8786C3" w:rsidR="00156453" w:rsidRPr="00481527" w:rsidRDefault="00481527" w:rsidP="00A765CC">
            <w:pPr>
              <w:rPr>
                <w:b/>
                <w:bCs/>
                <w:i/>
                <w:iCs/>
              </w:rPr>
            </w:pPr>
            <w:r w:rsidRPr="00481527">
              <w:rPr>
                <w:b/>
                <w:bCs/>
                <w:i/>
                <w:iCs/>
              </w:rPr>
              <w:t>Action: Table</w:t>
            </w:r>
            <w:r>
              <w:rPr>
                <w:b/>
                <w:bCs/>
                <w:i/>
                <w:iCs/>
              </w:rPr>
              <w:t>d</w:t>
            </w:r>
            <w:r w:rsidRPr="00481527">
              <w:rPr>
                <w:b/>
                <w:bCs/>
                <w:i/>
                <w:iCs/>
              </w:rPr>
              <w:t xml:space="preserve"> PGRR128</w:t>
            </w:r>
            <w:r w:rsidR="00134CED">
              <w:rPr>
                <w:b/>
                <w:bCs/>
                <w:i/>
                <w:iCs/>
              </w:rPr>
              <w:t xml:space="preserve"> pending further comments and discussion</w:t>
            </w:r>
            <w:r w:rsidRPr="0048152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4" w:type="pct"/>
          </w:tcPr>
          <w:p w14:paraId="5D028D3A" w14:textId="1744A35F" w:rsidR="008269AF" w:rsidRDefault="002D72B3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TEBA</w:t>
            </w:r>
          </w:p>
        </w:tc>
      </w:tr>
      <w:tr w:rsidR="0056135A" w:rsidRPr="00A765CC" w14:paraId="7F514BD5" w14:textId="77777777" w:rsidTr="0056135A">
        <w:trPr>
          <w:trHeight w:val="630"/>
        </w:trPr>
        <w:tc>
          <w:tcPr>
            <w:tcW w:w="291" w:type="pct"/>
            <w:hideMark/>
          </w:tcPr>
          <w:p w14:paraId="61C1F80F" w14:textId="725A33E4" w:rsidR="0056135A" w:rsidRPr="00A765CC" w:rsidRDefault="0056135A" w:rsidP="00A765CC">
            <w:r w:rsidRPr="00A765CC">
              <w:rPr>
                <w:b/>
                <w:bCs/>
              </w:rPr>
              <w:t>1</w:t>
            </w:r>
            <w:r w:rsidR="00D724A0">
              <w:rPr>
                <w:b/>
                <w:bCs/>
              </w:rPr>
              <w:t>3</w:t>
            </w:r>
            <w:r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53858653" w14:textId="4324064F" w:rsidR="0056135A" w:rsidRDefault="00B401C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Review Open Action Items</w:t>
            </w:r>
          </w:p>
          <w:p w14:paraId="695646A4" w14:textId="18A2AF15" w:rsidR="000A38F4" w:rsidRPr="00A765CC" w:rsidRDefault="00DB663A" w:rsidP="00A765CC">
            <w:r>
              <w:t xml:space="preserve">No </w:t>
            </w:r>
            <w:r w:rsidR="009E189A">
              <w:t xml:space="preserve">other business </w:t>
            </w:r>
            <w:r>
              <w:t>discussed.</w:t>
            </w:r>
          </w:p>
        </w:tc>
        <w:tc>
          <w:tcPr>
            <w:tcW w:w="874" w:type="pct"/>
            <w:hideMark/>
          </w:tcPr>
          <w:p w14:paraId="2DE0F0B3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5AFFCF84" w14:textId="77777777" w:rsidTr="0056135A">
        <w:trPr>
          <w:trHeight w:val="630"/>
        </w:trPr>
        <w:tc>
          <w:tcPr>
            <w:tcW w:w="291" w:type="pct"/>
            <w:hideMark/>
          </w:tcPr>
          <w:p w14:paraId="49254981" w14:textId="6995A871" w:rsidR="0056135A" w:rsidRPr="00A765CC" w:rsidRDefault="0056135A" w:rsidP="00A765CC">
            <w:r w:rsidRPr="00A765CC">
              <w:rPr>
                <w:b/>
                <w:bCs/>
              </w:rPr>
              <w:t>1</w:t>
            </w:r>
            <w:r w:rsidR="00D724A0">
              <w:rPr>
                <w:b/>
                <w:bCs/>
              </w:rPr>
              <w:t>4</w:t>
            </w:r>
            <w:r w:rsidRPr="00A765CC">
              <w:rPr>
                <w:b/>
                <w:bCs/>
              </w:rPr>
              <w:t>.</w:t>
            </w:r>
            <w:r w:rsidRPr="00A765CC">
              <w:t> 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7350C123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Adjourn</w:t>
            </w:r>
          </w:p>
          <w:p w14:paraId="3681AE4F" w14:textId="17DC2A03" w:rsidR="0056135A" w:rsidRPr="00A765CC" w:rsidRDefault="00DC7FCA" w:rsidP="00A765CC">
            <w:r>
              <w:t>Meeting adjourned at 3:54 pm</w:t>
            </w:r>
            <w:r w:rsidR="00134CED">
              <w:t>. The PLWG meeting scheduled for August 1 is cancelled (not needed). The</w:t>
            </w:r>
            <w:r w:rsidR="006F4BF8">
              <w:t xml:space="preserve"> next PLWG meeting</w:t>
            </w:r>
            <w:r w:rsidR="00134CED">
              <w:t xml:space="preserve"> will </w:t>
            </w:r>
            <w:proofErr w:type="gramStart"/>
            <w:r w:rsidR="00134CED">
              <w:t>be</w:t>
            </w:r>
            <w:proofErr w:type="gramEnd"/>
            <w:r w:rsidR="00134CED">
              <w:t xml:space="preserve"> August</w:t>
            </w:r>
            <w:r w:rsidR="00BB527F">
              <w:t xml:space="preserve"> 2</w:t>
            </w:r>
            <w:r w:rsidR="00134CED">
              <w:t>6</w:t>
            </w:r>
            <w:r w:rsidR="00C3637D" w:rsidRPr="00C3637D">
              <w:t>.</w:t>
            </w:r>
          </w:p>
        </w:tc>
        <w:tc>
          <w:tcPr>
            <w:tcW w:w="874" w:type="pct"/>
            <w:hideMark/>
          </w:tcPr>
          <w:p w14:paraId="2808DB60" w14:textId="77777777" w:rsidR="0056135A" w:rsidRPr="00A765CC" w:rsidRDefault="0056135A" w:rsidP="00A765CC">
            <w:r w:rsidRPr="00A765CC">
              <w:rPr>
                <w:b/>
                <w:bCs/>
              </w:rPr>
              <w:t>Chair </w:t>
            </w:r>
          </w:p>
        </w:tc>
      </w:tr>
    </w:tbl>
    <w:p w14:paraId="1B3E5208" w14:textId="77777777" w:rsidR="008D4CFB" w:rsidRDefault="008D4CFB"/>
    <w:sectPr w:rsidR="008D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4C6"/>
    <w:multiLevelType w:val="multilevel"/>
    <w:tmpl w:val="0E4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31DC"/>
    <w:multiLevelType w:val="multilevel"/>
    <w:tmpl w:val="F7E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17857"/>
    <w:multiLevelType w:val="multilevel"/>
    <w:tmpl w:val="C1B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54B9"/>
    <w:multiLevelType w:val="multilevel"/>
    <w:tmpl w:val="FAC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6392B"/>
    <w:multiLevelType w:val="hybridMultilevel"/>
    <w:tmpl w:val="C878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733"/>
    <w:multiLevelType w:val="hybridMultilevel"/>
    <w:tmpl w:val="C32A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E7543"/>
    <w:multiLevelType w:val="multilevel"/>
    <w:tmpl w:val="C27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05CDE"/>
    <w:multiLevelType w:val="multilevel"/>
    <w:tmpl w:val="D8D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744098">
    <w:abstractNumId w:val="3"/>
  </w:num>
  <w:num w:numId="2" w16cid:durableId="542834862">
    <w:abstractNumId w:val="1"/>
  </w:num>
  <w:num w:numId="3" w16cid:durableId="1979676816">
    <w:abstractNumId w:val="7"/>
  </w:num>
  <w:num w:numId="4" w16cid:durableId="911700180">
    <w:abstractNumId w:val="0"/>
  </w:num>
  <w:num w:numId="5" w16cid:durableId="54398409">
    <w:abstractNumId w:val="6"/>
  </w:num>
  <w:num w:numId="6" w16cid:durableId="173692088">
    <w:abstractNumId w:val="2"/>
  </w:num>
  <w:num w:numId="7" w16cid:durableId="133527217">
    <w:abstractNumId w:val="4"/>
  </w:num>
  <w:num w:numId="8" w16cid:durableId="738481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CC"/>
    <w:rsid w:val="0000095B"/>
    <w:rsid w:val="00004735"/>
    <w:rsid w:val="00011B31"/>
    <w:rsid w:val="000126BB"/>
    <w:rsid w:val="00013E2F"/>
    <w:rsid w:val="00014FFE"/>
    <w:rsid w:val="0001526F"/>
    <w:rsid w:val="00017743"/>
    <w:rsid w:val="00020392"/>
    <w:rsid w:val="0002118D"/>
    <w:rsid w:val="00021734"/>
    <w:rsid w:val="00026FAB"/>
    <w:rsid w:val="00027C1E"/>
    <w:rsid w:val="00031B2A"/>
    <w:rsid w:val="000327AC"/>
    <w:rsid w:val="00033842"/>
    <w:rsid w:val="00034273"/>
    <w:rsid w:val="00035287"/>
    <w:rsid w:val="00037898"/>
    <w:rsid w:val="00046FC1"/>
    <w:rsid w:val="0005082D"/>
    <w:rsid w:val="00051512"/>
    <w:rsid w:val="00051E13"/>
    <w:rsid w:val="000538F3"/>
    <w:rsid w:val="000539D4"/>
    <w:rsid w:val="00056A74"/>
    <w:rsid w:val="00057904"/>
    <w:rsid w:val="00060FD0"/>
    <w:rsid w:val="00064D14"/>
    <w:rsid w:val="000676FC"/>
    <w:rsid w:val="0007069A"/>
    <w:rsid w:val="00071722"/>
    <w:rsid w:val="0007180D"/>
    <w:rsid w:val="000720AB"/>
    <w:rsid w:val="00074BF9"/>
    <w:rsid w:val="00077827"/>
    <w:rsid w:val="00080683"/>
    <w:rsid w:val="000818CE"/>
    <w:rsid w:val="00083EEB"/>
    <w:rsid w:val="00084DDC"/>
    <w:rsid w:val="00086AAB"/>
    <w:rsid w:val="00086D21"/>
    <w:rsid w:val="000950F1"/>
    <w:rsid w:val="00097266"/>
    <w:rsid w:val="000A3627"/>
    <w:rsid w:val="000A3629"/>
    <w:rsid w:val="000A38F4"/>
    <w:rsid w:val="000A4BA8"/>
    <w:rsid w:val="000A5FD2"/>
    <w:rsid w:val="000A605D"/>
    <w:rsid w:val="000A79C3"/>
    <w:rsid w:val="000B21C6"/>
    <w:rsid w:val="000C2A7C"/>
    <w:rsid w:val="000C3E15"/>
    <w:rsid w:val="000D1D6E"/>
    <w:rsid w:val="000D2AA6"/>
    <w:rsid w:val="000D2DD4"/>
    <w:rsid w:val="000D3D9F"/>
    <w:rsid w:val="000D40DF"/>
    <w:rsid w:val="000D4E42"/>
    <w:rsid w:val="000D76BE"/>
    <w:rsid w:val="000E005A"/>
    <w:rsid w:val="000E058B"/>
    <w:rsid w:val="000E090B"/>
    <w:rsid w:val="000E3830"/>
    <w:rsid w:val="000F0944"/>
    <w:rsid w:val="000F3777"/>
    <w:rsid w:val="000F52EF"/>
    <w:rsid w:val="000F58C1"/>
    <w:rsid w:val="000F64AA"/>
    <w:rsid w:val="000F70C5"/>
    <w:rsid w:val="00100AAA"/>
    <w:rsid w:val="0010298F"/>
    <w:rsid w:val="00116235"/>
    <w:rsid w:val="00120156"/>
    <w:rsid w:val="0012134C"/>
    <w:rsid w:val="00127DC3"/>
    <w:rsid w:val="00132B60"/>
    <w:rsid w:val="001336D5"/>
    <w:rsid w:val="00134CED"/>
    <w:rsid w:val="0013518E"/>
    <w:rsid w:val="0014037D"/>
    <w:rsid w:val="00142093"/>
    <w:rsid w:val="00145738"/>
    <w:rsid w:val="001461EE"/>
    <w:rsid w:val="00147697"/>
    <w:rsid w:val="001516C2"/>
    <w:rsid w:val="00154703"/>
    <w:rsid w:val="0015628A"/>
    <w:rsid w:val="00156453"/>
    <w:rsid w:val="00160004"/>
    <w:rsid w:val="001606CD"/>
    <w:rsid w:val="00167D02"/>
    <w:rsid w:val="00172DFC"/>
    <w:rsid w:val="00174AAE"/>
    <w:rsid w:val="00177F77"/>
    <w:rsid w:val="0018164B"/>
    <w:rsid w:val="00185A3F"/>
    <w:rsid w:val="001916D6"/>
    <w:rsid w:val="001945DF"/>
    <w:rsid w:val="001961AB"/>
    <w:rsid w:val="00197DE6"/>
    <w:rsid w:val="001A0DA0"/>
    <w:rsid w:val="001A1101"/>
    <w:rsid w:val="001A47FB"/>
    <w:rsid w:val="001A6E6D"/>
    <w:rsid w:val="001B0E0D"/>
    <w:rsid w:val="001B2EE5"/>
    <w:rsid w:val="001B3E50"/>
    <w:rsid w:val="001B6919"/>
    <w:rsid w:val="001C0CC7"/>
    <w:rsid w:val="001C1FD7"/>
    <w:rsid w:val="001C7ECC"/>
    <w:rsid w:val="001E095D"/>
    <w:rsid w:val="001E1E53"/>
    <w:rsid w:val="001E2DA7"/>
    <w:rsid w:val="001E484D"/>
    <w:rsid w:val="001E6E50"/>
    <w:rsid w:val="001E7120"/>
    <w:rsid w:val="001F2CAC"/>
    <w:rsid w:val="00202485"/>
    <w:rsid w:val="00202ABA"/>
    <w:rsid w:val="002032B5"/>
    <w:rsid w:val="0021054E"/>
    <w:rsid w:val="00210DB5"/>
    <w:rsid w:val="002144AE"/>
    <w:rsid w:val="002148E2"/>
    <w:rsid w:val="00223659"/>
    <w:rsid w:val="002236BE"/>
    <w:rsid w:val="0022624C"/>
    <w:rsid w:val="00226934"/>
    <w:rsid w:val="00226B64"/>
    <w:rsid w:val="00226F76"/>
    <w:rsid w:val="0022768B"/>
    <w:rsid w:val="0023302B"/>
    <w:rsid w:val="002357C9"/>
    <w:rsid w:val="00240054"/>
    <w:rsid w:val="00240829"/>
    <w:rsid w:val="002423CC"/>
    <w:rsid w:val="0024273C"/>
    <w:rsid w:val="0025482D"/>
    <w:rsid w:val="00255796"/>
    <w:rsid w:val="00261595"/>
    <w:rsid w:val="00262FFC"/>
    <w:rsid w:val="002636A3"/>
    <w:rsid w:val="00270EA4"/>
    <w:rsid w:val="002714D4"/>
    <w:rsid w:val="002737FC"/>
    <w:rsid w:val="0028124F"/>
    <w:rsid w:val="00287C66"/>
    <w:rsid w:val="00294F53"/>
    <w:rsid w:val="002A06F1"/>
    <w:rsid w:val="002A1E26"/>
    <w:rsid w:val="002A2B5E"/>
    <w:rsid w:val="002A4F3D"/>
    <w:rsid w:val="002A51AD"/>
    <w:rsid w:val="002B1C34"/>
    <w:rsid w:val="002B22B1"/>
    <w:rsid w:val="002D22AD"/>
    <w:rsid w:val="002D27E4"/>
    <w:rsid w:val="002D4682"/>
    <w:rsid w:val="002D72B3"/>
    <w:rsid w:val="002E0E68"/>
    <w:rsid w:val="002F4621"/>
    <w:rsid w:val="002F4CC1"/>
    <w:rsid w:val="002F4F85"/>
    <w:rsid w:val="002F73A8"/>
    <w:rsid w:val="00302CC0"/>
    <w:rsid w:val="00307040"/>
    <w:rsid w:val="003079B9"/>
    <w:rsid w:val="00312322"/>
    <w:rsid w:val="00314A61"/>
    <w:rsid w:val="0032192A"/>
    <w:rsid w:val="0032404E"/>
    <w:rsid w:val="003309F6"/>
    <w:rsid w:val="003330E7"/>
    <w:rsid w:val="00334648"/>
    <w:rsid w:val="00336744"/>
    <w:rsid w:val="00340E3B"/>
    <w:rsid w:val="003506FA"/>
    <w:rsid w:val="00354F7A"/>
    <w:rsid w:val="00360A01"/>
    <w:rsid w:val="003644E0"/>
    <w:rsid w:val="00371379"/>
    <w:rsid w:val="00372075"/>
    <w:rsid w:val="00372584"/>
    <w:rsid w:val="00372AD2"/>
    <w:rsid w:val="00372D8C"/>
    <w:rsid w:val="003767ED"/>
    <w:rsid w:val="00383734"/>
    <w:rsid w:val="003921B3"/>
    <w:rsid w:val="003979F5"/>
    <w:rsid w:val="003A01F9"/>
    <w:rsid w:val="003A110E"/>
    <w:rsid w:val="003B0210"/>
    <w:rsid w:val="003B086D"/>
    <w:rsid w:val="003B0DDC"/>
    <w:rsid w:val="003B2498"/>
    <w:rsid w:val="003B3843"/>
    <w:rsid w:val="003B50FC"/>
    <w:rsid w:val="003B5A7A"/>
    <w:rsid w:val="003B5F4F"/>
    <w:rsid w:val="003B6210"/>
    <w:rsid w:val="003B6F79"/>
    <w:rsid w:val="003C314D"/>
    <w:rsid w:val="003C3DF4"/>
    <w:rsid w:val="003D07B0"/>
    <w:rsid w:val="003D314F"/>
    <w:rsid w:val="003D7964"/>
    <w:rsid w:val="003E2A8F"/>
    <w:rsid w:val="003E3C80"/>
    <w:rsid w:val="003E7955"/>
    <w:rsid w:val="003F266F"/>
    <w:rsid w:val="003F498B"/>
    <w:rsid w:val="003F53F5"/>
    <w:rsid w:val="0040036D"/>
    <w:rsid w:val="00404657"/>
    <w:rsid w:val="0040574A"/>
    <w:rsid w:val="00407275"/>
    <w:rsid w:val="00407AF6"/>
    <w:rsid w:val="00411E9F"/>
    <w:rsid w:val="00414574"/>
    <w:rsid w:val="004158FC"/>
    <w:rsid w:val="00417D21"/>
    <w:rsid w:val="0042242A"/>
    <w:rsid w:val="004224DC"/>
    <w:rsid w:val="00424B33"/>
    <w:rsid w:val="004348F5"/>
    <w:rsid w:val="00437B10"/>
    <w:rsid w:val="004412DB"/>
    <w:rsid w:val="0044245C"/>
    <w:rsid w:val="00446F0B"/>
    <w:rsid w:val="00450A6D"/>
    <w:rsid w:val="00451EE9"/>
    <w:rsid w:val="00453B7F"/>
    <w:rsid w:val="004633B2"/>
    <w:rsid w:val="00472C92"/>
    <w:rsid w:val="0047745F"/>
    <w:rsid w:val="00480803"/>
    <w:rsid w:val="00481527"/>
    <w:rsid w:val="004818BA"/>
    <w:rsid w:val="0048355A"/>
    <w:rsid w:val="00484111"/>
    <w:rsid w:val="00487504"/>
    <w:rsid w:val="004875F9"/>
    <w:rsid w:val="00493B0E"/>
    <w:rsid w:val="00495337"/>
    <w:rsid w:val="004A339E"/>
    <w:rsid w:val="004A3C89"/>
    <w:rsid w:val="004A51CE"/>
    <w:rsid w:val="004B027E"/>
    <w:rsid w:val="004B2994"/>
    <w:rsid w:val="004B3EC7"/>
    <w:rsid w:val="004B570D"/>
    <w:rsid w:val="004B65F1"/>
    <w:rsid w:val="004B734C"/>
    <w:rsid w:val="004C1898"/>
    <w:rsid w:val="004C1FD5"/>
    <w:rsid w:val="004C3110"/>
    <w:rsid w:val="004C3D86"/>
    <w:rsid w:val="004D14E0"/>
    <w:rsid w:val="004D202C"/>
    <w:rsid w:val="004F094E"/>
    <w:rsid w:val="004F097A"/>
    <w:rsid w:val="004F0ADE"/>
    <w:rsid w:val="004F3C75"/>
    <w:rsid w:val="004F4333"/>
    <w:rsid w:val="004F50B0"/>
    <w:rsid w:val="004F5AFB"/>
    <w:rsid w:val="004F6DD4"/>
    <w:rsid w:val="004F768A"/>
    <w:rsid w:val="00501CE0"/>
    <w:rsid w:val="005036B8"/>
    <w:rsid w:val="00511659"/>
    <w:rsid w:val="0051172D"/>
    <w:rsid w:val="00515007"/>
    <w:rsid w:val="005151A7"/>
    <w:rsid w:val="005221D4"/>
    <w:rsid w:val="00524E80"/>
    <w:rsid w:val="00525E4A"/>
    <w:rsid w:val="00533054"/>
    <w:rsid w:val="00536386"/>
    <w:rsid w:val="005432F3"/>
    <w:rsid w:val="005436E5"/>
    <w:rsid w:val="00546810"/>
    <w:rsid w:val="005559E3"/>
    <w:rsid w:val="00557FC1"/>
    <w:rsid w:val="005606EF"/>
    <w:rsid w:val="0056135A"/>
    <w:rsid w:val="00561D53"/>
    <w:rsid w:val="00562075"/>
    <w:rsid w:val="00571EE8"/>
    <w:rsid w:val="00575B8D"/>
    <w:rsid w:val="00580ABD"/>
    <w:rsid w:val="00584F84"/>
    <w:rsid w:val="005873AC"/>
    <w:rsid w:val="00591B75"/>
    <w:rsid w:val="005945B9"/>
    <w:rsid w:val="00596F6A"/>
    <w:rsid w:val="005A03E3"/>
    <w:rsid w:val="005A6957"/>
    <w:rsid w:val="005B2C53"/>
    <w:rsid w:val="005B3CD0"/>
    <w:rsid w:val="005B414D"/>
    <w:rsid w:val="005B42CC"/>
    <w:rsid w:val="005B46AA"/>
    <w:rsid w:val="005B55BD"/>
    <w:rsid w:val="005B75FC"/>
    <w:rsid w:val="005B7D3B"/>
    <w:rsid w:val="005C7DCF"/>
    <w:rsid w:val="005D45C9"/>
    <w:rsid w:val="005E2714"/>
    <w:rsid w:val="005E59BE"/>
    <w:rsid w:val="005F09BE"/>
    <w:rsid w:val="005F0D4D"/>
    <w:rsid w:val="005F312E"/>
    <w:rsid w:val="005F6CE0"/>
    <w:rsid w:val="0060249F"/>
    <w:rsid w:val="00602883"/>
    <w:rsid w:val="006046C2"/>
    <w:rsid w:val="006072F0"/>
    <w:rsid w:val="00607D45"/>
    <w:rsid w:val="006135A2"/>
    <w:rsid w:val="00613833"/>
    <w:rsid w:val="00615801"/>
    <w:rsid w:val="00617077"/>
    <w:rsid w:val="00617FE4"/>
    <w:rsid w:val="006254EB"/>
    <w:rsid w:val="006258CE"/>
    <w:rsid w:val="0062599C"/>
    <w:rsid w:val="00633799"/>
    <w:rsid w:val="00641B78"/>
    <w:rsid w:val="00643010"/>
    <w:rsid w:val="0065074A"/>
    <w:rsid w:val="006550CE"/>
    <w:rsid w:val="0065597F"/>
    <w:rsid w:val="0066223B"/>
    <w:rsid w:val="006628D9"/>
    <w:rsid w:val="0066389B"/>
    <w:rsid w:val="00664F51"/>
    <w:rsid w:val="00667A16"/>
    <w:rsid w:val="006701DF"/>
    <w:rsid w:val="00675C1E"/>
    <w:rsid w:val="006762FD"/>
    <w:rsid w:val="00676F39"/>
    <w:rsid w:val="00682E48"/>
    <w:rsid w:val="00695351"/>
    <w:rsid w:val="00696B1C"/>
    <w:rsid w:val="00696FC8"/>
    <w:rsid w:val="006B0ED7"/>
    <w:rsid w:val="006B2A88"/>
    <w:rsid w:val="006B445C"/>
    <w:rsid w:val="006C1690"/>
    <w:rsid w:val="006C3684"/>
    <w:rsid w:val="006C7475"/>
    <w:rsid w:val="006D0CD0"/>
    <w:rsid w:val="006E5CCB"/>
    <w:rsid w:val="006E5E1F"/>
    <w:rsid w:val="006E7458"/>
    <w:rsid w:val="006F0E55"/>
    <w:rsid w:val="006F1409"/>
    <w:rsid w:val="006F1F5D"/>
    <w:rsid w:val="006F4888"/>
    <w:rsid w:val="006F4BF8"/>
    <w:rsid w:val="006F69E7"/>
    <w:rsid w:val="007006BC"/>
    <w:rsid w:val="00700D26"/>
    <w:rsid w:val="00704F48"/>
    <w:rsid w:val="007102CB"/>
    <w:rsid w:val="007104C5"/>
    <w:rsid w:val="00711954"/>
    <w:rsid w:val="00712452"/>
    <w:rsid w:val="00717207"/>
    <w:rsid w:val="00720868"/>
    <w:rsid w:val="00720E78"/>
    <w:rsid w:val="00725854"/>
    <w:rsid w:val="00726DB7"/>
    <w:rsid w:val="00727CC5"/>
    <w:rsid w:val="00731C58"/>
    <w:rsid w:val="00740121"/>
    <w:rsid w:val="00750FEE"/>
    <w:rsid w:val="0075338D"/>
    <w:rsid w:val="00756428"/>
    <w:rsid w:val="00756E42"/>
    <w:rsid w:val="00760299"/>
    <w:rsid w:val="0076236C"/>
    <w:rsid w:val="00763C10"/>
    <w:rsid w:val="00766CED"/>
    <w:rsid w:val="00770A8F"/>
    <w:rsid w:val="00781353"/>
    <w:rsid w:val="0078333D"/>
    <w:rsid w:val="00783682"/>
    <w:rsid w:val="00784C58"/>
    <w:rsid w:val="00790B75"/>
    <w:rsid w:val="00790B92"/>
    <w:rsid w:val="0079440F"/>
    <w:rsid w:val="00796137"/>
    <w:rsid w:val="007A2208"/>
    <w:rsid w:val="007A5C05"/>
    <w:rsid w:val="007A6538"/>
    <w:rsid w:val="007B2189"/>
    <w:rsid w:val="007B7AAD"/>
    <w:rsid w:val="007B7E9D"/>
    <w:rsid w:val="007C027C"/>
    <w:rsid w:val="007C236E"/>
    <w:rsid w:val="007C3171"/>
    <w:rsid w:val="007C424D"/>
    <w:rsid w:val="007E1D4E"/>
    <w:rsid w:val="007E4362"/>
    <w:rsid w:val="007F12E6"/>
    <w:rsid w:val="007F18D2"/>
    <w:rsid w:val="007F25D5"/>
    <w:rsid w:val="007F26AD"/>
    <w:rsid w:val="007F3003"/>
    <w:rsid w:val="007F6580"/>
    <w:rsid w:val="0080034B"/>
    <w:rsid w:val="00800C68"/>
    <w:rsid w:val="00800FEF"/>
    <w:rsid w:val="0080136D"/>
    <w:rsid w:val="00802EEB"/>
    <w:rsid w:val="00804808"/>
    <w:rsid w:val="00820FF5"/>
    <w:rsid w:val="00821F80"/>
    <w:rsid w:val="008221AC"/>
    <w:rsid w:val="00824A7E"/>
    <w:rsid w:val="0082642A"/>
    <w:rsid w:val="008269AF"/>
    <w:rsid w:val="00832336"/>
    <w:rsid w:val="008344A2"/>
    <w:rsid w:val="00834AEF"/>
    <w:rsid w:val="008372D0"/>
    <w:rsid w:val="00837C18"/>
    <w:rsid w:val="00841C62"/>
    <w:rsid w:val="008430A1"/>
    <w:rsid w:val="00844502"/>
    <w:rsid w:val="00851030"/>
    <w:rsid w:val="00853EAD"/>
    <w:rsid w:val="008564F2"/>
    <w:rsid w:val="008565F1"/>
    <w:rsid w:val="00861ECF"/>
    <w:rsid w:val="0086347B"/>
    <w:rsid w:val="0086542D"/>
    <w:rsid w:val="008658C2"/>
    <w:rsid w:val="008670DC"/>
    <w:rsid w:val="0086794C"/>
    <w:rsid w:val="008727E4"/>
    <w:rsid w:val="00882831"/>
    <w:rsid w:val="00886B0A"/>
    <w:rsid w:val="00896A81"/>
    <w:rsid w:val="008B271E"/>
    <w:rsid w:val="008C16E3"/>
    <w:rsid w:val="008C1864"/>
    <w:rsid w:val="008C25A6"/>
    <w:rsid w:val="008C508C"/>
    <w:rsid w:val="008C5CC4"/>
    <w:rsid w:val="008D035F"/>
    <w:rsid w:val="008D23E7"/>
    <w:rsid w:val="008D3628"/>
    <w:rsid w:val="008D38DD"/>
    <w:rsid w:val="008D4CFB"/>
    <w:rsid w:val="008D5A7F"/>
    <w:rsid w:val="008D7691"/>
    <w:rsid w:val="008E150D"/>
    <w:rsid w:val="008E3328"/>
    <w:rsid w:val="008E4F6B"/>
    <w:rsid w:val="008E7BB6"/>
    <w:rsid w:val="008F0D11"/>
    <w:rsid w:val="008F35FE"/>
    <w:rsid w:val="008F3AFB"/>
    <w:rsid w:val="008F465F"/>
    <w:rsid w:val="00900960"/>
    <w:rsid w:val="00904060"/>
    <w:rsid w:val="00905205"/>
    <w:rsid w:val="009077C0"/>
    <w:rsid w:val="009177CC"/>
    <w:rsid w:val="00920104"/>
    <w:rsid w:val="00923C08"/>
    <w:rsid w:val="009260B6"/>
    <w:rsid w:val="00932EE5"/>
    <w:rsid w:val="009362E9"/>
    <w:rsid w:val="00937AAA"/>
    <w:rsid w:val="009407F3"/>
    <w:rsid w:val="00941EDF"/>
    <w:rsid w:val="0094317D"/>
    <w:rsid w:val="00945144"/>
    <w:rsid w:val="00946B43"/>
    <w:rsid w:val="009512BE"/>
    <w:rsid w:val="00954399"/>
    <w:rsid w:val="0095459B"/>
    <w:rsid w:val="00954ABB"/>
    <w:rsid w:val="00961A60"/>
    <w:rsid w:val="00962844"/>
    <w:rsid w:val="00965CF6"/>
    <w:rsid w:val="00966C26"/>
    <w:rsid w:val="00974764"/>
    <w:rsid w:val="0098096C"/>
    <w:rsid w:val="00982DED"/>
    <w:rsid w:val="0098365C"/>
    <w:rsid w:val="00984C84"/>
    <w:rsid w:val="00986CCF"/>
    <w:rsid w:val="0099163C"/>
    <w:rsid w:val="00997698"/>
    <w:rsid w:val="009A4868"/>
    <w:rsid w:val="009B165E"/>
    <w:rsid w:val="009B1692"/>
    <w:rsid w:val="009B1D2F"/>
    <w:rsid w:val="009B4CD4"/>
    <w:rsid w:val="009B7F04"/>
    <w:rsid w:val="009C0A7B"/>
    <w:rsid w:val="009C0AFC"/>
    <w:rsid w:val="009C26E4"/>
    <w:rsid w:val="009D03C0"/>
    <w:rsid w:val="009D0839"/>
    <w:rsid w:val="009D1329"/>
    <w:rsid w:val="009D2313"/>
    <w:rsid w:val="009D4D7E"/>
    <w:rsid w:val="009E161E"/>
    <w:rsid w:val="009E189A"/>
    <w:rsid w:val="009F0303"/>
    <w:rsid w:val="009F4328"/>
    <w:rsid w:val="009F5856"/>
    <w:rsid w:val="009F7154"/>
    <w:rsid w:val="009F7950"/>
    <w:rsid w:val="00A0305B"/>
    <w:rsid w:val="00A141C7"/>
    <w:rsid w:val="00A153B9"/>
    <w:rsid w:val="00A15972"/>
    <w:rsid w:val="00A2072B"/>
    <w:rsid w:val="00A22E59"/>
    <w:rsid w:val="00A260CC"/>
    <w:rsid w:val="00A32604"/>
    <w:rsid w:val="00A36AF4"/>
    <w:rsid w:val="00A4030C"/>
    <w:rsid w:val="00A405F7"/>
    <w:rsid w:val="00A4489E"/>
    <w:rsid w:val="00A4756E"/>
    <w:rsid w:val="00A5232D"/>
    <w:rsid w:val="00A5799D"/>
    <w:rsid w:val="00A618CF"/>
    <w:rsid w:val="00A61D4D"/>
    <w:rsid w:val="00A63BA7"/>
    <w:rsid w:val="00A6492B"/>
    <w:rsid w:val="00A64A4D"/>
    <w:rsid w:val="00A7009C"/>
    <w:rsid w:val="00A722DB"/>
    <w:rsid w:val="00A72642"/>
    <w:rsid w:val="00A765CC"/>
    <w:rsid w:val="00A77571"/>
    <w:rsid w:val="00A81458"/>
    <w:rsid w:val="00A84911"/>
    <w:rsid w:val="00A86551"/>
    <w:rsid w:val="00A9053C"/>
    <w:rsid w:val="00A90618"/>
    <w:rsid w:val="00A926C4"/>
    <w:rsid w:val="00A95893"/>
    <w:rsid w:val="00A95F61"/>
    <w:rsid w:val="00A962AD"/>
    <w:rsid w:val="00AA2E52"/>
    <w:rsid w:val="00AA3E1A"/>
    <w:rsid w:val="00AA7DCB"/>
    <w:rsid w:val="00AB2937"/>
    <w:rsid w:val="00AB66C5"/>
    <w:rsid w:val="00AC0571"/>
    <w:rsid w:val="00AC0FBC"/>
    <w:rsid w:val="00AC1416"/>
    <w:rsid w:val="00AC2A7F"/>
    <w:rsid w:val="00AC30A8"/>
    <w:rsid w:val="00AC7223"/>
    <w:rsid w:val="00AD252D"/>
    <w:rsid w:val="00AD3477"/>
    <w:rsid w:val="00AD3B6A"/>
    <w:rsid w:val="00AD4B5C"/>
    <w:rsid w:val="00AD5F8E"/>
    <w:rsid w:val="00AE2B8B"/>
    <w:rsid w:val="00AF37D3"/>
    <w:rsid w:val="00AF46DF"/>
    <w:rsid w:val="00AF76CC"/>
    <w:rsid w:val="00B04B28"/>
    <w:rsid w:val="00B06181"/>
    <w:rsid w:val="00B07705"/>
    <w:rsid w:val="00B11F9F"/>
    <w:rsid w:val="00B1427B"/>
    <w:rsid w:val="00B24967"/>
    <w:rsid w:val="00B255EF"/>
    <w:rsid w:val="00B301B3"/>
    <w:rsid w:val="00B3521D"/>
    <w:rsid w:val="00B357A9"/>
    <w:rsid w:val="00B36C83"/>
    <w:rsid w:val="00B401C9"/>
    <w:rsid w:val="00B4536A"/>
    <w:rsid w:val="00B46FAF"/>
    <w:rsid w:val="00B54238"/>
    <w:rsid w:val="00B56CD7"/>
    <w:rsid w:val="00B63F6B"/>
    <w:rsid w:val="00B753D1"/>
    <w:rsid w:val="00B76E7B"/>
    <w:rsid w:val="00B876A9"/>
    <w:rsid w:val="00B91B76"/>
    <w:rsid w:val="00B91BB9"/>
    <w:rsid w:val="00B95A49"/>
    <w:rsid w:val="00B95FE5"/>
    <w:rsid w:val="00B9650A"/>
    <w:rsid w:val="00B96879"/>
    <w:rsid w:val="00BA50EE"/>
    <w:rsid w:val="00BB139A"/>
    <w:rsid w:val="00BB1437"/>
    <w:rsid w:val="00BB213A"/>
    <w:rsid w:val="00BB24C4"/>
    <w:rsid w:val="00BB3660"/>
    <w:rsid w:val="00BB4C48"/>
    <w:rsid w:val="00BB527F"/>
    <w:rsid w:val="00BC74B0"/>
    <w:rsid w:val="00BD0663"/>
    <w:rsid w:val="00BD43B0"/>
    <w:rsid w:val="00BD454A"/>
    <w:rsid w:val="00BE0710"/>
    <w:rsid w:val="00BE467F"/>
    <w:rsid w:val="00BE6745"/>
    <w:rsid w:val="00BF2A84"/>
    <w:rsid w:val="00BF3DEB"/>
    <w:rsid w:val="00BF6BDF"/>
    <w:rsid w:val="00BF7CD4"/>
    <w:rsid w:val="00C00B45"/>
    <w:rsid w:val="00C020F5"/>
    <w:rsid w:val="00C04EA0"/>
    <w:rsid w:val="00C11C9B"/>
    <w:rsid w:val="00C14DDC"/>
    <w:rsid w:val="00C177E5"/>
    <w:rsid w:val="00C24126"/>
    <w:rsid w:val="00C2575D"/>
    <w:rsid w:val="00C30BD1"/>
    <w:rsid w:val="00C3637D"/>
    <w:rsid w:val="00C37078"/>
    <w:rsid w:val="00C454FA"/>
    <w:rsid w:val="00C51D74"/>
    <w:rsid w:val="00C6026A"/>
    <w:rsid w:val="00C65074"/>
    <w:rsid w:val="00C666C7"/>
    <w:rsid w:val="00C673BA"/>
    <w:rsid w:val="00C67940"/>
    <w:rsid w:val="00C700C1"/>
    <w:rsid w:val="00C7044E"/>
    <w:rsid w:val="00C7304D"/>
    <w:rsid w:val="00C7413A"/>
    <w:rsid w:val="00C76712"/>
    <w:rsid w:val="00C82359"/>
    <w:rsid w:val="00C83B73"/>
    <w:rsid w:val="00C90849"/>
    <w:rsid w:val="00C96AA8"/>
    <w:rsid w:val="00C97EDE"/>
    <w:rsid w:val="00CA03FD"/>
    <w:rsid w:val="00CA2FC5"/>
    <w:rsid w:val="00CA44A4"/>
    <w:rsid w:val="00CA71DA"/>
    <w:rsid w:val="00CA79AA"/>
    <w:rsid w:val="00CB2FC7"/>
    <w:rsid w:val="00CB4D61"/>
    <w:rsid w:val="00CB7145"/>
    <w:rsid w:val="00CB7AEA"/>
    <w:rsid w:val="00CC12CB"/>
    <w:rsid w:val="00CC5409"/>
    <w:rsid w:val="00CC57FE"/>
    <w:rsid w:val="00CC59B0"/>
    <w:rsid w:val="00CD1AD6"/>
    <w:rsid w:val="00CD6C60"/>
    <w:rsid w:val="00CE5667"/>
    <w:rsid w:val="00CF1FE2"/>
    <w:rsid w:val="00CF23D7"/>
    <w:rsid w:val="00CF3375"/>
    <w:rsid w:val="00CF6259"/>
    <w:rsid w:val="00CF6CBA"/>
    <w:rsid w:val="00D0069D"/>
    <w:rsid w:val="00D058AD"/>
    <w:rsid w:val="00D05C38"/>
    <w:rsid w:val="00D10D2A"/>
    <w:rsid w:val="00D2353D"/>
    <w:rsid w:val="00D238A7"/>
    <w:rsid w:val="00D24235"/>
    <w:rsid w:val="00D242BD"/>
    <w:rsid w:val="00D3048F"/>
    <w:rsid w:val="00D3147E"/>
    <w:rsid w:val="00D373D9"/>
    <w:rsid w:val="00D40C3E"/>
    <w:rsid w:val="00D41EC5"/>
    <w:rsid w:val="00D43B8B"/>
    <w:rsid w:val="00D43EAD"/>
    <w:rsid w:val="00D45808"/>
    <w:rsid w:val="00D64544"/>
    <w:rsid w:val="00D724A0"/>
    <w:rsid w:val="00D767FA"/>
    <w:rsid w:val="00D777FC"/>
    <w:rsid w:val="00D83937"/>
    <w:rsid w:val="00D85555"/>
    <w:rsid w:val="00D8562E"/>
    <w:rsid w:val="00D85FD4"/>
    <w:rsid w:val="00D92670"/>
    <w:rsid w:val="00D96247"/>
    <w:rsid w:val="00D965BA"/>
    <w:rsid w:val="00D9725C"/>
    <w:rsid w:val="00DA03DA"/>
    <w:rsid w:val="00DA3397"/>
    <w:rsid w:val="00DA624C"/>
    <w:rsid w:val="00DA6C87"/>
    <w:rsid w:val="00DA7B35"/>
    <w:rsid w:val="00DA7F42"/>
    <w:rsid w:val="00DB01D8"/>
    <w:rsid w:val="00DB19BE"/>
    <w:rsid w:val="00DB452E"/>
    <w:rsid w:val="00DB5442"/>
    <w:rsid w:val="00DB5C56"/>
    <w:rsid w:val="00DB663A"/>
    <w:rsid w:val="00DB71C5"/>
    <w:rsid w:val="00DC77BD"/>
    <w:rsid w:val="00DC7FCA"/>
    <w:rsid w:val="00DD136D"/>
    <w:rsid w:val="00DD2B2B"/>
    <w:rsid w:val="00DF1F36"/>
    <w:rsid w:val="00E119C4"/>
    <w:rsid w:val="00E139C9"/>
    <w:rsid w:val="00E14858"/>
    <w:rsid w:val="00E14F6D"/>
    <w:rsid w:val="00E150FE"/>
    <w:rsid w:val="00E21157"/>
    <w:rsid w:val="00E225FA"/>
    <w:rsid w:val="00E26CCC"/>
    <w:rsid w:val="00E3158A"/>
    <w:rsid w:val="00E32595"/>
    <w:rsid w:val="00E4141A"/>
    <w:rsid w:val="00E4273B"/>
    <w:rsid w:val="00E46C13"/>
    <w:rsid w:val="00E51A57"/>
    <w:rsid w:val="00E55441"/>
    <w:rsid w:val="00E565EE"/>
    <w:rsid w:val="00E572E3"/>
    <w:rsid w:val="00E57A9B"/>
    <w:rsid w:val="00E623B2"/>
    <w:rsid w:val="00E65E91"/>
    <w:rsid w:val="00E669C8"/>
    <w:rsid w:val="00E67353"/>
    <w:rsid w:val="00E741C8"/>
    <w:rsid w:val="00E772FC"/>
    <w:rsid w:val="00E77F8B"/>
    <w:rsid w:val="00E81159"/>
    <w:rsid w:val="00E81A4A"/>
    <w:rsid w:val="00E854AD"/>
    <w:rsid w:val="00E85766"/>
    <w:rsid w:val="00E90319"/>
    <w:rsid w:val="00E94349"/>
    <w:rsid w:val="00EA5B9D"/>
    <w:rsid w:val="00EA5F83"/>
    <w:rsid w:val="00EB265C"/>
    <w:rsid w:val="00EB4DBD"/>
    <w:rsid w:val="00EC014C"/>
    <w:rsid w:val="00EC12E8"/>
    <w:rsid w:val="00EC1FAB"/>
    <w:rsid w:val="00ED1987"/>
    <w:rsid w:val="00ED2EBF"/>
    <w:rsid w:val="00EE0EC9"/>
    <w:rsid w:val="00EE3DB5"/>
    <w:rsid w:val="00EF4CB0"/>
    <w:rsid w:val="00EF5F01"/>
    <w:rsid w:val="00EF6187"/>
    <w:rsid w:val="00F00685"/>
    <w:rsid w:val="00F01B54"/>
    <w:rsid w:val="00F110F0"/>
    <w:rsid w:val="00F12154"/>
    <w:rsid w:val="00F231D6"/>
    <w:rsid w:val="00F23B37"/>
    <w:rsid w:val="00F26190"/>
    <w:rsid w:val="00F27AF0"/>
    <w:rsid w:val="00F34545"/>
    <w:rsid w:val="00F415BE"/>
    <w:rsid w:val="00F42E7B"/>
    <w:rsid w:val="00F44532"/>
    <w:rsid w:val="00F508CD"/>
    <w:rsid w:val="00F54A71"/>
    <w:rsid w:val="00F640E1"/>
    <w:rsid w:val="00F64815"/>
    <w:rsid w:val="00F704FD"/>
    <w:rsid w:val="00F71252"/>
    <w:rsid w:val="00F7270A"/>
    <w:rsid w:val="00F83F3C"/>
    <w:rsid w:val="00F844FB"/>
    <w:rsid w:val="00F85181"/>
    <w:rsid w:val="00F91924"/>
    <w:rsid w:val="00F92A37"/>
    <w:rsid w:val="00F95066"/>
    <w:rsid w:val="00FA152C"/>
    <w:rsid w:val="00FA4774"/>
    <w:rsid w:val="00FA5036"/>
    <w:rsid w:val="00FA5326"/>
    <w:rsid w:val="00FA6F48"/>
    <w:rsid w:val="00FA7D72"/>
    <w:rsid w:val="00FB0160"/>
    <w:rsid w:val="00FC12BE"/>
    <w:rsid w:val="00FD0EDF"/>
    <w:rsid w:val="00FD3130"/>
    <w:rsid w:val="00FD6C32"/>
    <w:rsid w:val="00FE07F6"/>
    <w:rsid w:val="00FE2FDA"/>
    <w:rsid w:val="00FE7513"/>
    <w:rsid w:val="00FF01C4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1E01"/>
  <w15:chartTrackingRefBased/>
  <w15:docId w15:val="{1E95B631-4425-4DC2-895C-F6766BEA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5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3C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5187-4D48-4980-AF9F-7805B845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Company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Kristin (SPC)</dc:creator>
  <cp:keywords/>
  <dc:description/>
  <cp:lastModifiedBy>Cook, Kristin (SPC)</cp:lastModifiedBy>
  <cp:revision>553</cp:revision>
  <dcterms:created xsi:type="dcterms:W3CDTF">2025-03-20T13:44:00Z</dcterms:created>
  <dcterms:modified xsi:type="dcterms:W3CDTF">2025-08-20T16:29:00Z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2025-02-24T17:29:16Z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1b50d964-291c-4e9f-a23b-8baf8ad65ef5</vt:lpwstr>
  </property>
  <property fmtid="{D5CDD505-2E9C-101B-9397-08002B2CF9AE}" pid="8" name="MSIP_Label_ed3826ce-7c18-471d-9596-93de5bae332e_ContentBits">
    <vt:lpwstr>0</vt:lpwstr>
  </property>
</Properties>
</file>