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B8AFA" w14:textId="3161C0DB" w:rsidR="000E63C3" w:rsidRPr="000E63C3" w:rsidRDefault="000E63C3" w:rsidP="000E63C3">
      <w:pPr>
        <w:jc w:val="center"/>
        <w:rPr>
          <w:b/>
          <w:bCs/>
          <w:u w:val="single"/>
        </w:rPr>
      </w:pPr>
      <w:r w:rsidRPr="000E63C3">
        <w:rPr>
          <w:b/>
          <w:bCs/>
          <w:u w:val="single"/>
        </w:rPr>
        <w:t>I</w:t>
      </w:r>
      <w:r w:rsidR="00B04020">
        <w:rPr>
          <w:b/>
          <w:bCs/>
          <w:u w:val="single"/>
        </w:rPr>
        <w:t xml:space="preserve">nitial Frequency Ride-Through Capability </w:t>
      </w:r>
      <w:r w:rsidRPr="000E63C3">
        <w:rPr>
          <w:b/>
          <w:bCs/>
          <w:u w:val="single"/>
        </w:rPr>
        <w:t>R</w:t>
      </w:r>
      <w:r w:rsidR="00B04020">
        <w:rPr>
          <w:b/>
          <w:bCs/>
          <w:u w:val="single"/>
        </w:rPr>
        <w:t>eport</w:t>
      </w:r>
    </w:p>
    <w:p w14:paraId="063098FE" w14:textId="1C8CEEA6" w:rsidR="003E1D39" w:rsidRPr="0098796F" w:rsidRDefault="003E1D39" w:rsidP="000E63C3">
      <w:pPr>
        <w:rPr>
          <w:color w:val="000000" w:themeColor="text1"/>
        </w:rPr>
      </w:pPr>
      <w:r>
        <w:t>Resource</w:t>
      </w:r>
      <w:r w:rsidR="00F56279">
        <w:t xml:space="preserve"> Entity or Interconnecting Entity</w:t>
      </w:r>
      <w:r w:rsidR="00604132">
        <w:t xml:space="preserve"> Name</w:t>
      </w:r>
      <w:r w:rsidR="00F56279">
        <w:t xml:space="preserve">: </w:t>
      </w:r>
      <w:r w:rsidR="00311493" w:rsidRPr="00311493">
        <w:rPr>
          <w:color w:val="FF0000"/>
        </w:rPr>
        <w:t>XYZ</w:t>
      </w:r>
      <w:r w:rsidR="00911401">
        <w:rPr>
          <w:color w:val="FF0000"/>
        </w:rPr>
        <w:t xml:space="preserve"> Wind Project</w:t>
      </w:r>
      <w:r w:rsidR="00311493" w:rsidRPr="00311493">
        <w:rPr>
          <w:color w:val="FF0000"/>
        </w:rPr>
        <w:t>, LLC</w:t>
      </w:r>
      <w:r w:rsidR="0098796F">
        <w:rPr>
          <w:color w:val="FF0000"/>
        </w:rPr>
        <w:t xml:space="preserve"> </w:t>
      </w:r>
      <w:r w:rsidR="0098796F" w:rsidRPr="0098796F">
        <w:rPr>
          <w:color w:val="000000" w:themeColor="text1"/>
        </w:rPr>
        <w:t>[</w:t>
      </w:r>
      <w:r w:rsidR="0098796F" w:rsidRPr="0098796F">
        <w:rPr>
          <w:b/>
          <w:bCs/>
          <w:color w:val="000000" w:themeColor="text1"/>
        </w:rPr>
        <w:t>NOTE</w:t>
      </w:r>
      <w:r w:rsidR="0098796F" w:rsidRPr="0098796F">
        <w:rPr>
          <w:color w:val="000000" w:themeColor="text1"/>
        </w:rPr>
        <w:t xml:space="preserve">: </w:t>
      </w:r>
      <w:r w:rsidR="0098796F">
        <w:rPr>
          <w:color w:val="000000" w:themeColor="text1"/>
        </w:rPr>
        <w:t>Name of the Resource Entity or Interconnecting Entity, not the name of the facility]</w:t>
      </w:r>
    </w:p>
    <w:p w14:paraId="2BB7FDB5" w14:textId="4DE33AA7" w:rsidR="00311493" w:rsidRPr="00E43AEB" w:rsidRDefault="000E63C3" w:rsidP="00E43AEB">
      <w:pPr>
        <w:pStyle w:val="ListParagraph"/>
        <w:numPr>
          <w:ilvl w:val="0"/>
          <w:numId w:val="1"/>
        </w:numPr>
        <w:spacing w:before="240" w:after="240"/>
      </w:pPr>
      <w:r w:rsidRPr="000E63C3">
        <w:t xml:space="preserve">Resource Entity </w:t>
      </w:r>
      <w:r w:rsidR="009F226A">
        <w:t xml:space="preserve">or Interconnecting Entity </w:t>
      </w:r>
      <w:r w:rsidRPr="000E63C3">
        <w:t>Data Universal Numbering System (DUNS) Number</w:t>
      </w:r>
      <w:r w:rsidR="009D17AA">
        <w:t>:</w:t>
      </w:r>
      <w:r w:rsidRPr="000E63C3">
        <w:t xml:space="preserve"> </w:t>
      </w:r>
      <w:r w:rsidR="00311493" w:rsidRPr="00E43AEB">
        <w:rPr>
          <w:color w:val="FF0000"/>
        </w:rPr>
        <w:t>000123456</w:t>
      </w:r>
    </w:p>
    <w:p w14:paraId="4F03EAC2" w14:textId="77777777" w:rsidR="00311493" w:rsidRPr="000E63C3" w:rsidRDefault="00311493" w:rsidP="00D2256D">
      <w:pPr>
        <w:pStyle w:val="ListParagraph"/>
        <w:spacing w:before="240" w:after="240"/>
      </w:pPr>
    </w:p>
    <w:p w14:paraId="16321D50" w14:textId="5022D14A" w:rsidR="000E63C3" w:rsidRPr="000E63C3" w:rsidRDefault="000E63C3" w:rsidP="00D2256D">
      <w:pPr>
        <w:pStyle w:val="ListParagraph"/>
        <w:numPr>
          <w:ilvl w:val="0"/>
          <w:numId w:val="1"/>
        </w:numPr>
        <w:spacing w:before="240" w:after="240"/>
      </w:pPr>
      <w:r w:rsidRPr="000E63C3">
        <w:t>IBR/WGR Site Name</w:t>
      </w:r>
      <w:r w:rsidR="009D17AA">
        <w:t>:</w:t>
      </w:r>
      <w:r w:rsidRPr="000E63C3">
        <w:t xml:space="preserve"> </w:t>
      </w:r>
      <w:proofErr w:type="spellStart"/>
      <w:r w:rsidR="00311493" w:rsidRPr="00311493">
        <w:rPr>
          <w:color w:val="FF0000"/>
        </w:rPr>
        <w:t>Greyrock</w:t>
      </w:r>
      <w:proofErr w:type="spellEnd"/>
      <w:r w:rsidR="0098796F">
        <w:rPr>
          <w:color w:val="FF0000"/>
        </w:rPr>
        <w:t xml:space="preserve"> </w:t>
      </w:r>
      <w:r w:rsidR="0098796F" w:rsidRPr="0098796F">
        <w:rPr>
          <w:color w:val="000000" w:themeColor="text1"/>
        </w:rPr>
        <w:t>[</w:t>
      </w:r>
      <w:r w:rsidR="0098796F" w:rsidRPr="0098796F">
        <w:rPr>
          <w:b/>
          <w:bCs/>
          <w:color w:val="000000" w:themeColor="text1"/>
        </w:rPr>
        <w:t>NOTE</w:t>
      </w:r>
      <w:r w:rsidR="0098796F" w:rsidRPr="0098796F">
        <w:rPr>
          <w:color w:val="000000" w:themeColor="text1"/>
        </w:rPr>
        <w:t xml:space="preserve">: </w:t>
      </w:r>
      <w:r w:rsidR="0098796F">
        <w:rPr>
          <w:color w:val="000000" w:themeColor="text1"/>
        </w:rPr>
        <w:t>The Resource Name as registered with ERCOT]</w:t>
      </w:r>
    </w:p>
    <w:p w14:paraId="3FE56C8E" w14:textId="77777777" w:rsidR="00D2256D" w:rsidRDefault="00D2256D" w:rsidP="00D2256D">
      <w:pPr>
        <w:pStyle w:val="ListParagraph"/>
        <w:spacing w:before="240" w:after="240"/>
      </w:pPr>
    </w:p>
    <w:p w14:paraId="1B9B39EA" w14:textId="3CAA6920" w:rsidR="000E63C3" w:rsidRPr="000E63C3" w:rsidRDefault="000E63C3" w:rsidP="00D2256D">
      <w:pPr>
        <w:pStyle w:val="ListParagraph"/>
        <w:numPr>
          <w:ilvl w:val="0"/>
          <w:numId w:val="1"/>
        </w:numPr>
        <w:spacing w:before="240" w:after="240"/>
      </w:pPr>
      <w:r w:rsidRPr="000E63C3">
        <w:t>IBR/WGR Unit Name(s)</w:t>
      </w:r>
      <w:r w:rsidR="009D17AA">
        <w:t>:</w:t>
      </w:r>
      <w:r w:rsidRPr="000E63C3">
        <w:t xml:space="preserve"> </w:t>
      </w:r>
      <w:r w:rsidR="00311493" w:rsidRPr="00311493">
        <w:rPr>
          <w:color w:val="FF0000"/>
        </w:rPr>
        <w:t>G</w:t>
      </w:r>
      <w:r w:rsidR="00311493">
        <w:rPr>
          <w:color w:val="FF0000"/>
        </w:rPr>
        <w:t>RYRCK_UNIT1</w:t>
      </w:r>
      <w:r w:rsidR="0098796F">
        <w:rPr>
          <w:color w:val="FF0000"/>
        </w:rPr>
        <w:t xml:space="preserve"> </w:t>
      </w:r>
      <w:r w:rsidR="0098796F" w:rsidRPr="0098796F">
        <w:rPr>
          <w:color w:val="000000" w:themeColor="text1"/>
        </w:rPr>
        <w:t>[</w:t>
      </w:r>
      <w:r w:rsidR="0098796F" w:rsidRPr="0098796F">
        <w:rPr>
          <w:b/>
          <w:bCs/>
          <w:color w:val="000000" w:themeColor="text1"/>
        </w:rPr>
        <w:t>NOTE</w:t>
      </w:r>
      <w:r w:rsidR="0098796F" w:rsidRPr="0098796F">
        <w:rPr>
          <w:color w:val="000000" w:themeColor="text1"/>
        </w:rPr>
        <w:t xml:space="preserve">: </w:t>
      </w:r>
      <w:r w:rsidR="0098796F">
        <w:rPr>
          <w:color w:val="000000" w:themeColor="text1"/>
        </w:rPr>
        <w:t>Resource Name as it appears in ERCOT’s Network Operations Model]</w:t>
      </w:r>
    </w:p>
    <w:p w14:paraId="297D36CB" w14:textId="77777777" w:rsidR="00D2256D" w:rsidRDefault="00D2256D" w:rsidP="00D2256D">
      <w:pPr>
        <w:pStyle w:val="ListParagraph"/>
        <w:spacing w:before="240" w:after="240"/>
      </w:pPr>
    </w:p>
    <w:p w14:paraId="3C04A1E5" w14:textId="1567E31A" w:rsidR="00F36734" w:rsidRDefault="000E63C3" w:rsidP="009D7E86">
      <w:pPr>
        <w:pStyle w:val="ListParagraph"/>
        <w:numPr>
          <w:ilvl w:val="0"/>
          <w:numId w:val="1"/>
        </w:numPr>
        <w:spacing w:before="240" w:after="240"/>
      </w:pPr>
      <w:r w:rsidRPr="000E63C3">
        <w:t>Nodal Operating Guide Section(s) with which the Resource cannot comply</w:t>
      </w:r>
      <w:r w:rsidR="00DB39A0">
        <w:t>:</w:t>
      </w:r>
      <w:r w:rsidRPr="000E63C3">
        <w:t xml:space="preserve"> </w:t>
      </w:r>
      <w:r w:rsidR="0098796F" w:rsidRPr="0098796F">
        <w:rPr>
          <w:color w:val="000000" w:themeColor="text1"/>
        </w:rPr>
        <w:t>[</w:t>
      </w:r>
      <w:r w:rsidR="0098796F" w:rsidRPr="0098796F">
        <w:rPr>
          <w:b/>
          <w:bCs/>
          <w:color w:val="000000" w:themeColor="text1"/>
        </w:rPr>
        <w:t>NOTE</w:t>
      </w:r>
      <w:r w:rsidR="0098796F" w:rsidRPr="0098796F">
        <w:rPr>
          <w:color w:val="000000" w:themeColor="text1"/>
        </w:rPr>
        <w:t xml:space="preserve">: </w:t>
      </w:r>
      <w:r w:rsidR="0098796F">
        <w:rPr>
          <w:i/>
          <w:iCs/>
          <w:color w:val="000000" w:themeColor="text1"/>
        </w:rPr>
        <w:t xml:space="preserve">specific </w:t>
      </w:r>
      <w:r w:rsidR="0098796F">
        <w:rPr>
          <w:color w:val="000000" w:themeColor="text1"/>
        </w:rPr>
        <w:t>Nodal Operating Guide sub-sections]</w:t>
      </w:r>
    </w:p>
    <w:p w14:paraId="32F6AAD6" w14:textId="5508A17F" w:rsidR="00F36734" w:rsidRPr="00E43AEB" w:rsidRDefault="009D7E86" w:rsidP="00F36734">
      <w:pPr>
        <w:spacing w:before="240" w:after="240"/>
        <w:ind w:left="720"/>
        <w:rPr>
          <w:color w:val="FF0000"/>
        </w:rPr>
      </w:pPr>
      <w:r w:rsidRPr="00E43AEB">
        <w:rPr>
          <w:color w:val="FF0000"/>
        </w:rPr>
        <w:t>NOG § 2.6.2.1(3); 2.6.</w:t>
      </w:r>
      <w:proofErr w:type="gramStart"/>
      <w:r w:rsidRPr="00E43AEB">
        <w:rPr>
          <w:color w:val="FF0000"/>
        </w:rPr>
        <w:t>2.1</w:t>
      </w:r>
      <w:proofErr w:type="gramEnd"/>
      <w:r w:rsidRPr="00E43AEB">
        <w:rPr>
          <w:color w:val="FF0000"/>
        </w:rPr>
        <w:t>(5); 2.6.2.1(6)</w:t>
      </w:r>
    </w:p>
    <w:p w14:paraId="6385ADAD" w14:textId="64AEE782" w:rsidR="000E63C3" w:rsidRDefault="000E63C3" w:rsidP="00D2256D">
      <w:pPr>
        <w:pStyle w:val="ListParagraph"/>
        <w:numPr>
          <w:ilvl w:val="0"/>
          <w:numId w:val="1"/>
        </w:numPr>
        <w:spacing w:before="240" w:after="240"/>
      </w:pPr>
      <w:r w:rsidRPr="000E63C3">
        <w:t xml:space="preserve">Current frequency ride-through capability in a format </w:t>
      </w:r>
      <w:proofErr w:type="gramStart"/>
      <w:r w:rsidRPr="000E63C3">
        <w:t>similar to</w:t>
      </w:r>
      <w:proofErr w:type="gramEnd"/>
      <w:r w:rsidRPr="000E63C3">
        <w:t xml:space="preserve"> the table in </w:t>
      </w:r>
      <w:r w:rsidR="0098796F">
        <w:t xml:space="preserve">NOG </w:t>
      </w:r>
      <w:r w:rsidRPr="000E63C3">
        <w:t>Section</w:t>
      </w:r>
      <w:r w:rsidR="00F871C3">
        <w:t> </w:t>
      </w:r>
      <w:r w:rsidRPr="000E63C3">
        <w:t>2.6.2.1</w:t>
      </w:r>
      <w:r w:rsidR="00F871C3">
        <w:t>(1)</w:t>
      </w:r>
      <w:r w:rsidR="00DB39A0">
        <w:t>:</w:t>
      </w:r>
      <w:r w:rsidRPr="000E63C3">
        <w:t xml:space="preserve"> </w:t>
      </w:r>
    </w:p>
    <w:p w14:paraId="696FFB7B" w14:textId="77777777" w:rsidR="00D2256D" w:rsidRDefault="00D2256D" w:rsidP="00D2256D">
      <w:pPr>
        <w:pStyle w:val="ListParagraph"/>
        <w:spacing w:before="240" w:after="240"/>
      </w:pPr>
    </w:p>
    <w:tbl>
      <w:tblPr>
        <w:tblW w:w="6745" w:type="dxa"/>
        <w:jc w:val="center"/>
        <w:tblLook w:val="04A0" w:firstRow="1" w:lastRow="0" w:firstColumn="1" w:lastColumn="0" w:noHBand="0" w:noVBand="1"/>
      </w:tblPr>
      <w:tblGrid>
        <w:gridCol w:w="2887"/>
        <w:gridCol w:w="3858"/>
      </w:tblGrid>
      <w:tr w:rsidR="00E43AEB" w:rsidRPr="00D47768" w14:paraId="30FBF3DA" w14:textId="77777777" w:rsidTr="00B7243E">
        <w:trPr>
          <w:trHeight w:val="600"/>
          <w:jc w:val="center"/>
        </w:trPr>
        <w:tc>
          <w:tcPr>
            <w:tcW w:w="2887" w:type="dxa"/>
            <w:tcBorders>
              <w:top w:val="single" w:sz="8" w:space="0" w:color="auto"/>
              <w:left w:val="single" w:sz="4" w:space="0" w:color="auto"/>
              <w:bottom w:val="single" w:sz="4" w:space="0" w:color="auto"/>
              <w:right w:val="single" w:sz="4" w:space="0" w:color="auto"/>
            </w:tcBorders>
            <w:shd w:val="clear" w:color="auto" w:fill="CCFFFF"/>
            <w:vAlign w:val="center"/>
          </w:tcPr>
          <w:p w14:paraId="35C6C9DB" w14:textId="77777777" w:rsidR="00E43AEB" w:rsidRPr="00311493" w:rsidRDefault="00E43AEB" w:rsidP="00B7243E">
            <w:pPr>
              <w:spacing w:after="0" w:line="240" w:lineRule="auto"/>
              <w:ind w:hanging="720"/>
              <w:jc w:val="center"/>
              <w:rPr>
                <w:rFonts w:ascii="Calibri" w:hAnsi="Calibri" w:cs="Calibri"/>
                <w:color w:val="FF0000"/>
                <w:sz w:val="22"/>
                <w:szCs w:val="22"/>
              </w:rPr>
            </w:pPr>
            <w:r w:rsidRPr="00311493">
              <w:rPr>
                <w:rFonts w:ascii="Calibri" w:hAnsi="Calibri" w:cs="Calibri"/>
                <w:color w:val="FF0000"/>
                <w:sz w:val="22"/>
                <w:szCs w:val="22"/>
              </w:rPr>
              <w:t>Frequency (f) in (Hz)</w:t>
            </w:r>
          </w:p>
        </w:tc>
        <w:tc>
          <w:tcPr>
            <w:tcW w:w="3858" w:type="dxa"/>
            <w:tcBorders>
              <w:top w:val="single" w:sz="8" w:space="0" w:color="auto"/>
              <w:left w:val="single" w:sz="4" w:space="0" w:color="auto"/>
              <w:bottom w:val="single" w:sz="4" w:space="0" w:color="auto"/>
              <w:right w:val="single" w:sz="8" w:space="0" w:color="auto"/>
            </w:tcBorders>
            <w:shd w:val="clear" w:color="auto" w:fill="CCFFFF"/>
            <w:vAlign w:val="center"/>
          </w:tcPr>
          <w:p w14:paraId="263A9893" w14:textId="77777777" w:rsidR="00E43AEB" w:rsidRPr="00311493" w:rsidRDefault="00E43AEB" w:rsidP="00B7243E">
            <w:pPr>
              <w:spacing w:after="0" w:line="240" w:lineRule="auto"/>
              <w:jc w:val="center"/>
              <w:rPr>
                <w:rFonts w:ascii="Calibri" w:hAnsi="Calibri" w:cs="Calibri"/>
                <w:color w:val="FF0000"/>
                <w:sz w:val="22"/>
                <w:szCs w:val="22"/>
              </w:rPr>
            </w:pPr>
            <w:r w:rsidRPr="00311493">
              <w:rPr>
                <w:rFonts w:ascii="Calibri" w:hAnsi="Calibri" w:cs="Calibri"/>
                <w:color w:val="FF0000"/>
                <w:sz w:val="22"/>
                <w:szCs w:val="22"/>
              </w:rPr>
              <w:t>Minimum Ride-Through Time</w:t>
            </w:r>
            <w:r>
              <w:rPr>
                <w:rFonts w:ascii="Calibri" w:hAnsi="Calibri" w:cs="Calibri"/>
                <w:color w:val="FF0000"/>
                <w:sz w:val="22"/>
                <w:szCs w:val="22"/>
              </w:rPr>
              <w:t xml:space="preserve"> </w:t>
            </w:r>
            <w:r w:rsidRPr="00311493">
              <w:rPr>
                <w:rFonts w:ascii="Calibri" w:hAnsi="Calibri" w:cs="Calibri"/>
                <w:color w:val="FF0000"/>
                <w:sz w:val="22"/>
                <w:szCs w:val="22"/>
              </w:rPr>
              <w:t>(seconds)</w:t>
            </w:r>
          </w:p>
        </w:tc>
      </w:tr>
      <w:tr w:rsidR="00E43AEB" w:rsidRPr="00D47768" w14:paraId="072BD4A2" w14:textId="77777777" w:rsidTr="00B7243E">
        <w:trPr>
          <w:trHeight w:val="300"/>
          <w:jc w:val="center"/>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4CC6D1BA" w14:textId="77777777" w:rsidR="00E43AEB" w:rsidRPr="00311493" w:rsidRDefault="00E43AEB" w:rsidP="00B7243E">
            <w:pPr>
              <w:spacing w:after="0" w:line="240" w:lineRule="auto"/>
              <w:jc w:val="center"/>
              <w:rPr>
                <w:rFonts w:ascii="Calibri" w:hAnsi="Calibri" w:cs="Calibri"/>
                <w:color w:val="FF0000"/>
                <w:sz w:val="22"/>
                <w:szCs w:val="22"/>
              </w:rPr>
            </w:pPr>
            <w:r w:rsidRPr="00311493">
              <w:rPr>
                <w:rFonts w:ascii="Calibri" w:hAnsi="Calibri" w:cs="Calibri"/>
                <w:color w:val="FF0000"/>
                <w:sz w:val="22"/>
                <w:szCs w:val="22"/>
              </w:rPr>
              <w:t>f &gt; 61.8</w:t>
            </w:r>
          </w:p>
        </w:tc>
        <w:tc>
          <w:tcPr>
            <w:tcW w:w="3858" w:type="dxa"/>
            <w:tcBorders>
              <w:top w:val="single" w:sz="4" w:space="0" w:color="auto"/>
              <w:left w:val="nil"/>
              <w:bottom w:val="single" w:sz="4" w:space="0" w:color="auto"/>
              <w:right w:val="single" w:sz="8" w:space="0" w:color="000000"/>
            </w:tcBorders>
            <w:shd w:val="clear" w:color="auto" w:fill="DEEAF6"/>
            <w:vAlign w:val="center"/>
          </w:tcPr>
          <w:p w14:paraId="0268BD1E" w14:textId="6B581043" w:rsidR="00E43AEB" w:rsidRPr="00311493" w:rsidRDefault="00E43AEB" w:rsidP="00B7243E">
            <w:pPr>
              <w:spacing w:after="0" w:line="240" w:lineRule="auto"/>
              <w:jc w:val="center"/>
              <w:rPr>
                <w:rFonts w:ascii="Calibri" w:hAnsi="Calibri" w:cs="Calibri"/>
                <w:color w:val="FF0000"/>
                <w:sz w:val="22"/>
                <w:szCs w:val="22"/>
              </w:rPr>
            </w:pPr>
            <w:r w:rsidRPr="00311493">
              <w:rPr>
                <w:rFonts w:ascii="Calibri" w:hAnsi="Calibri" w:cs="Calibri"/>
                <w:color w:val="FF0000"/>
                <w:sz w:val="22"/>
                <w:szCs w:val="22"/>
              </w:rPr>
              <w:t>Trips at ≥61.</w:t>
            </w:r>
            <w:r>
              <w:rPr>
                <w:rFonts w:ascii="Calibri" w:hAnsi="Calibri" w:cs="Calibri"/>
                <w:color w:val="FF0000"/>
                <w:sz w:val="22"/>
                <w:szCs w:val="22"/>
              </w:rPr>
              <w:t>8</w:t>
            </w:r>
            <w:r w:rsidRPr="00311493">
              <w:rPr>
                <w:rFonts w:ascii="Calibri" w:hAnsi="Calibri" w:cs="Calibri"/>
                <w:color w:val="FF0000"/>
                <w:sz w:val="22"/>
                <w:szCs w:val="22"/>
              </w:rPr>
              <w:t xml:space="preserve"> Hz</w:t>
            </w:r>
          </w:p>
        </w:tc>
      </w:tr>
      <w:tr w:rsidR="00E43AEB" w:rsidRPr="00D47768" w14:paraId="68296E82" w14:textId="77777777" w:rsidTr="00B7243E">
        <w:trPr>
          <w:trHeight w:val="300"/>
          <w:jc w:val="center"/>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37890F30" w14:textId="77777777" w:rsidR="00E43AEB" w:rsidRPr="00311493" w:rsidRDefault="00E43AEB" w:rsidP="00B7243E">
            <w:pPr>
              <w:spacing w:after="0" w:line="240" w:lineRule="auto"/>
              <w:jc w:val="center"/>
              <w:rPr>
                <w:rFonts w:ascii="Calibri" w:hAnsi="Calibri" w:cs="Calibri"/>
                <w:color w:val="FF0000"/>
                <w:sz w:val="22"/>
                <w:szCs w:val="22"/>
              </w:rPr>
            </w:pPr>
            <w:r w:rsidRPr="00311493">
              <w:rPr>
                <w:rFonts w:ascii="Calibri" w:hAnsi="Calibri" w:cs="Calibri"/>
                <w:color w:val="FF0000"/>
                <w:sz w:val="22"/>
                <w:szCs w:val="22"/>
              </w:rPr>
              <w:t>61.6 &lt; f ≤ 61.8</w:t>
            </w:r>
          </w:p>
        </w:tc>
        <w:tc>
          <w:tcPr>
            <w:tcW w:w="3858" w:type="dxa"/>
            <w:tcBorders>
              <w:top w:val="nil"/>
              <w:left w:val="single" w:sz="4" w:space="0" w:color="auto"/>
              <w:bottom w:val="single" w:sz="4" w:space="0" w:color="auto"/>
              <w:right w:val="single" w:sz="8" w:space="0" w:color="auto"/>
            </w:tcBorders>
            <w:shd w:val="clear" w:color="auto" w:fill="DEEAF6"/>
            <w:vAlign w:val="center"/>
          </w:tcPr>
          <w:p w14:paraId="20188816" w14:textId="5BF0EE3C" w:rsidR="00E43AEB" w:rsidRPr="00311493" w:rsidRDefault="00E43AEB" w:rsidP="00B7243E">
            <w:pPr>
              <w:spacing w:after="0" w:line="240" w:lineRule="auto"/>
              <w:jc w:val="center"/>
              <w:rPr>
                <w:rFonts w:ascii="Calibri" w:hAnsi="Calibri" w:cs="Calibri"/>
                <w:color w:val="FF0000"/>
                <w:sz w:val="22"/>
                <w:szCs w:val="22"/>
              </w:rPr>
            </w:pPr>
            <w:r>
              <w:rPr>
                <w:rFonts w:ascii="Calibri" w:hAnsi="Calibri" w:cs="Calibri"/>
                <w:color w:val="FF0000"/>
                <w:sz w:val="22"/>
                <w:szCs w:val="22"/>
              </w:rPr>
              <w:t>220</w:t>
            </w:r>
          </w:p>
        </w:tc>
      </w:tr>
      <w:tr w:rsidR="00E43AEB" w:rsidRPr="00D47768" w14:paraId="55BF7401" w14:textId="77777777" w:rsidTr="00B7243E">
        <w:trPr>
          <w:trHeight w:val="300"/>
          <w:jc w:val="center"/>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18816C1D" w14:textId="77777777" w:rsidR="00E43AEB" w:rsidRPr="00311493" w:rsidRDefault="00E43AEB" w:rsidP="00B7243E">
            <w:pPr>
              <w:spacing w:after="0" w:line="240" w:lineRule="auto"/>
              <w:jc w:val="center"/>
              <w:rPr>
                <w:rFonts w:ascii="Calibri" w:hAnsi="Calibri" w:cs="Calibri"/>
                <w:color w:val="FF0000"/>
                <w:sz w:val="22"/>
                <w:szCs w:val="22"/>
              </w:rPr>
            </w:pPr>
            <w:r w:rsidRPr="00311493">
              <w:rPr>
                <w:rFonts w:ascii="Calibri" w:hAnsi="Calibri" w:cs="Calibri"/>
                <w:color w:val="FF0000"/>
                <w:sz w:val="22"/>
                <w:szCs w:val="22"/>
              </w:rPr>
              <w:t>61.2 &lt; f ≤ 61.6</w:t>
            </w:r>
          </w:p>
        </w:tc>
        <w:tc>
          <w:tcPr>
            <w:tcW w:w="3858" w:type="dxa"/>
            <w:tcBorders>
              <w:top w:val="nil"/>
              <w:left w:val="single" w:sz="4" w:space="0" w:color="auto"/>
              <w:bottom w:val="single" w:sz="4" w:space="0" w:color="auto"/>
              <w:right w:val="single" w:sz="8" w:space="0" w:color="auto"/>
            </w:tcBorders>
            <w:shd w:val="clear" w:color="auto" w:fill="DDEBF7"/>
            <w:vAlign w:val="center"/>
          </w:tcPr>
          <w:p w14:paraId="381D43D1" w14:textId="6359F44D" w:rsidR="00E43AEB" w:rsidRPr="00311493" w:rsidRDefault="00E43AEB" w:rsidP="00B7243E">
            <w:pPr>
              <w:spacing w:after="0" w:line="240" w:lineRule="auto"/>
              <w:jc w:val="center"/>
              <w:rPr>
                <w:rFonts w:ascii="Calibri" w:hAnsi="Calibri" w:cs="Calibri"/>
                <w:color w:val="FF0000"/>
                <w:sz w:val="22"/>
                <w:szCs w:val="22"/>
              </w:rPr>
            </w:pPr>
            <w:r>
              <w:rPr>
                <w:rFonts w:ascii="Calibri" w:hAnsi="Calibri" w:cs="Calibri"/>
                <w:color w:val="FF0000"/>
                <w:sz w:val="22"/>
                <w:szCs w:val="22"/>
              </w:rPr>
              <w:t>499</w:t>
            </w:r>
          </w:p>
        </w:tc>
      </w:tr>
      <w:tr w:rsidR="00E43AEB" w:rsidRPr="00D47768" w14:paraId="0EE6317D" w14:textId="77777777" w:rsidTr="00B7243E">
        <w:trPr>
          <w:trHeight w:val="300"/>
          <w:jc w:val="center"/>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2CD2245B" w14:textId="77777777" w:rsidR="00E43AEB" w:rsidRPr="00311493" w:rsidRDefault="00E43AEB" w:rsidP="00B7243E">
            <w:pPr>
              <w:spacing w:after="0" w:line="240" w:lineRule="auto"/>
              <w:jc w:val="center"/>
              <w:rPr>
                <w:rFonts w:ascii="Calibri" w:hAnsi="Calibri" w:cs="Calibri"/>
                <w:color w:val="FF0000"/>
                <w:sz w:val="22"/>
                <w:szCs w:val="22"/>
              </w:rPr>
            </w:pPr>
            <w:r w:rsidRPr="00311493">
              <w:rPr>
                <w:rFonts w:ascii="Calibri" w:hAnsi="Calibri" w:cs="Calibri"/>
                <w:color w:val="FF0000"/>
                <w:sz w:val="22"/>
                <w:szCs w:val="22"/>
              </w:rPr>
              <w:t>58.8 ≤ f ≤ 61.2</w:t>
            </w:r>
          </w:p>
        </w:tc>
        <w:tc>
          <w:tcPr>
            <w:tcW w:w="3858" w:type="dxa"/>
            <w:tcBorders>
              <w:top w:val="nil"/>
              <w:left w:val="single" w:sz="4" w:space="0" w:color="auto"/>
              <w:bottom w:val="single" w:sz="4" w:space="0" w:color="auto"/>
              <w:right w:val="single" w:sz="8" w:space="0" w:color="auto"/>
            </w:tcBorders>
            <w:shd w:val="clear" w:color="auto" w:fill="DEEAF6"/>
            <w:vAlign w:val="center"/>
          </w:tcPr>
          <w:p w14:paraId="14C9704F" w14:textId="77777777" w:rsidR="00E43AEB" w:rsidRPr="00311493" w:rsidRDefault="00E43AEB" w:rsidP="00B7243E">
            <w:pPr>
              <w:spacing w:after="0" w:line="240" w:lineRule="auto"/>
              <w:jc w:val="center"/>
              <w:rPr>
                <w:rFonts w:ascii="Calibri" w:hAnsi="Calibri" w:cs="Calibri"/>
                <w:color w:val="FF0000"/>
                <w:sz w:val="22"/>
                <w:szCs w:val="22"/>
              </w:rPr>
            </w:pPr>
            <w:r w:rsidRPr="00311493">
              <w:rPr>
                <w:rFonts w:ascii="Calibri" w:hAnsi="Calibri" w:cs="Calibri"/>
                <w:color w:val="FF0000"/>
                <w:sz w:val="22"/>
                <w:szCs w:val="22"/>
              </w:rPr>
              <w:t>Continuous</w:t>
            </w:r>
          </w:p>
        </w:tc>
      </w:tr>
      <w:tr w:rsidR="00E43AEB" w:rsidRPr="00D47768" w14:paraId="0EA22EF6" w14:textId="77777777" w:rsidTr="00B7243E">
        <w:trPr>
          <w:trHeight w:val="300"/>
          <w:jc w:val="center"/>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30053106" w14:textId="77777777" w:rsidR="00E43AEB" w:rsidRPr="00311493" w:rsidRDefault="00E43AEB" w:rsidP="00B7243E">
            <w:pPr>
              <w:spacing w:after="0" w:line="240" w:lineRule="auto"/>
              <w:jc w:val="center"/>
              <w:rPr>
                <w:rFonts w:ascii="Calibri" w:hAnsi="Calibri" w:cs="Calibri"/>
                <w:color w:val="FF0000"/>
                <w:sz w:val="22"/>
                <w:szCs w:val="22"/>
              </w:rPr>
            </w:pPr>
            <w:r w:rsidRPr="00311493">
              <w:rPr>
                <w:rFonts w:ascii="Calibri" w:hAnsi="Calibri" w:cs="Calibri"/>
                <w:color w:val="FF0000"/>
                <w:sz w:val="22"/>
                <w:szCs w:val="22"/>
              </w:rPr>
              <w:t>58.4 ≤ f &lt; 58.8</w:t>
            </w:r>
          </w:p>
        </w:tc>
        <w:tc>
          <w:tcPr>
            <w:tcW w:w="3858" w:type="dxa"/>
            <w:tcBorders>
              <w:top w:val="nil"/>
              <w:left w:val="single" w:sz="4" w:space="0" w:color="auto"/>
              <w:bottom w:val="single" w:sz="4" w:space="0" w:color="auto"/>
              <w:right w:val="single" w:sz="8" w:space="0" w:color="auto"/>
            </w:tcBorders>
            <w:shd w:val="clear" w:color="auto" w:fill="DEEAF6"/>
            <w:vAlign w:val="center"/>
          </w:tcPr>
          <w:p w14:paraId="523677E3" w14:textId="7DD8E6DA" w:rsidR="00E43AEB" w:rsidRPr="00311493" w:rsidRDefault="00E43AEB" w:rsidP="00B7243E">
            <w:pPr>
              <w:spacing w:after="0" w:line="240" w:lineRule="auto"/>
              <w:jc w:val="center"/>
              <w:rPr>
                <w:rFonts w:ascii="Calibri" w:hAnsi="Calibri" w:cs="Calibri"/>
                <w:color w:val="FF0000"/>
                <w:sz w:val="22"/>
                <w:szCs w:val="22"/>
              </w:rPr>
            </w:pPr>
            <w:r>
              <w:rPr>
                <w:rFonts w:ascii="Calibri" w:hAnsi="Calibri" w:cs="Calibri"/>
                <w:color w:val="FF0000"/>
                <w:sz w:val="22"/>
                <w:szCs w:val="22"/>
              </w:rPr>
              <w:t>499</w:t>
            </w:r>
          </w:p>
        </w:tc>
      </w:tr>
      <w:tr w:rsidR="00E43AEB" w14:paraId="7F8D34DF" w14:textId="77777777" w:rsidTr="00B7243E">
        <w:trPr>
          <w:trHeight w:val="300"/>
          <w:jc w:val="center"/>
        </w:trPr>
        <w:tc>
          <w:tcPr>
            <w:tcW w:w="2887" w:type="dxa"/>
            <w:tcBorders>
              <w:top w:val="single" w:sz="4" w:space="0" w:color="auto"/>
              <w:left w:val="single" w:sz="4" w:space="0" w:color="auto"/>
              <w:bottom w:val="single" w:sz="4" w:space="0" w:color="auto"/>
              <w:right w:val="single" w:sz="4" w:space="0" w:color="auto"/>
            </w:tcBorders>
            <w:shd w:val="clear" w:color="auto" w:fill="DDEBF7"/>
            <w:noWrap/>
            <w:vAlign w:val="center"/>
          </w:tcPr>
          <w:p w14:paraId="7EF051A1" w14:textId="77777777" w:rsidR="00E43AEB" w:rsidRPr="00311493" w:rsidRDefault="00E43AEB" w:rsidP="00B7243E">
            <w:pPr>
              <w:spacing w:after="0" w:line="240" w:lineRule="auto"/>
              <w:jc w:val="center"/>
              <w:rPr>
                <w:rFonts w:ascii="Calibri" w:hAnsi="Calibri" w:cs="Calibri"/>
                <w:color w:val="FF0000"/>
                <w:sz w:val="22"/>
                <w:szCs w:val="22"/>
              </w:rPr>
            </w:pPr>
            <w:r w:rsidRPr="00311493">
              <w:rPr>
                <w:rFonts w:ascii="Calibri" w:hAnsi="Calibri" w:cs="Calibri"/>
                <w:color w:val="FF0000"/>
                <w:sz w:val="22"/>
                <w:szCs w:val="22"/>
              </w:rPr>
              <w:t>57.0 ≤ f &lt; 58.4</w:t>
            </w:r>
          </w:p>
        </w:tc>
        <w:tc>
          <w:tcPr>
            <w:tcW w:w="3858" w:type="dxa"/>
            <w:tcBorders>
              <w:top w:val="single" w:sz="4" w:space="0" w:color="auto"/>
              <w:left w:val="single" w:sz="4" w:space="0" w:color="auto"/>
              <w:bottom w:val="single" w:sz="4" w:space="0" w:color="auto"/>
              <w:right w:val="single" w:sz="4" w:space="0" w:color="auto"/>
            </w:tcBorders>
            <w:shd w:val="clear" w:color="auto" w:fill="DEEAF6"/>
            <w:vAlign w:val="center"/>
          </w:tcPr>
          <w:p w14:paraId="64788B84" w14:textId="0D0A1766" w:rsidR="00E43AEB" w:rsidRPr="00311493" w:rsidRDefault="00E43AEB" w:rsidP="00B7243E">
            <w:pPr>
              <w:spacing w:after="0" w:line="240" w:lineRule="auto"/>
              <w:jc w:val="center"/>
              <w:rPr>
                <w:rFonts w:ascii="Calibri" w:hAnsi="Calibri" w:cs="Calibri"/>
                <w:color w:val="FF0000"/>
                <w:sz w:val="22"/>
                <w:szCs w:val="22"/>
              </w:rPr>
            </w:pPr>
            <w:r>
              <w:rPr>
                <w:rFonts w:ascii="Calibri" w:hAnsi="Calibri" w:cs="Calibri"/>
                <w:color w:val="FF0000"/>
                <w:sz w:val="22"/>
                <w:szCs w:val="22"/>
              </w:rPr>
              <w:t>220</w:t>
            </w:r>
          </w:p>
        </w:tc>
      </w:tr>
      <w:tr w:rsidR="00E43AEB" w14:paraId="14C82DA7" w14:textId="77777777" w:rsidTr="00B7243E">
        <w:trPr>
          <w:trHeight w:val="300"/>
          <w:jc w:val="center"/>
        </w:trPr>
        <w:tc>
          <w:tcPr>
            <w:tcW w:w="2887" w:type="dxa"/>
            <w:tcBorders>
              <w:top w:val="single" w:sz="4" w:space="0" w:color="auto"/>
              <w:left w:val="single" w:sz="4" w:space="0" w:color="auto"/>
              <w:bottom w:val="single" w:sz="4" w:space="0" w:color="auto"/>
              <w:right w:val="single" w:sz="4" w:space="0" w:color="auto"/>
            </w:tcBorders>
            <w:shd w:val="clear" w:color="auto" w:fill="DDEBF7"/>
            <w:noWrap/>
            <w:vAlign w:val="center"/>
          </w:tcPr>
          <w:p w14:paraId="67323AC2" w14:textId="77777777" w:rsidR="00E43AEB" w:rsidRPr="00311493" w:rsidRDefault="00E43AEB" w:rsidP="00B7243E">
            <w:pPr>
              <w:spacing w:after="0" w:line="240" w:lineRule="auto"/>
              <w:jc w:val="center"/>
              <w:rPr>
                <w:rFonts w:ascii="Calibri" w:hAnsi="Calibri" w:cs="Calibri"/>
                <w:color w:val="FF0000"/>
                <w:sz w:val="22"/>
                <w:szCs w:val="22"/>
              </w:rPr>
            </w:pPr>
            <w:r w:rsidRPr="00311493">
              <w:rPr>
                <w:rFonts w:ascii="Calibri" w:hAnsi="Calibri" w:cs="Calibri"/>
                <w:color w:val="FF0000"/>
                <w:sz w:val="22"/>
                <w:szCs w:val="22"/>
              </w:rPr>
              <w:t>f &lt; 57.0</w:t>
            </w:r>
          </w:p>
        </w:tc>
        <w:tc>
          <w:tcPr>
            <w:tcW w:w="3858" w:type="dxa"/>
            <w:tcBorders>
              <w:top w:val="single" w:sz="4" w:space="0" w:color="auto"/>
              <w:left w:val="single" w:sz="4" w:space="0" w:color="auto"/>
              <w:bottom w:val="single" w:sz="4" w:space="0" w:color="auto"/>
              <w:right w:val="single" w:sz="4" w:space="0" w:color="auto"/>
            </w:tcBorders>
            <w:shd w:val="clear" w:color="auto" w:fill="DEEAF6"/>
            <w:vAlign w:val="center"/>
          </w:tcPr>
          <w:p w14:paraId="0D05061D" w14:textId="5C78A1B3" w:rsidR="00E43AEB" w:rsidRPr="00311493" w:rsidRDefault="00E43AEB" w:rsidP="00B7243E">
            <w:pPr>
              <w:spacing w:after="0" w:line="240" w:lineRule="auto"/>
              <w:jc w:val="center"/>
              <w:rPr>
                <w:rFonts w:ascii="Calibri" w:hAnsi="Calibri" w:cs="Calibri"/>
                <w:color w:val="FF0000"/>
                <w:sz w:val="22"/>
                <w:szCs w:val="22"/>
              </w:rPr>
            </w:pPr>
            <w:r w:rsidRPr="00311493">
              <w:rPr>
                <w:rFonts w:ascii="Calibri" w:hAnsi="Calibri" w:cs="Calibri"/>
                <w:color w:val="FF0000"/>
                <w:sz w:val="22"/>
                <w:szCs w:val="22"/>
              </w:rPr>
              <w:t>Trips at ≤ 5</w:t>
            </w:r>
            <w:r>
              <w:rPr>
                <w:rFonts w:ascii="Calibri" w:hAnsi="Calibri" w:cs="Calibri"/>
                <w:color w:val="FF0000"/>
                <w:sz w:val="22"/>
                <w:szCs w:val="22"/>
              </w:rPr>
              <w:t>7.0</w:t>
            </w:r>
            <w:r w:rsidRPr="00311493">
              <w:rPr>
                <w:rFonts w:ascii="Calibri" w:hAnsi="Calibri" w:cs="Calibri"/>
                <w:color w:val="FF0000"/>
                <w:sz w:val="22"/>
                <w:szCs w:val="22"/>
              </w:rPr>
              <w:t xml:space="preserve"> Hz</w:t>
            </w:r>
          </w:p>
        </w:tc>
      </w:tr>
    </w:tbl>
    <w:p w14:paraId="5B0BD24A" w14:textId="77777777" w:rsidR="009D7E86" w:rsidRDefault="009D7E86" w:rsidP="00D2256D">
      <w:pPr>
        <w:pStyle w:val="ListParagraph"/>
        <w:spacing w:before="240" w:after="240"/>
      </w:pPr>
    </w:p>
    <w:p w14:paraId="1473C22F" w14:textId="5B1CD90E" w:rsidR="00724849" w:rsidRDefault="000E63C3" w:rsidP="00D2256D">
      <w:pPr>
        <w:pStyle w:val="ListParagraph"/>
        <w:numPr>
          <w:ilvl w:val="0"/>
          <w:numId w:val="1"/>
        </w:numPr>
        <w:spacing w:before="240" w:after="240"/>
      </w:pPr>
      <w:r w:rsidRPr="000E63C3">
        <w:t>Known frequency ride-through limitations of the IBR, Type 1 WGR or Type 2 WGR as compared to the requirements in</w:t>
      </w:r>
      <w:r w:rsidR="0098796F">
        <w:t xml:space="preserve"> NOG</w:t>
      </w:r>
      <w:r w:rsidRPr="000E63C3">
        <w:t xml:space="preserve"> Section</w:t>
      </w:r>
      <w:r w:rsidR="007A1095">
        <w:t>s</w:t>
      </w:r>
      <w:r w:rsidRPr="000E63C3">
        <w:t xml:space="preserve"> 2.6.2.1</w:t>
      </w:r>
      <w:r w:rsidR="00F871C3">
        <w:t>(1)-(5)</w:t>
      </w:r>
      <w:r w:rsidR="00DB39A0">
        <w:t>:</w:t>
      </w:r>
      <w:r w:rsidRPr="000E63C3">
        <w:t xml:space="preserve"> </w:t>
      </w:r>
    </w:p>
    <w:p w14:paraId="12902013" w14:textId="77777777" w:rsidR="009D7E86" w:rsidRDefault="009D7E86" w:rsidP="009D7E86">
      <w:pPr>
        <w:pStyle w:val="ListParagraph"/>
        <w:spacing w:before="240" w:after="240"/>
        <w:ind w:left="1440"/>
      </w:pPr>
    </w:p>
    <w:p w14:paraId="78F3E793" w14:textId="50244175" w:rsidR="009D7E86" w:rsidRPr="00544518" w:rsidRDefault="009D7E86" w:rsidP="009D7E86">
      <w:pPr>
        <w:pStyle w:val="ListParagraph"/>
        <w:numPr>
          <w:ilvl w:val="0"/>
          <w:numId w:val="4"/>
        </w:numPr>
        <w:spacing w:before="240" w:after="240"/>
        <w:rPr>
          <w:color w:val="FF0000"/>
        </w:rPr>
      </w:pPr>
      <w:r w:rsidRPr="00544518">
        <w:rPr>
          <w:color w:val="FF0000"/>
        </w:rPr>
        <w:t xml:space="preserve">Resource cannot meet ROCOF requirement in § 2.6.2.1(3) </w:t>
      </w:r>
    </w:p>
    <w:p w14:paraId="1C299631" w14:textId="19F00232" w:rsidR="009D7E86" w:rsidRPr="00544518" w:rsidRDefault="009D7E86" w:rsidP="009D7E86">
      <w:pPr>
        <w:pStyle w:val="ListParagraph"/>
        <w:numPr>
          <w:ilvl w:val="0"/>
          <w:numId w:val="4"/>
        </w:numPr>
        <w:spacing w:before="240" w:after="240"/>
        <w:rPr>
          <w:color w:val="FF0000"/>
        </w:rPr>
      </w:pPr>
      <w:r w:rsidRPr="00544518">
        <w:rPr>
          <w:color w:val="FF0000"/>
        </w:rPr>
        <w:t xml:space="preserve">Resource cannot meet phase angle jump requirement in § 2.6.2.1(3) </w:t>
      </w:r>
    </w:p>
    <w:p w14:paraId="301681E5" w14:textId="4F785070" w:rsidR="009D7E86" w:rsidRPr="00544518" w:rsidRDefault="009D7E86" w:rsidP="009D7E86">
      <w:pPr>
        <w:pStyle w:val="ListParagraph"/>
        <w:numPr>
          <w:ilvl w:val="0"/>
          <w:numId w:val="4"/>
        </w:numPr>
        <w:spacing w:before="240" w:after="240"/>
        <w:rPr>
          <w:color w:val="FF0000"/>
        </w:rPr>
      </w:pPr>
      <w:r w:rsidRPr="00544518">
        <w:rPr>
          <w:color w:val="FF0000"/>
        </w:rPr>
        <w:lastRenderedPageBreak/>
        <w:t xml:space="preserve">Resource cannot meet </w:t>
      </w:r>
      <w:r w:rsidR="0098796F">
        <w:rPr>
          <w:color w:val="FF0000"/>
        </w:rPr>
        <w:t xml:space="preserve">the </w:t>
      </w:r>
      <w:r w:rsidRPr="00544518">
        <w:rPr>
          <w:color w:val="FF0000"/>
        </w:rPr>
        <w:t xml:space="preserve">requirement in § 2.6.2.1(5) </w:t>
      </w:r>
      <w:r w:rsidR="0098796F">
        <w:rPr>
          <w:color w:val="FF0000"/>
        </w:rPr>
        <w:t>to not disconnect any individual turbine during frequency conditions where ride-through is required.</w:t>
      </w:r>
    </w:p>
    <w:p w14:paraId="59068C33" w14:textId="77777777" w:rsidR="00D2256D" w:rsidRDefault="00D2256D" w:rsidP="00D2256D">
      <w:pPr>
        <w:pStyle w:val="ListParagraph"/>
        <w:spacing w:before="240" w:after="240"/>
      </w:pPr>
    </w:p>
    <w:p w14:paraId="25990335" w14:textId="080F9652" w:rsidR="000E63C3" w:rsidRDefault="000E63C3" w:rsidP="00D2256D">
      <w:pPr>
        <w:pStyle w:val="ListParagraph"/>
        <w:numPr>
          <w:ilvl w:val="0"/>
          <w:numId w:val="1"/>
        </w:numPr>
        <w:spacing w:before="240" w:after="240"/>
      </w:pPr>
      <w:r>
        <w:t xml:space="preserve">A detailed description of the technical limitation preventing the Resource from meeting the ride-through requirement(s), including a letter signed by an officer or executive of the original equipment manufacturer (or subsequent support company if the original equipment manufacturer is no longer in business) or an engineering consulting firm verifying the limitations: </w:t>
      </w:r>
    </w:p>
    <w:p w14:paraId="7B8882EB" w14:textId="59285110" w:rsidR="00427D20" w:rsidRPr="00544518" w:rsidRDefault="00427D20" w:rsidP="00427D20">
      <w:pPr>
        <w:pStyle w:val="ListParagraph"/>
        <w:numPr>
          <w:ilvl w:val="0"/>
          <w:numId w:val="5"/>
        </w:numPr>
        <w:spacing w:before="240" w:after="240"/>
        <w:rPr>
          <w:color w:val="FF0000"/>
        </w:rPr>
      </w:pPr>
      <w:r w:rsidRPr="00544518">
        <w:rPr>
          <w:color w:val="FF0000"/>
        </w:rPr>
        <w:t xml:space="preserve">Resource cannot meet ROCOF requirement in § 2.6.2.1(3) because the protection system is hard coded and cannot be changed. </w:t>
      </w:r>
      <w:r w:rsidRPr="00544518">
        <w:rPr>
          <w:i/>
          <w:iCs/>
          <w:color w:val="FF0000"/>
        </w:rPr>
        <w:t>See</w:t>
      </w:r>
      <w:r w:rsidRPr="00544518">
        <w:rPr>
          <w:color w:val="FF0000"/>
        </w:rPr>
        <w:t xml:space="preserve">, OEM letter in file named </w:t>
      </w:r>
      <w:r w:rsidRPr="00544518">
        <w:rPr>
          <w:i/>
          <w:iCs/>
          <w:color w:val="FF0000"/>
        </w:rPr>
        <w:t>OEM_technical_limitations.pdf</w:t>
      </w:r>
      <w:r w:rsidRPr="00544518">
        <w:rPr>
          <w:color w:val="FF0000"/>
        </w:rPr>
        <w:t>.</w:t>
      </w:r>
    </w:p>
    <w:p w14:paraId="3F137BFD" w14:textId="08EF077C" w:rsidR="00427D20" w:rsidRPr="00544518" w:rsidRDefault="00427D20" w:rsidP="00427D20">
      <w:pPr>
        <w:pStyle w:val="ListParagraph"/>
        <w:numPr>
          <w:ilvl w:val="0"/>
          <w:numId w:val="5"/>
        </w:numPr>
        <w:spacing w:before="240" w:after="240"/>
        <w:rPr>
          <w:color w:val="FF0000"/>
        </w:rPr>
      </w:pPr>
      <w:r w:rsidRPr="00544518">
        <w:rPr>
          <w:color w:val="FF0000"/>
        </w:rPr>
        <w:t xml:space="preserve">Resource cannot meet phase angle jump requirement in § 2.6.2.1(3) because the protection system is hard coded and cannot be changed. </w:t>
      </w:r>
      <w:r w:rsidRPr="00544518">
        <w:rPr>
          <w:i/>
          <w:iCs/>
          <w:color w:val="FF0000"/>
        </w:rPr>
        <w:t>See</w:t>
      </w:r>
      <w:r w:rsidRPr="00544518">
        <w:rPr>
          <w:color w:val="FF0000"/>
        </w:rPr>
        <w:t xml:space="preserve">, OEM letter in file named </w:t>
      </w:r>
      <w:r w:rsidRPr="00544518">
        <w:rPr>
          <w:i/>
          <w:iCs/>
          <w:color w:val="FF0000"/>
        </w:rPr>
        <w:t>OEM_technical_limitations.pdf</w:t>
      </w:r>
      <w:r w:rsidRPr="00544518">
        <w:rPr>
          <w:color w:val="FF0000"/>
        </w:rPr>
        <w:t>.</w:t>
      </w:r>
    </w:p>
    <w:p w14:paraId="2FE7E2A0" w14:textId="588C1196" w:rsidR="00427D20" w:rsidRPr="00544518" w:rsidRDefault="00427D20" w:rsidP="00427D20">
      <w:pPr>
        <w:pStyle w:val="ListParagraph"/>
        <w:numPr>
          <w:ilvl w:val="0"/>
          <w:numId w:val="5"/>
        </w:numPr>
        <w:spacing w:before="240" w:after="240"/>
        <w:rPr>
          <w:color w:val="FF0000"/>
        </w:rPr>
      </w:pPr>
      <w:r w:rsidRPr="00544518">
        <w:rPr>
          <w:color w:val="FF0000"/>
        </w:rPr>
        <w:t xml:space="preserve">Resource cannot meet </w:t>
      </w:r>
      <w:r w:rsidR="0098796F">
        <w:rPr>
          <w:color w:val="FF0000"/>
        </w:rPr>
        <w:t xml:space="preserve">the </w:t>
      </w:r>
      <w:r w:rsidR="0098796F" w:rsidRPr="00544518">
        <w:rPr>
          <w:color w:val="FF0000"/>
        </w:rPr>
        <w:t xml:space="preserve">requirement in § 2.6.2.1(5) </w:t>
      </w:r>
      <w:r w:rsidR="0098796F">
        <w:rPr>
          <w:color w:val="FF0000"/>
        </w:rPr>
        <w:t>to not disconnect any individual turbine during frequency conditions where ride-through is required</w:t>
      </w:r>
      <w:r w:rsidRPr="00544518">
        <w:rPr>
          <w:color w:val="FF0000"/>
        </w:rPr>
        <w:t xml:space="preserve"> because </w:t>
      </w:r>
      <w:r w:rsidR="0098796F">
        <w:rPr>
          <w:color w:val="FF0000"/>
        </w:rPr>
        <w:t xml:space="preserve">turbine </w:t>
      </w:r>
      <w:r w:rsidRPr="00544518">
        <w:rPr>
          <w:color w:val="FF0000"/>
        </w:rPr>
        <w:t xml:space="preserve">controls currently disconnect individual turbines during frequency conditions where ride-through is required and cannot be modified because doing so would damage equipment. </w:t>
      </w:r>
      <w:r w:rsidRPr="00544518">
        <w:rPr>
          <w:i/>
          <w:iCs/>
          <w:color w:val="FF0000"/>
        </w:rPr>
        <w:t>See</w:t>
      </w:r>
      <w:r w:rsidRPr="00544518">
        <w:rPr>
          <w:color w:val="FF0000"/>
        </w:rPr>
        <w:t xml:space="preserve">, OEM letter in file named </w:t>
      </w:r>
      <w:r w:rsidRPr="00544518">
        <w:rPr>
          <w:i/>
          <w:iCs/>
          <w:color w:val="FF0000"/>
        </w:rPr>
        <w:t>OEM_technical_limitations.pdf</w:t>
      </w:r>
      <w:r w:rsidRPr="00544518">
        <w:rPr>
          <w:color w:val="FF0000"/>
        </w:rPr>
        <w:t>.</w:t>
      </w:r>
    </w:p>
    <w:p w14:paraId="7A1CE04B" w14:textId="5543FAF6" w:rsidR="000E63C3" w:rsidRDefault="000E63C3" w:rsidP="00D2256D">
      <w:pPr>
        <w:spacing w:before="240" w:after="240"/>
        <w:ind w:left="1440"/>
      </w:pPr>
      <w:r w:rsidRPr="000E63C3">
        <w:t>(</w:t>
      </w:r>
      <w:proofErr w:type="spellStart"/>
      <w:r w:rsidRPr="000E63C3">
        <w:t>i</w:t>
      </w:r>
      <w:proofErr w:type="spellEnd"/>
      <w:r w:rsidRPr="000E63C3">
        <w:t xml:space="preserve">) If a Resource Entity cannot address the entire plant design with a letter required in </w:t>
      </w:r>
      <w:r w:rsidR="00353F0A">
        <w:t>Section</w:t>
      </w:r>
      <w:r w:rsidRPr="000E63C3">
        <w:t xml:space="preserve"> </w:t>
      </w:r>
      <w:r w:rsidR="00766589">
        <w:t>2.6.2.1</w:t>
      </w:r>
      <w:r w:rsidRPr="000E63C3">
        <w:t xml:space="preserve">(1)(g), the Resource Entity must supplement a letter from the original equipment manufacturer for its equipment (or subsequent support company if the original equipment manufacturer is no longer in business) or an engineering consulting firm by providing a notarized attestation sworn to by the Resource Entity’s highest-ranking representative, official, or officer with binding authority over the entity attesting to the efforts made to obtain the letter, why those efforts failed, and which parts of the plant design is attested to. The attestation shall also include a detailed description of the technical limitation(s) preventing the Resource from meeting the ride-through requirement, including any information on technical limitations on all or part of the Resource which the Resource Entity is able to obtain from original equipment manufacturers or an engineering consulting firm under </w:t>
      </w:r>
      <w:r w:rsidR="000D7E5F">
        <w:t>Section</w:t>
      </w:r>
      <w:r w:rsidRPr="000E63C3">
        <w:t xml:space="preserve"> (g) above</w:t>
      </w:r>
      <w:r w:rsidR="000D7E5F">
        <w:t>.</w:t>
      </w:r>
      <w:r w:rsidRPr="000E63C3">
        <w:t xml:space="preserve"> </w:t>
      </w:r>
    </w:p>
    <w:p w14:paraId="2BFC33FD" w14:textId="1114CF03" w:rsidR="00427D20" w:rsidRPr="00544518" w:rsidRDefault="00427D20" w:rsidP="00427D20">
      <w:pPr>
        <w:pStyle w:val="ListParagraph"/>
        <w:numPr>
          <w:ilvl w:val="0"/>
          <w:numId w:val="6"/>
        </w:numPr>
        <w:spacing w:before="240" w:after="240"/>
        <w:rPr>
          <w:color w:val="FF0000"/>
        </w:rPr>
      </w:pPr>
      <w:r w:rsidRPr="00544518">
        <w:rPr>
          <w:color w:val="FF0000"/>
        </w:rPr>
        <w:lastRenderedPageBreak/>
        <w:t>[Resource Entity] could not obtain a letter from the OEM addressing the entire plant</w:t>
      </w:r>
      <w:r w:rsidR="0098796F">
        <w:rPr>
          <w:color w:val="FF0000"/>
        </w:rPr>
        <w:t xml:space="preserve"> because the OEM would provide limitations only for its equipment</w:t>
      </w:r>
      <w:r w:rsidRPr="00544518">
        <w:rPr>
          <w:color w:val="FF0000"/>
        </w:rPr>
        <w:t>.</w:t>
      </w:r>
      <w:r w:rsidR="0098796F">
        <w:rPr>
          <w:color w:val="FF0000"/>
        </w:rPr>
        <w:t xml:space="preserve"> [Resource Entity] had to attest to the balance of the plant limitation related to protection system settings it cannot change because they are hard coded. </w:t>
      </w:r>
      <w:r w:rsidR="001403B4" w:rsidRPr="00544518">
        <w:rPr>
          <w:color w:val="FF0000"/>
        </w:rPr>
        <w:t>Attached is a notarized letter from [Resource Entity’s] V.P. of operations attesting to the efforts [Resource Entity] made to obtain the letter, why those efforts failed, and which parts of the plant design is attested to.</w:t>
      </w:r>
      <w:r w:rsidRPr="00544518">
        <w:rPr>
          <w:color w:val="FF0000"/>
        </w:rPr>
        <w:t xml:space="preserve"> </w:t>
      </w:r>
      <w:r w:rsidRPr="00544518">
        <w:rPr>
          <w:i/>
          <w:iCs/>
          <w:color w:val="FF0000"/>
        </w:rPr>
        <w:t>See</w:t>
      </w:r>
      <w:r w:rsidRPr="00544518">
        <w:rPr>
          <w:color w:val="FF0000"/>
        </w:rPr>
        <w:t xml:space="preserve">, </w:t>
      </w:r>
      <w:r w:rsidR="001403B4" w:rsidRPr="00544518">
        <w:rPr>
          <w:color w:val="FF0000"/>
        </w:rPr>
        <w:t xml:space="preserve">file named </w:t>
      </w:r>
      <w:r w:rsidR="001403B4" w:rsidRPr="00544518">
        <w:rPr>
          <w:i/>
          <w:iCs/>
          <w:color w:val="FF0000"/>
        </w:rPr>
        <w:t>Officer Attestation.pdf</w:t>
      </w:r>
      <w:r w:rsidR="001403B4" w:rsidRPr="00544518">
        <w:rPr>
          <w:color w:val="FF0000"/>
        </w:rPr>
        <w:t>.</w:t>
      </w:r>
    </w:p>
    <w:p w14:paraId="23802C2B" w14:textId="77777777" w:rsidR="001403B4" w:rsidRPr="000E63C3" w:rsidRDefault="001403B4" w:rsidP="001403B4">
      <w:pPr>
        <w:pStyle w:val="ListParagraph"/>
        <w:spacing w:before="240" w:after="240"/>
        <w:ind w:left="2160"/>
      </w:pPr>
    </w:p>
    <w:p w14:paraId="5ABBDC7D" w14:textId="07BFFC9C" w:rsidR="000E63C3" w:rsidRDefault="000E63C3" w:rsidP="00D2256D">
      <w:pPr>
        <w:pStyle w:val="ListParagraph"/>
        <w:numPr>
          <w:ilvl w:val="0"/>
          <w:numId w:val="1"/>
        </w:numPr>
        <w:spacing w:before="240" w:after="240"/>
      </w:pPr>
      <w:r w:rsidRPr="000E63C3">
        <w:t>Available software, firmware, settings or parameterization modifications the Resource Entity will implement to maximize the frequency ride-through capability of the IBR, Type 1 WGR or Type 2 WGR within known equipment limitations, to the greatest extent possible</w:t>
      </w:r>
      <w:r w:rsidR="007A210B">
        <w:t>:</w:t>
      </w:r>
      <w:r w:rsidRPr="000E63C3">
        <w:t xml:space="preserve"> </w:t>
      </w:r>
    </w:p>
    <w:p w14:paraId="2AD2048E" w14:textId="77777777" w:rsidR="00D2256D" w:rsidRDefault="00D2256D" w:rsidP="00D2256D">
      <w:pPr>
        <w:pStyle w:val="ListParagraph"/>
        <w:spacing w:before="240" w:after="240"/>
      </w:pPr>
    </w:p>
    <w:p w14:paraId="20A97F54" w14:textId="589265EC" w:rsidR="001403B4" w:rsidRPr="00544518" w:rsidRDefault="001403B4" w:rsidP="001403B4">
      <w:pPr>
        <w:pStyle w:val="ListParagraph"/>
        <w:numPr>
          <w:ilvl w:val="0"/>
          <w:numId w:val="6"/>
        </w:numPr>
        <w:spacing w:before="240" w:after="240"/>
        <w:ind w:left="1440"/>
        <w:rPr>
          <w:color w:val="FF0000"/>
        </w:rPr>
      </w:pPr>
      <w:r w:rsidRPr="00544518">
        <w:rPr>
          <w:color w:val="FF0000"/>
        </w:rPr>
        <w:t xml:space="preserve">[Resource Entity] will upgrade its Power Plant Controller software from V 2.11 to V 3.4 which will change anti-islanding capabilities to </w:t>
      </w:r>
      <w:r w:rsidR="0098796F">
        <w:rPr>
          <w:color w:val="FF0000"/>
        </w:rPr>
        <w:t xml:space="preserve">allow </w:t>
      </w:r>
      <w:r w:rsidRPr="00544518">
        <w:rPr>
          <w:color w:val="FF0000"/>
        </w:rPr>
        <w:t>the Resource to ride through frequency conditions beyond those defined in NOG § 2.6.2.1(1) to the maximum level the equipment allows.</w:t>
      </w:r>
    </w:p>
    <w:p w14:paraId="2F49A4F6" w14:textId="2CBFE142" w:rsidR="001403B4" w:rsidRPr="00544518" w:rsidRDefault="001403B4" w:rsidP="001403B4">
      <w:pPr>
        <w:pStyle w:val="ListParagraph"/>
        <w:numPr>
          <w:ilvl w:val="0"/>
          <w:numId w:val="6"/>
        </w:numPr>
        <w:spacing w:before="240" w:after="240"/>
        <w:ind w:left="1440"/>
        <w:rPr>
          <w:color w:val="FF0000"/>
        </w:rPr>
      </w:pPr>
      <w:r w:rsidRPr="00544518">
        <w:rPr>
          <w:color w:val="FF0000"/>
        </w:rPr>
        <w:t xml:space="preserve">[Resource Entity] will upgrade its </w:t>
      </w:r>
      <w:r w:rsidR="0098796F">
        <w:rPr>
          <w:color w:val="FF0000"/>
        </w:rPr>
        <w:t>co</w:t>
      </w:r>
      <w:r w:rsidRPr="00544518">
        <w:rPr>
          <w:color w:val="FF0000"/>
        </w:rPr>
        <w:t>nverter firmware from V 1.6 to V 1.8 which will allow the Resource to not reduce active current injection during frequency conditions requiring ride-through.</w:t>
      </w:r>
    </w:p>
    <w:p w14:paraId="3F7FE1E2" w14:textId="77777777" w:rsidR="001403B4" w:rsidRDefault="001403B4" w:rsidP="00D2256D">
      <w:pPr>
        <w:pStyle w:val="ListParagraph"/>
        <w:spacing w:before="240" w:after="240"/>
      </w:pPr>
    </w:p>
    <w:p w14:paraId="11BBB96B" w14:textId="0168398D" w:rsidR="0062491C" w:rsidRDefault="000E63C3" w:rsidP="0062491C">
      <w:pPr>
        <w:pStyle w:val="ListParagraph"/>
        <w:numPr>
          <w:ilvl w:val="0"/>
          <w:numId w:val="1"/>
        </w:numPr>
        <w:spacing w:before="240" w:after="240"/>
      </w:pPr>
      <w:r w:rsidRPr="000E63C3">
        <w:t>To the extent the Resource Entity chooses to implement changes to existing equipment other than software, firmware, settings or parameterization</w:t>
      </w:r>
      <w:r>
        <w:t xml:space="preserve"> </w:t>
      </w:r>
      <w:r w:rsidRPr="000E63C3">
        <w:t>modifications that increase the frequency ride-through capability, identification of any such equipment modifications</w:t>
      </w:r>
      <w:r w:rsidR="007A210B">
        <w:t>:</w:t>
      </w:r>
      <w:r w:rsidRPr="000E63C3">
        <w:t xml:space="preserve"> </w:t>
      </w:r>
    </w:p>
    <w:p w14:paraId="466AA88F" w14:textId="77777777" w:rsidR="0062491C" w:rsidRDefault="0062491C" w:rsidP="0062491C">
      <w:pPr>
        <w:pStyle w:val="ListParagraph"/>
      </w:pPr>
    </w:p>
    <w:p w14:paraId="418D8C93" w14:textId="52083C84" w:rsidR="001403B4" w:rsidRPr="00544518" w:rsidRDefault="001403B4" w:rsidP="001403B4">
      <w:pPr>
        <w:pStyle w:val="ListParagraph"/>
        <w:numPr>
          <w:ilvl w:val="0"/>
          <w:numId w:val="7"/>
        </w:numPr>
        <w:rPr>
          <w:color w:val="FF0000"/>
        </w:rPr>
      </w:pPr>
      <w:r w:rsidRPr="00544518">
        <w:rPr>
          <w:color w:val="FF0000"/>
        </w:rPr>
        <w:t xml:space="preserve">[Resource Entity] intends to replace its existing Uninterruptible Power Supply </w:t>
      </w:r>
      <w:r w:rsidR="00F71B53" w:rsidRPr="00544518">
        <w:rPr>
          <w:color w:val="FF0000"/>
        </w:rPr>
        <w:t xml:space="preserve">which will allow the Resource to not experience </w:t>
      </w:r>
      <w:r w:rsidRPr="00544518">
        <w:rPr>
          <w:color w:val="FF0000"/>
        </w:rPr>
        <w:t xml:space="preserve">momentary cessation. </w:t>
      </w:r>
    </w:p>
    <w:p w14:paraId="0F733309" w14:textId="77777777" w:rsidR="001403B4" w:rsidRDefault="001403B4" w:rsidP="0062491C">
      <w:pPr>
        <w:pStyle w:val="ListParagraph"/>
      </w:pPr>
    </w:p>
    <w:p w14:paraId="0450AF3E" w14:textId="4CA4ADE3" w:rsidR="0062491C" w:rsidRDefault="000E63C3" w:rsidP="00544518">
      <w:pPr>
        <w:pStyle w:val="ListParagraph"/>
        <w:numPr>
          <w:ilvl w:val="0"/>
          <w:numId w:val="1"/>
        </w:numPr>
        <w:spacing w:before="240" w:after="240"/>
      </w:pPr>
      <w:r w:rsidRPr="000E63C3">
        <w:t>Expected post-modification Resource capability in a format similar to the table in Section 2.6.2.1</w:t>
      </w:r>
      <w:r w:rsidR="006A6D77">
        <w:t>(1)</w:t>
      </w:r>
      <w:r w:rsidRPr="000E63C3">
        <w:t xml:space="preserve"> and documentation of any expected remaining limitation(s) following implementation of such modifications</w:t>
      </w:r>
      <w:r w:rsidR="007A210B">
        <w:t>:</w:t>
      </w:r>
      <w:r w:rsidRPr="000E63C3">
        <w:t xml:space="preserve"> </w:t>
      </w:r>
    </w:p>
    <w:p w14:paraId="7AB7D2D2" w14:textId="791FCCAE" w:rsidR="0098796F" w:rsidRDefault="0098796F">
      <w:r>
        <w:br w:type="page"/>
      </w:r>
    </w:p>
    <w:tbl>
      <w:tblPr>
        <w:tblW w:w="6745" w:type="dxa"/>
        <w:jc w:val="center"/>
        <w:tblLook w:val="04A0" w:firstRow="1" w:lastRow="0" w:firstColumn="1" w:lastColumn="0" w:noHBand="0" w:noVBand="1"/>
      </w:tblPr>
      <w:tblGrid>
        <w:gridCol w:w="2887"/>
        <w:gridCol w:w="3858"/>
      </w:tblGrid>
      <w:tr w:rsidR="00F71B53" w:rsidRPr="00D47768" w14:paraId="62F50C2A" w14:textId="77777777" w:rsidTr="00311493">
        <w:trPr>
          <w:trHeight w:val="600"/>
          <w:jc w:val="center"/>
        </w:trPr>
        <w:tc>
          <w:tcPr>
            <w:tcW w:w="2887" w:type="dxa"/>
            <w:tcBorders>
              <w:top w:val="single" w:sz="8" w:space="0" w:color="auto"/>
              <w:left w:val="single" w:sz="4" w:space="0" w:color="auto"/>
              <w:bottom w:val="single" w:sz="4" w:space="0" w:color="auto"/>
              <w:right w:val="single" w:sz="4" w:space="0" w:color="auto"/>
            </w:tcBorders>
            <w:shd w:val="clear" w:color="auto" w:fill="CCFFFF"/>
            <w:vAlign w:val="center"/>
          </w:tcPr>
          <w:p w14:paraId="6CD35CC0" w14:textId="77777777" w:rsidR="00F71B53" w:rsidRPr="00311493" w:rsidRDefault="00F71B53" w:rsidP="00F71B53">
            <w:pPr>
              <w:spacing w:after="0" w:line="240" w:lineRule="auto"/>
              <w:ind w:hanging="720"/>
              <w:jc w:val="center"/>
              <w:rPr>
                <w:rFonts w:ascii="Calibri" w:hAnsi="Calibri" w:cs="Calibri"/>
                <w:color w:val="FF0000"/>
                <w:sz w:val="22"/>
                <w:szCs w:val="22"/>
              </w:rPr>
            </w:pPr>
            <w:r w:rsidRPr="00311493">
              <w:rPr>
                <w:rFonts w:ascii="Calibri" w:hAnsi="Calibri" w:cs="Calibri"/>
                <w:color w:val="FF0000"/>
                <w:sz w:val="22"/>
                <w:szCs w:val="22"/>
              </w:rPr>
              <w:lastRenderedPageBreak/>
              <w:t>Frequency (f) in (Hz)</w:t>
            </w:r>
          </w:p>
        </w:tc>
        <w:tc>
          <w:tcPr>
            <w:tcW w:w="3858" w:type="dxa"/>
            <w:tcBorders>
              <w:top w:val="single" w:sz="8" w:space="0" w:color="auto"/>
              <w:left w:val="single" w:sz="4" w:space="0" w:color="auto"/>
              <w:bottom w:val="single" w:sz="4" w:space="0" w:color="auto"/>
              <w:right w:val="single" w:sz="8" w:space="0" w:color="auto"/>
            </w:tcBorders>
            <w:shd w:val="clear" w:color="auto" w:fill="CCFFFF"/>
            <w:vAlign w:val="center"/>
          </w:tcPr>
          <w:p w14:paraId="4A8171BC" w14:textId="5CC99112" w:rsidR="00F71B53" w:rsidRPr="00311493" w:rsidRDefault="00F71B53" w:rsidP="00311493">
            <w:pPr>
              <w:spacing w:after="0" w:line="240" w:lineRule="auto"/>
              <w:jc w:val="center"/>
              <w:rPr>
                <w:rFonts w:ascii="Calibri" w:hAnsi="Calibri" w:cs="Calibri"/>
                <w:color w:val="FF0000"/>
                <w:sz w:val="22"/>
                <w:szCs w:val="22"/>
              </w:rPr>
            </w:pPr>
            <w:r w:rsidRPr="00311493">
              <w:rPr>
                <w:rFonts w:ascii="Calibri" w:hAnsi="Calibri" w:cs="Calibri"/>
                <w:color w:val="FF0000"/>
                <w:sz w:val="22"/>
                <w:szCs w:val="22"/>
              </w:rPr>
              <w:t>Minimum Ride-Through Time</w:t>
            </w:r>
            <w:r w:rsidR="00311493">
              <w:rPr>
                <w:rFonts w:ascii="Calibri" w:hAnsi="Calibri" w:cs="Calibri"/>
                <w:color w:val="FF0000"/>
                <w:sz w:val="22"/>
                <w:szCs w:val="22"/>
              </w:rPr>
              <w:t xml:space="preserve"> </w:t>
            </w:r>
            <w:r w:rsidRPr="00311493">
              <w:rPr>
                <w:rFonts w:ascii="Calibri" w:hAnsi="Calibri" w:cs="Calibri"/>
                <w:color w:val="FF0000"/>
                <w:sz w:val="22"/>
                <w:szCs w:val="22"/>
              </w:rPr>
              <w:t>(seconds)</w:t>
            </w:r>
          </w:p>
        </w:tc>
      </w:tr>
      <w:tr w:rsidR="00F71B53" w:rsidRPr="00D47768" w14:paraId="7309D06C" w14:textId="77777777" w:rsidTr="00311493">
        <w:trPr>
          <w:trHeight w:val="300"/>
          <w:jc w:val="center"/>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6DE0A369" w14:textId="77777777" w:rsidR="00F71B53" w:rsidRPr="00311493" w:rsidRDefault="00F71B53" w:rsidP="00F71B53">
            <w:pPr>
              <w:spacing w:after="0" w:line="240" w:lineRule="auto"/>
              <w:jc w:val="center"/>
              <w:rPr>
                <w:rFonts w:ascii="Calibri" w:hAnsi="Calibri" w:cs="Calibri"/>
                <w:color w:val="FF0000"/>
                <w:sz w:val="22"/>
                <w:szCs w:val="22"/>
              </w:rPr>
            </w:pPr>
            <w:r w:rsidRPr="00311493">
              <w:rPr>
                <w:rFonts w:ascii="Calibri" w:hAnsi="Calibri" w:cs="Calibri"/>
                <w:color w:val="FF0000"/>
                <w:sz w:val="22"/>
                <w:szCs w:val="22"/>
              </w:rPr>
              <w:t>f &gt; 61.8</w:t>
            </w:r>
          </w:p>
        </w:tc>
        <w:tc>
          <w:tcPr>
            <w:tcW w:w="3858" w:type="dxa"/>
            <w:tcBorders>
              <w:top w:val="single" w:sz="4" w:space="0" w:color="auto"/>
              <w:left w:val="nil"/>
              <w:bottom w:val="single" w:sz="4" w:space="0" w:color="auto"/>
              <w:right w:val="single" w:sz="8" w:space="0" w:color="000000"/>
            </w:tcBorders>
            <w:shd w:val="clear" w:color="auto" w:fill="DEEAF6"/>
            <w:vAlign w:val="center"/>
          </w:tcPr>
          <w:p w14:paraId="5DE9F285" w14:textId="7528B9FB" w:rsidR="00F71B53" w:rsidRPr="00311493" w:rsidRDefault="00F71B53" w:rsidP="00F71B53">
            <w:pPr>
              <w:spacing w:after="0" w:line="240" w:lineRule="auto"/>
              <w:jc w:val="center"/>
              <w:rPr>
                <w:rFonts w:ascii="Calibri" w:hAnsi="Calibri" w:cs="Calibri"/>
                <w:color w:val="FF0000"/>
                <w:sz w:val="22"/>
                <w:szCs w:val="22"/>
              </w:rPr>
            </w:pPr>
            <w:r w:rsidRPr="00311493">
              <w:rPr>
                <w:rFonts w:ascii="Calibri" w:hAnsi="Calibri" w:cs="Calibri"/>
                <w:color w:val="FF0000"/>
                <w:sz w:val="22"/>
                <w:szCs w:val="22"/>
              </w:rPr>
              <w:t>Trips at ≥61.9 Hz</w:t>
            </w:r>
          </w:p>
        </w:tc>
      </w:tr>
      <w:tr w:rsidR="00F71B53" w:rsidRPr="00D47768" w14:paraId="13F9480B" w14:textId="77777777" w:rsidTr="00311493">
        <w:trPr>
          <w:trHeight w:val="300"/>
          <w:jc w:val="center"/>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5A8DC5F4" w14:textId="77777777" w:rsidR="00F71B53" w:rsidRPr="00311493" w:rsidRDefault="00F71B53" w:rsidP="00F71B53">
            <w:pPr>
              <w:spacing w:after="0" w:line="240" w:lineRule="auto"/>
              <w:jc w:val="center"/>
              <w:rPr>
                <w:rFonts w:ascii="Calibri" w:hAnsi="Calibri" w:cs="Calibri"/>
                <w:color w:val="FF0000"/>
                <w:sz w:val="22"/>
                <w:szCs w:val="22"/>
              </w:rPr>
            </w:pPr>
            <w:r w:rsidRPr="00311493">
              <w:rPr>
                <w:rFonts w:ascii="Calibri" w:hAnsi="Calibri" w:cs="Calibri"/>
                <w:color w:val="FF0000"/>
                <w:sz w:val="22"/>
                <w:szCs w:val="22"/>
              </w:rPr>
              <w:t>61.6 &lt; f ≤ 61.8</w:t>
            </w:r>
          </w:p>
        </w:tc>
        <w:tc>
          <w:tcPr>
            <w:tcW w:w="3858" w:type="dxa"/>
            <w:tcBorders>
              <w:top w:val="nil"/>
              <w:left w:val="single" w:sz="4" w:space="0" w:color="auto"/>
              <w:bottom w:val="single" w:sz="4" w:space="0" w:color="auto"/>
              <w:right w:val="single" w:sz="8" w:space="0" w:color="auto"/>
            </w:tcBorders>
            <w:shd w:val="clear" w:color="auto" w:fill="DEEAF6"/>
            <w:vAlign w:val="center"/>
          </w:tcPr>
          <w:p w14:paraId="0BF01243" w14:textId="3642F816" w:rsidR="00F71B53" w:rsidRPr="00311493" w:rsidRDefault="00F71B53" w:rsidP="00F71B53">
            <w:pPr>
              <w:spacing w:after="0" w:line="240" w:lineRule="auto"/>
              <w:jc w:val="center"/>
              <w:rPr>
                <w:rFonts w:ascii="Calibri" w:hAnsi="Calibri" w:cs="Calibri"/>
                <w:color w:val="FF0000"/>
                <w:sz w:val="22"/>
                <w:szCs w:val="22"/>
              </w:rPr>
            </w:pPr>
            <w:r w:rsidRPr="00311493">
              <w:rPr>
                <w:rFonts w:ascii="Calibri" w:hAnsi="Calibri" w:cs="Calibri"/>
                <w:color w:val="FF0000"/>
                <w:sz w:val="22"/>
                <w:szCs w:val="22"/>
              </w:rPr>
              <w:t>350</w:t>
            </w:r>
          </w:p>
        </w:tc>
      </w:tr>
      <w:tr w:rsidR="00F71B53" w:rsidRPr="00D47768" w14:paraId="014EDB4B" w14:textId="77777777" w:rsidTr="00311493">
        <w:trPr>
          <w:trHeight w:val="300"/>
          <w:jc w:val="center"/>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5D4D8E35" w14:textId="77777777" w:rsidR="00F71B53" w:rsidRPr="00311493" w:rsidRDefault="00F71B53" w:rsidP="00F71B53">
            <w:pPr>
              <w:spacing w:after="0" w:line="240" w:lineRule="auto"/>
              <w:jc w:val="center"/>
              <w:rPr>
                <w:rFonts w:ascii="Calibri" w:hAnsi="Calibri" w:cs="Calibri"/>
                <w:color w:val="FF0000"/>
                <w:sz w:val="22"/>
                <w:szCs w:val="22"/>
              </w:rPr>
            </w:pPr>
            <w:r w:rsidRPr="00311493">
              <w:rPr>
                <w:rFonts w:ascii="Calibri" w:hAnsi="Calibri" w:cs="Calibri"/>
                <w:color w:val="FF0000"/>
                <w:sz w:val="22"/>
                <w:szCs w:val="22"/>
              </w:rPr>
              <w:t>61.2 &lt; f ≤ 61.6</w:t>
            </w:r>
          </w:p>
        </w:tc>
        <w:tc>
          <w:tcPr>
            <w:tcW w:w="3858" w:type="dxa"/>
            <w:tcBorders>
              <w:top w:val="nil"/>
              <w:left w:val="single" w:sz="4" w:space="0" w:color="auto"/>
              <w:bottom w:val="single" w:sz="4" w:space="0" w:color="auto"/>
              <w:right w:val="single" w:sz="8" w:space="0" w:color="auto"/>
            </w:tcBorders>
            <w:shd w:val="clear" w:color="auto" w:fill="DDEBF7"/>
            <w:vAlign w:val="center"/>
          </w:tcPr>
          <w:p w14:paraId="03557AA6" w14:textId="2C383708" w:rsidR="00F71B53" w:rsidRPr="00311493" w:rsidRDefault="00F71B53" w:rsidP="00F71B53">
            <w:pPr>
              <w:spacing w:after="0" w:line="240" w:lineRule="auto"/>
              <w:jc w:val="center"/>
              <w:rPr>
                <w:rFonts w:ascii="Calibri" w:hAnsi="Calibri" w:cs="Calibri"/>
                <w:color w:val="FF0000"/>
                <w:sz w:val="22"/>
                <w:szCs w:val="22"/>
              </w:rPr>
            </w:pPr>
            <w:r w:rsidRPr="00311493">
              <w:rPr>
                <w:rFonts w:ascii="Calibri" w:hAnsi="Calibri" w:cs="Calibri"/>
                <w:color w:val="FF0000"/>
                <w:sz w:val="22"/>
                <w:szCs w:val="22"/>
              </w:rPr>
              <w:t>600</w:t>
            </w:r>
          </w:p>
        </w:tc>
      </w:tr>
      <w:tr w:rsidR="00F71B53" w:rsidRPr="00D47768" w14:paraId="76582795" w14:textId="77777777" w:rsidTr="00311493">
        <w:trPr>
          <w:trHeight w:val="300"/>
          <w:jc w:val="center"/>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493F8D6F" w14:textId="77777777" w:rsidR="00F71B53" w:rsidRPr="00311493" w:rsidRDefault="00F71B53" w:rsidP="00F71B53">
            <w:pPr>
              <w:spacing w:after="0" w:line="240" w:lineRule="auto"/>
              <w:jc w:val="center"/>
              <w:rPr>
                <w:rFonts w:ascii="Calibri" w:hAnsi="Calibri" w:cs="Calibri"/>
                <w:color w:val="FF0000"/>
                <w:sz w:val="22"/>
                <w:szCs w:val="22"/>
              </w:rPr>
            </w:pPr>
            <w:r w:rsidRPr="00311493">
              <w:rPr>
                <w:rFonts w:ascii="Calibri" w:hAnsi="Calibri" w:cs="Calibri"/>
                <w:color w:val="FF0000"/>
                <w:sz w:val="22"/>
                <w:szCs w:val="22"/>
              </w:rPr>
              <w:t>58.8 ≤ f ≤ 61.2</w:t>
            </w:r>
          </w:p>
        </w:tc>
        <w:tc>
          <w:tcPr>
            <w:tcW w:w="3858" w:type="dxa"/>
            <w:tcBorders>
              <w:top w:val="nil"/>
              <w:left w:val="single" w:sz="4" w:space="0" w:color="auto"/>
              <w:bottom w:val="single" w:sz="4" w:space="0" w:color="auto"/>
              <w:right w:val="single" w:sz="8" w:space="0" w:color="auto"/>
            </w:tcBorders>
            <w:shd w:val="clear" w:color="auto" w:fill="DEEAF6"/>
            <w:vAlign w:val="center"/>
          </w:tcPr>
          <w:p w14:paraId="2621B637" w14:textId="06C38402" w:rsidR="00F71B53" w:rsidRPr="00311493" w:rsidRDefault="00F71B53" w:rsidP="00F71B53">
            <w:pPr>
              <w:spacing w:after="0" w:line="240" w:lineRule="auto"/>
              <w:jc w:val="center"/>
              <w:rPr>
                <w:rFonts w:ascii="Calibri" w:hAnsi="Calibri" w:cs="Calibri"/>
                <w:color w:val="FF0000"/>
                <w:sz w:val="22"/>
                <w:szCs w:val="22"/>
              </w:rPr>
            </w:pPr>
            <w:r w:rsidRPr="00311493">
              <w:rPr>
                <w:rFonts w:ascii="Calibri" w:hAnsi="Calibri" w:cs="Calibri"/>
                <w:color w:val="FF0000"/>
                <w:sz w:val="22"/>
                <w:szCs w:val="22"/>
              </w:rPr>
              <w:t>Continuous</w:t>
            </w:r>
          </w:p>
        </w:tc>
      </w:tr>
      <w:tr w:rsidR="00F71B53" w:rsidRPr="00D47768" w14:paraId="5164D22D" w14:textId="77777777" w:rsidTr="00311493">
        <w:trPr>
          <w:trHeight w:val="300"/>
          <w:jc w:val="center"/>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2EF36389" w14:textId="77777777" w:rsidR="00F71B53" w:rsidRPr="00311493" w:rsidRDefault="00F71B53" w:rsidP="00F71B53">
            <w:pPr>
              <w:spacing w:after="0" w:line="240" w:lineRule="auto"/>
              <w:jc w:val="center"/>
              <w:rPr>
                <w:rFonts w:ascii="Calibri" w:hAnsi="Calibri" w:cs="Calibri"/>
                <w:color w:val="FF0000"/>
                <w:sz w:val="22"/>
                <w:szCs w:val="22"/>
              </w:rPr>
            </w:pPr>
            <w:r w:rsidRPr="00311493">
              <w:rPr>
                <w:rFonts w:ascii="Calibri" w:hAnsi="Calibri" w:cs="Calibri"/>
                <w:color w:val="FF0000"/>
                <w:sz w:val="22"/>
                <w:szCs w:val="22"/>
              </w:rPr>
              <w:t>58.4 ≤ f &lt; 58.8</w:t>
            </w:r>
          </w:p>
        </w:tc>
        <w:tc>
          <w:tcPr>
            <w:tcW w:w="3858" w:type="dxa"/>
            <w:tcBorders>
              <w:top w:val="nil"/>
              <w:left w:val="single" w:sz="4" w:space="0" w:color="auto"/>
              <w:bottom w:val="single" w:sz="4" w:space="0" w:color="auto"/>
              <w:right w:val="single" w:sz="8" w:space="0" w:color="auto"/>
            </w:tcBorders>
            <w:shd w:val="clear" w:color="auto" w:fill="DEEAF6"/>
            <w:vAlign w:val="center"/>
          </w:tcPr>
          <w:p w14:paraId="4A3E4188" w14:textId="225EEAE1" w:rsidR="00F71B53" w:rsidRPr="00311493" w:rsidRDefault="00F71B53" w:rsidP="00F71B53">
            <w:pPr>
              <w:spacing w:after="0" w:line="240" w:lineRule="auto"/>
              <w:jc w:val="center"/>
              <w:rPr>
                <w:rFonts w:ascii="Calibri" w:hAnsi="Calibri" w:cs="Calibri"/>
                <w:color w:val="FF0000"/>
                <w:sz w:val="22"/>
                <w:szCs w:val="22"/>
              </w:rPr>
            </w:pPr>
            <w:r w:rsidRPr="00311493">
              <w:rPr>
                <w:rFonts w:ascii="Calibri" w:hAnsi="Calibri" w:cs="Calibri"/>
                <w:color w:val="FF0000"/>
                <w:sz w:val="22"/>
                <w:szCs w:val="22"/>
              </w:rPr>
              <w:t>600</w:t>
            </w:r>
          </w:p>
        </w:tc>
      </w:tr>
      <w:tr w:rsidR="00F71B53" w14:paraId="5ADE4C68" w14:textId="77777777" w:rsidTr="00311493">
        <w:trPr>
          <w:trHeight w:val="300"/>
          <w:jc w:val="center"/>
        </w:trPr>
        <w:tc>
          <w:tcPr>
            <w:tcW w:w="2887" w:type="dxa"/>
            <w:tcBorders>
              <w:top w:val="single" w:sz="4" w:space="0" w:color="auto"/>
              <w:left w:val="single" w:sz="4" w:space="0" w:color="auto"/>
              <w:bottom w:val="single" w:sz="4" w:space="0" w:color="auto"/>
              <w:right w:val="single" w:sz="4" w:space="0" w:color="auto"/>
            </w:tcBorders>
            <w:shd w:val="clear" w:color="auto" w:fill="DDEBF7"/>
            <w:noWrap/>
            <w:vAlign w:val="center"/>
          </w:tcPr>
          <w:p w14:paraId="23DFE509" w14:textId="77777777" w:rsidR="00F71B53" w:rsidRPr="00311493" w:rsidRDefault="00F71B53" w:rsidP="00F71B53">
            <w:pPr>
              <w:spacing w:after="0" w:line="240" w:lineRule="auto"/>
              <w:jc w:val="center"/>
              <w:rPr>
                <w:rFonts w:ascii="Calibri" w:hAnsi="Calibri" w:cs="Calibri"/>
                <w:color w:val="FF0000"/>
                <w:sz w:val="22"/>
                <w:szCs w:val="22"/>
              </w:rPr>
            </w:pPr>
            <w:r w:rsidRPr="00311493">
              <w:rPr>
                <w:rFonts w:ascii="Calibri" w:hAnsi="Calibri" w:cs="Calibri"/>
                <w:color w:val="FF0000"/>
                <w:sz w:val="22"/>
                <w:szCs w:val="22"/>
              </w:rPr>
              <w:t>57.0 ≤ f &lt; 58.4</w:t>
            </w:r>
          </w:p>
        </w:tc>
        <w:tc>
          <w:tcPr>
            <w:tcW w:w="3858" w:type="dxa"/>
            <w:tcBorders>
              <w:top w:val="single" w:sz="4" w:space="0" w:color="auto"/>
              <w:left w:val="single" w:sz="4" w:space="0" w:color="auto"/>
              <w:bottom w:val="single" w:sz="4" w:space="0" w:color="auto"/>
              <w:right w:val="single" w:sz="4" w:space="0" w:color="auto"/>
            </w:tcBorders>
            <w:shd w:val="clear" w:color="auto" w:fill="DEEAF6"/>
            <w:vAlign w:val="center"/>
          </w:tcPr>
          <w:p w14:paraId="5F625832" w14:textId="3CA65DBF" w:rsidR="00F71B53" w:rsidRPr="00311493" w:rsidRDefault="00F71B53" w:rsidP="00F71B53">
            <w:pPr>
              <w:spacing w:after="0" w:line="240" w:lineRule="auto"/>
              <w:jc w:val="center"/>
              <w:rPr>
                <w:rFonts w:ascii="Calibri" w:hAnsi="Calibri" w:cs="Calibri"/>
                <w:color w:val="FF0000"/>
                <w:sz w:val="22"/>
                <w:szCs w:val="22"/>
              </w:rPr>
            </w:pPr>
            <w:r w:rsidRPr="00311493">
              <w:rPr>
                <w:rFonts w:ascii="Calibri" w:hAnsi="Calibri" w:cs="Calibri"/>
                <w:color w:val="FF0000"/>
                <w:sz w:val="22"/>
                <w:szCs w:val="22"/>
              </w:rPr>
              <w:t>350</w:t>
            </w:r>
          </w:p>
        </w:tc>
      </w:tr>
      <w:tr w:rsidR="00F71B53" w14:paraId="298989E3" w14:textId="77777777" w:rsidTr="00311493">
        <w:trPr>
          <w:trHeight w:val="300"/>
          <w:jc w:val="center"/>
        </w:trPr>
        <w:tc>
          <w:tcPr>
            <w:tcW w:w="2887" w:type="dxa"/>
            <w:tcBorders>
              <w:top w:val="single" w:sz="4" w:space="0" w:color="auto"/>
              <w:left w:val="single" w:sz="4" w:space="0" w:color="auto"/>
              <w:bottom w:val="single" w:sz="4" w:space="0" w:color="auto"/>
              <w:right w:val="single" w:sz="4" w:space="0" w:color="auto"/>
            </w:tcBorders>
            <w:shd w:val="clear" w:color="auto" w:fill="DDEBF7"/>
            <w:noWrap/>
            <w:vAlign w:val="center"/>
          </w:tcPr>
          <w:p w14:paraId="1D260E3F" w14:textId="77777777" w:rsidR="00F71B53" w:rsidRPr="00311493" w:rsidRDefault="00F71B53" w:rsidP="00F71B53">
            <w:pPr>
              <w:spacing w:after="0" w:line="240" w:lineRule="auto"/>
              <w:jc w:val="center"/>
              <w:rPr>
                <w:rFonts w:ascii="Calibri" w:hAnsi="Calibri" w:cs="Calibri"/>
                <w:color w:val="FF0000"/>
                <w:sz w:val="22"/>
                <w:szCs w:val="22"/>
              </w:rPr>
            </w:pPr>
            <w:r w:rsidRPr="00311493">
              <w:rPr>
                <w:rFonts w:ascii="Calibri" w:hAnsi="Calibri" w:cs="Calibri"/>
                <w:color w:val="FF0000"/>
                <w:sz w:val="22"/>
                <w:szCs w:val="22"/>
              </w:rPr>
              <w:t>f &lt; 57.0</w:t>
            </w:r>
          </w:p>
        </w:tc>
        <w:tc>
          <w:tcPr>
            <w:tcW w:w="3858" w:type="dxa"/>
            <w:tcBorders>
              <w:top w:val="single" w:sz="4" w:space="0" w:color="auto"/>
              <w:left w:val="single" w:sz="4" w:space="0" w:color="auto"/>
              <w:bottom w:val="single" w:sz="4" w:space="0" w:color="auto"/>
              <w:right w:val="single" w:sz="4" w:space="0" w:color="auto"/>
            </w:tcBorders>
            <w:shd w:val="clear" w:color="auto" w:fill="DEEAF6"/>
            <w:vAlign w:val="center"/>
          </w:tcPr>
          <w:p w14:paraId="57FD3FE8" w14:textId="65C161B6" w:rsidR="00F71B53" w:rsidRPr="00311493" w:rsidRDefault="00F71B53" w:rsidP="00F71B53">
            <w:pPr>
              <w:spacing w:after="0" w:line="240" w:lineRule="auto"/>
              <w:jc w:val="center"/>
              <w:rPr>
                <w:rFonts w:ascii="Calibri" w:hAnsi="Calibri" w:cs="Calibri"/>
                <w:color w:val="FF0000"/>
                <w:sz w:val="22"/>
                <w:szCs w:val="22"/>
              </w:rPr>
            </w:pPr>
            <w:r w:rsidRPr="00311493">
              <w:rPr>
                <w:rFonts w:ascii="Calibri" w:hAnsi="Calibri" w:cs="Calibri"/>
                <w:color w:val="FF0000"/>
                <w:sz w:val="22"/>
                <w:szCs w:val="22"/>
              </w:rPr>
              <w:t>Trips at ≤ 56.9 Hz</w:t>
            </w:r>
          </w:p>
        </w:tc>
      </w:tr>
    </w:tbl>
    <w:p w14:paraId="4F26E48B" w14:textId="77777777" w:rsidR="00F71B53" w:rsidRDefault="00F71B53" w:rsidP="0062491C">
      <w:pPr>
        <w:pStyle w:val="ListParagraph"/>
        <w:spacing w:before="240" w:after="240"/>
      </w:pPr>
    </w:p>
    <w:p w14:paraId="1165B0CF" w14:textId="17E9EDB3" w:rsidR="000E63C3" w:rsidRDefault="000E63C3" w:rsidP="00D2256D">
      <w:pPr>
        <w:pStyle w:val="ListParagraph"/>
        <w:numPr>
          <w:ilvl w:val="0"/>
          <w:numId w:val="1"/>
        </w:numPr>
        <w:spacing w:before="240" w:after="240"/>
      </w:pPr>
      <w:r w:rsidRPr="000E63C3">
        <w:t>A schedule for implementing the modification(s)</w:t>
      </w:r>
      <w:r w:rsidR="007A210B">
        <w:t>:</w:t>
      </w:r>
      <w:r w:rsidRPr="000E63C3">
        <w:t xml:space="preserve"> </w:t>
      </w:r>
    </w:p>
    <w:p w14:paraId="3AE5E333" w14:textId="77777777" w:rsidR="0062491C" w:rsidRDefault="0062491C" w:rsidP="0062491C">
      <w:pPr>
        <w:pStyle w:val="ListParagraph"/>
        <w:spacing w:before="240" w:after="240"/>
      </w:pPr>
    </w:p>
    <w:p w14:paraId="531C6228" w14:textId="48E50C53" w:rsidR="0030135E" w:rsidRPr="00311493" w:rsidRDefault="0030135E" w:rsidP="000E2AC7">
      <w:pPr>
        <w:pStyle w:val="ListParagraph"/>
        <w:widowControl w:val="0"/>
        <w:spacing w:before="120" w:after="120" w:line="240" w:lineRule="auto"/>
        <w:contextualSpacing w:val="0"/>
        <w:rPr>
          <w:color w:val="FF0000"/>
        </w:rPr>
      </w:pPr>
      <w:r w:rsidRPr="00311493">
        <w:rPr>
          <w:color w:val="FF0000"/>
        </w:rPr>
        <w:t>9/30/</w:t>
      </w:r>
      <w:r w:rsidR="00311493" w:rsidRPr="00311493">
        <w:rPr>
          <w:color w:val="FF0000"/>
        </w:rPr>
        <w:t>25: Submit model containing modified settings and parameters to ERCOT and TSP for review/approval pursuant to Planning Guide § 5.5(6)</w:t>
      </w:r>
    </w:p>
    <w:p w14:paraId="7DC574A0" w14:textId="0F1F61B1" w:rsidR="00311493" w:rsidRPr="00311493" w:rsidRDefault="00311493" w:rsidP="000E2AC7">
      <w:pPr>
        <w:pStyle w:val="ListParagraph"/>
        <w:widowControl w:val="0"/>
        <w:spacing w:before="120" w:after="120" w:line="240" w:lineRule="auto"/>
        <w:contextualSpacing w:val="0"/>
        <w:rPr>
          <w:color w:val="FF0000"/>
        </w:rPr>
      </w:pPr>
      <w:r w:rsidRPr="00311493">
        <w:rPr>
          <w:color w:val="FF0000"/>
        </w:rPr>
        <w:t>10/1/25 – 10/25/25: ERCOT review/approval of model</w:t>
      </w:r>
    </w:p>
    <w:p w14:paraId="1EA323B0" w14:textId="0C458142" w:rsidR="00F71B53" w:rsidRPr="00311493" w:rsidRDefault="00311493" w:rsidP="000E2AC7">
      <w:pPr>
        <w:pStyle w:val="ListParagraph"/>
        <w:widowControl w:val="0"/>
        <w:spacing w:before="120" w:after="120" w:line="240" w:lineRule="auto"/>
        <w:contextualSpacing w:val="0"/>
        <w:rPr>
          <w:color w:val="FF0000"/>
        </w:rPr>
      </w:pPr>
      <w:r w:rsidRPr="00311493">
        <w:rPr>
          <w:color w:val="FF0000"/>
        </w:rPr>
        <w:t>10</w:t>
      </w:r>
      <w:r w:rsidR="00F71B53" w:rsidRPr="00311493">
        <w:rPr>
          <w:color w:val="FF0000"/>
        </w:rPr>
        <w:t>/</w:t>
      </w:r>
      <w:r w:rsidRPr="00311493">
        <w:rPr>
          <w:color w:val="FF0000"/>
        </w:rPr>
        <w:t>2</w:t>
      </w:r>
      <w:r w:rsidR="00F71B53" w:rsidRPr="00311493">
        <w:rPr>
          <w:color w:val="FF0000"/>
        </w:rPr>
        <w:t>5/25 – 1</w:t>
      </w:r>
      <w:r w:rsidRPr="00311493">
        <w:rPr>
          <w:color w:val="FF0000"/>
        </w:rPr>
        <w:t>1</w:t>
      </w:r>
      <w:r w:rsidR="00F71B53" w:rsidRPr="00311493">
        <w:rPr>
          <w:color w:val="FF0000"/>
        </w:rPr>
        <w:t>/3</w:t>
      </w:r>
      <w:r w:rsidRPr="00311493">
        <w:rPr>
          <w:color w:val="FF0000"/>
        </w:rPr>
        <w:t>0</w:t>
      </w:r>
      <w:r w:rsidR="00F71B53" w:rsidRPr="00311493">
        <w:rPr>
          <w:color w:val="FF0000"/>
        </w:rPr>
        <w:t xml:space="preserve">/25: </w:t>
      </w:r>
      <w:r w:rsidR="000E2AC7">
        <w:rPr>
          <w:color w:val="FF0000"/>
        </w:rPr>
        <w:t>U</w:t>
      </w:r>
      <w:r w:rsidR="00544518" w:rsidRPr="00311493">
        <w:rPr>
          <w:color w:val="FF0000"/>
        </w:rPr>
        <w:t xml:space="preserve">pgrade </w:t>
      </w:r>
      <w:r w:rsidR="000E2AC7">
        <w:rPr>
          <w:color w:val="FF0000"/>
        </w:rPr>
        <w:t>co</w:t>
      </w:r>
      <w:r w:rsidR="00544518" w:rsidRPr="00311493">
        <w:rPr>
          <w:color w:val="FF0000"/>
        </w:rPr>
        <w:t>nverter firmware from V 1.6 to V 1.8</w:t>
      </w:r>
    </w:p>
    <w:p w14:paraId="2628A553" w14:textId="7A91A35E" w:rsidR="00544518" w:rsidRPr="00311493" w:rsidRDefault="00544518" w:rsidP="000E2AC7">
      <w:pPr>
        <w:pStyle w:val="ListParagraph"/>
        <w:widowControl w:val="0"/>
        <w:spacing w:before="120" w:after="120" w:line="240" w:lineRule="auto"/>
        <w:contextualSpacing w:val="0"/>
        <w:rPr>
          <w:color w:val="FF0000"/>
        </w:rPr>
      </w:pPr>
      <w:r w:rsidRPr="00311493">
        <w:rPr>
          <w:color w:val="FF0000"/>
        </w:rPr>
        <w:t>1</w:t>
      </w:r>
      <w:r w:rsidR="00311493" w:rsidRPr="00311493">
        <w:rPr>
          <w:color w:val="FF0000"/>
        </w:rPr>
        <w:t>1</w:t>
      </w:r>
      <w:r w:rsidRPr="00311493">
        <w:rPr>
          <w:color w:val="FF0000"/>
        </w:rPr>
        <w:t>/1</w:t>
      </w:r>
      <w:r w:rsidR="00311493" w:rsidRPr="00311493">
        <w:rPr>
          <w:color w:val="FF0000"/>
        </w:rPr>
        <w:t>5</w:t>
      </w:r>
      <w:r w:rsidRPr="00311493">
        <w:rPr>
          <w:color w:val="FF0000"/>
        </w:rPr>
        <w:t>/25 – 1</w:t>
      </w:r>
      <w:r w:rsidR="00311493" w:rsidRPr="00311493">
        <w:rPr>
          <w:color w:val="FF0000"/>
        </w:rPr>
        <w:t>2</w:t>
      </w:r>
      <w:r w:rsidRPr="00311493">
        <w:rPr>
          <w:color w:val="FF0000"/>
        </w:rPr>
        <w:t>/</w:t>
      </w:r>
      <w:r w:rsidR="00311493" w:rsidRPr="00311493">
        <w:rPr>
          <w:color w:val="FF0000"/>
        </w:rPr>
        <w:t>15</w:t>
      </w:r>
      <w:r w:rsidRPr="00311493">
        <w:rPr>
          <w:color w:val="FF0000"/>
        </w:rPr>
        <w:t xml:space="preserve">/25: </w:t>
      </w:r>
      <w:r w:rsidR="000E2AC7">
        <w:rPr>
          <w:color w:val="FF0000"/>
        </w:rPr>
        <w:t>U</w:t>
      </w:r>
      <w:r w:rsidRPr="00311493">
        <w:rPr>
          <w:color w:val="FF0000"/>
        </w:rPr>
        <w:t>pgrade Power Plant Controller software from V 2.11 to V 3.4</w:t>
      </w:r>
    </w:p>
    <w:p w14:paraId="5770BDFC" w14:textId="35F70137" w:rsidR="00544518" w:rsidRPr="00311493" w:rsidRDefault="00544518" w:rsidP="000E2AC7">
      <w:pPr>
        <w:pStyle w:val="ListParagraph"/>
        <w:widowControl w:val="0"/>
        <w:spacing w:before="120" w:after="120" w:line="240" w:lineRule="auto"/>
        <w:contextualSpacing w:val="0"/>
        <w:rPr>
          <w:color w:val="FF0000"/>
        </w:rPr>
      </w:pPr>
      <w:r w:rsidRPr="00311493">
        <w:rPr>
          <w:color w:val="FF0000"/>
        </w:rPr>
        <w:t>1</w:t>
      </w:r>
      <w:r w:rsidR="00311493" w:rsidRPr="00311493">
        <w:rPr>
          <w:color w:val="FF0000"/>
        </w:rPr>
        <w:t>2</w:t>
      </w:r>
      <w:r w:rsidRPr="00311493">
        <w:rPr>
          <w:color w:val="FF0000"/>
        </w:rPr>
        <w:t>/</w:t>
      </w:r>
      <w:r w:rsidR="00311493" w:rsidRPr="00311493">
        <w:rPr>
          <w:color w:val="FF0000"/>
        </w:rPr>
        <w:t>1</w:t>
      </w:r>
      <w:r w:rsidRPr="00311493">
        <w:rPr>
          <w:color w:val="FF0000"/>
        </w:rPr>
        <w:t xml:space="preserve">/25 – 1/15/26: </w:t>
      </w:r>
      <w:r w:rsidR="000E2AC7">
        <w:rPr>
          <w:color w:val="FF0000"/>
        </w:rPr>
        <w:t>I</w:t>
      </w:r>
      <w:r w:rsidRPr="00311493">
        <w:rPr>
          <w:color w:val="FF0000"/>
        </w:rPr>
        <w:t>mplement protection setting changes</w:t>
      </w:r>
      <w:r w:rsidR="000E2AC7">
        <w:rPr>
          <w:color w:val="FF0000"/>
        </w:rPr>
        <w:t xml:space="preserve"> to </w:t>
      </w:r>
      <w:r w:rsidR="000E2AC7" w:rsidRPr="000E2AC7">
        <w:rPr>
          <w:color w:val="FF0000"/>
        </w:rPr>
        <w:t xml:space="preserve">ensure the Resource’s frequency ride-through capability is set to the maximum level the equipment allows to meet or exceed the requirements of </w:t>
      </w:r>
      <w:r w:rsidR="000E2AC7">
        <w:rPr>
          <w:color w:val="FF0000"/>
        </w:rPr>
        <w:t>NOG Sec. 2.6.2.1</w:t>
      </w:r>
      <w:r w:rsidR="000E2AC7" w:rsidRPr="000E2AC7">
        <w:rPr>
          <w:color w:val="FF0000"/>
        </w:rPr>
        <w:t xml:space="preserve">(1) </w:t>
      </w:r>
      <w:r w:rsidR="000E2AC7">
        <w:rPr>
          <w:color w:val="FF0000"/>
        </w:rPr>
        <w:t>-</w:t>
      </w:r>
      <w:r w:rsidR="000E2AC7" w:rsidRPr="000E2AC7">
        <w:rPr>
          <w:color w:val="FF0000"/>
        </w:rPr>
        <w:t xml:space="preserve"> (5)</w:t>
      </w:r>
      <w:r w:rsidR="000E2AC7">
        <w:rPr>
          <w:color w:val="FF0000"/>
        </w:rPr>
        <w:t xml:space="preserve"> as required in NOG Sec. 2.6.2.1(6)</w:t>
      </w:r>
    </w:p>
    <w:p w14:paraId="66C5C8CF" w14:textId="04CFD93D" w:rsidR="00F71B53" w:rsidRPr="00311493" w:rsidRDefault="00F71B53" w:rsidP="000E2AC7">
      <w:pPr>
        <w:pStyle w:val="ListParagraph"/>
        <w:widowControl w:val="0"/>
        <w:spacing w:before="120" w:after="120" w:line="240" w:lineRule="auto"/>
        <w:contextualSpacing w:val="0"/>
        <w:rPr>
          <w:color w:val="FF0000"/>
        </w:rPr>
      </w:pPr>
      <w:r w:rsidRPr="00311493">
        <w:rPr>
          <w:color w:val="FF0000"/>
        </w:rPr>
        <w:t xml:space="preserve">1/15/26: </w:t>
      </w:r>
      <w:r w:rsidR="000E2AC7">
        <w:rPr>
          <w:color w:val="FF0000"/>
        </w:rPr>
        <w:t>S</w:t>
      </w:r>
      <w:r w:rsidR="00544518" w:rsidRPr="00311493">
        <w:rPr>
          <w:color w:val="FF0000"/>
        </w:rPr>
        <w:t xml:space="preserve">ubmit </w:t>
      </w:r>
      <w:r w:rsidR="00311493" w:rsidRPr="00311493">
        <w:rPr>
          <w:color w:val="FF0000"/>
        </w:rPr>
        <w:t>as-buil</w:t>
      </w:r>
      <w:r w:rsidR="00CB6A28">
        <w:rPr>
          <w:color w:val="FF0000"/>
        </w:rPr>
        <w:t>t</w:t>
      </w:r>
      <w:r w:rsidR="00311493" w:rsidRPr="00311493">
        <w:rPr>
          <w:color w:val="FF0000"/>
        </w:rPr>
        <w:t xml:space="preserve"> data to ERCOT pursuant to Planning Guide</w:t>
      </w:r>
    </w:p>
    <w:p w14:paraId="37910323" w14:textId="77777777" w:rsidR="00311493" w:rsidRDefault="00311493" w:rsidP="0062491C">
      <w:pPr>
        <w:pStyle w:val="ListParagraph"/>
        <w:spacing w:before="240" w:after="240"/>
      </w:pPr>
    </w:p>
    <w:p w14:paraId="053CA169" w14:textId="265F8E61" w:rsidR="000E63C3" w:rsidRDefault="000E63C3" w:rsidP="00D2256D">
      <w:pPr>
        <w:pStyle w:val="ListParagraph"/>
        <w:numPr>
          <w:ilvl w:val="0"/>
          <w:numId w:val="1"/>
        </w:numPr>
        <w:spacing w:before="240" w:after="240"/>
      </w:pPr>
      <w:r w:rsidRPr="000E63C3">
        <w:t>A model accurately representing expected performance reflecting all technical limitations, or a statement that there are no new models available other than what is currently submitted to ERCOT that already reflect all technical limitations in frequency ride-through capability</w:t>
      </w:r>
      <w:r w:rsidR="007A210B">
        <w:t>:</w:t>
      </w:r>
      <w:r w:rsidR="00766589">
        <w:tab/>
      </w:r>
    </w:p>
    <w:p w14:paraId="4EE41981" w14:textId="77777777" w:rsidR="0062491C" w:rsidRDefault="0062491C" w:rsidP="0062491C">
      <w:pPr>
        <w:pStyle w:val="ListParagraph"/>
        <w:spacing w:before="240" w:after="240"/>
      </w:pPr>
    </w:p>
    <w:p w14:paraId="7EC8AD99" w14:textId="5FF761E5" w:rsidR="00E43AEB" w:rsidRPr="00E43AEB" w:rsidRDefault="00073E9D" w:rsidP="00E43AEB">
      <w:pPr>
        <w:pStyle w:val="ListParagraph"/>
        <w:numPr>
          <w:ilvl w:val="0"/>
          <w:numId w:val="7"/>
        </w:numPr>
        <w:spacing w:before="240" w:after="240"/>
      </w:pPr>
      <w:r>
        <w:rPr>
          <w:color w:val="FF0000"/>
        </w:rPr>
        <w:t>A NOGRR245 Maximized m</w:t>
      </w:r>
      <w:r w:rsidRPr="00E43AEB">
        <w:rPr>
          <w:color w:val="FF0000"/>
        </w:rPr>
        <w:t xml:space="preserve">odel </w:t>
      </w:r>
      <w:r w:rsidR="00E43AEB" w:rsidRPr="00E43AEB">
        <w:rPr>
          <w:color w:val="FF0000"/>
        </w:rPr>
        <w:t>was submitted in RIOO with Change Request #CR123</w:t>
      </w:r>
    </w:p>
    <w:p w14:paraId="1307517A" w14:textId="77777777" w:rsidR="00E43AEB" w:rsidRDefault="00E43AEB" w:rsidP="00E43AEB">
      <w:pPr>
        <w:pStyle w:val="ListParagraph"/>
        <w:spacing w:before="240" w:after="240"/>
        <w:ind w:left="1440"/>
      </w:pPr>
    </w:p>
    <w:p w14:paraId="6F23834E" w14:textId="2049EBB4" w:rsidR="000E63C3" w:rsidRDefault="000E63C3" w:rsidP="0062491C">
      <w:pPr>
        <w:pStyle w:val="ListParagraph"/>
        <w:numPr>
          <w:ilvl w:val="0"/>
          <w:numId w:val="1"/>
        </w:numPr>
        <w:spacing w:before="240" w:after="240"/>
        <w:ind w:left="810" w:hanging="450"/>
      </w:pPr>
      <w:r w:rsidRPr="000E63C3">
        <w:t>A description of any limitation that cannot be accurately represented in a model</w:t>
      </w:r>
      <w:r w:rsidR="007A210B">
        <w:t>:</w:t>
      </w:r>
    </w:p>
    <w:p w14:paraId="1E92D70D" w14:textId="696E9FBD" w:rsidR="007A210B" w:rsidRDefault="00311493" w:rsidP="00311493">
      <w:pPr>
        <w:pStyle w:val="ListParagraph"/>
        <w:numPr>
          <w:ilvl w:val="0"/>
          <w:numId w:val="7"/>
        </w:numPr>
      </w:pPr>
      <w:r w:rsidRPr="00311493">
        <w:rPr>
          <w:color w:val="FF0000"/>
        </w:rPr>
        <w:t xml:space="preserve">[Resource Entity] cannot accurately represent the phase </w:t>
      </w:r>
      <w:r w:rsidRPr="00544518">
        <w:rPr>
          <w:color w:val="FF0000"/>
        </w:rPr>
        <w:t xml:space="preserve">angle jump </w:t>
      </w:r>
      <w:r>
        <w:rPr>
          <w:color w:val="FF0000"/>
        </w:rPr>
        <w:t xml:space="preserve">technical limitation in the model because the method for the </w:t>
      </w:r>
      <w:r w:rsidRPr="00544518">
        <w:rPr>
          <w:color w:val="FF0000"/>
        </w:rPr>
        <w:t xml:space="preserve">inverter controls </w:t>
      </w:r>
      <w:r>
        <w:rPr>
          <w:color w:val="FF0000"/>
        </w:rPr>
        <w:t xml:space="preserve">to </w:t>
      </w:r>
      <w:r w:rsidRPr="00544518">
        <w:rPr>
          <w:color w:val="FF0000"/>
        </w:rPr>
        <w:t xml:space="preserve">disconnect individual turbines during frequency conditions where ride-through is required </w:t>
      </w:r>
      <w:r>
        <w:rPr>
          <w:color w:val="FF0000"/>
        </w:rPr>
        <w:t>cannot be shown in PSCAD because [explain].</w:t>
      </w:r>
    </w:p>
    <w:sectPr w:rsidR="007A210B">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7072B2" w14:textId="77777777" w:rsidR="00207108" w:rsidRDefault="00207108" w:rsidP="006A6D77">
      <w:pPr>
        <w:spacing w:after="0" w:line="240" w:lineRule="auto"/>
      </w:pPr>
      <w:r>
        <w:separator/>
      </w:r>
    </w:p>
  </w:endnote>
  <w:endnote w:type="continuationSeparator" w:id="0">
    <w:p w14:paraId="4AB640CF" w14:textId="77777777" w:rsidR="00207108" w:rsidRDefault="00207108" w:rsidP="006A6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1502784"/>
      <w:docPartObj>
        <w:docPartGallery w:val="Page Numbers (Bottom of Page)"/>
        <w:docPartUnique/>
      </w:docPartObj>
    </w:sdtPr>
    <w:sdtEndPr>
      <w:rPr>
        <w:noProof/>
      </w:rPr>
    </w:sdtEndPr>
    <w:sdtContent>
      <w:p w14:paraId="54C6B2B9" w14:textId="040EFBED" w:rsidR="006A6D77" w:rsidRDefault="006A6D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67AC275" w14:textId="77777777" w:rsidR="006A6D77" w:rsidRDefault="006A6D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F65C4A" w14:textId="77777777" w:rsidR="00207108" w:rsidRDefault="00207108" w:rsidP="006A6D77">
      <w:pPr>
        <w:spacing w:after="0" w:line="240" w:lineRule="auto"/>
      </w:pPr>
      <w:r>
        <w:separator/>
      </w:r>
    </w:p>
  </w:footnote>
  <w:footnote w:type="continuationSeparator" w:id="0">
    <w:p w14:paraId="3E7CB470" w14:textId="77777777" w:rsidR="00207108" w:rsidRDefault="00207108" w:rsidP="006A6D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F1E39"/>
    <w:multiLevelType w:val="hybridMultilevel"/>
    <w:tmpl w:val="2E48F86E"/>
    <w:lvl w:ilvl="0" w:tplc="A16421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04FF7"/>
    <w:multiLevelType w:val="hybridMultilevel"/>
    <w:tmpl w:val="89E21B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CF67CC5"/>
    <w:multiLevelType w:val="hybridMultilevel"/>
    <w:tmpl w:val="15E8CB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2D5023F"/>
    <w:multiLevelType w:val="hybridMultilevel"/>
    <w:tmpl w:val="4446B8E4"/>
    <w:lvl w:ilvl="0" w:tplc="A16421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F41A15"/>
    <w:multiLevelType w:val="hybridMultilevel"/>
    <w:tmpl w:val="C6F6755A"/>
    <w:lvl w:ilvl="0" w:tplc="A16421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133C29"/>
    <w:multiLevelType w:val="hybridMultilevel"/>
    <w:tmpl w:val="7878F8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FF92BB9"/>
    <w:multiLevelType w:val="hybridMultilevel"/>
    <w:tmpl w:val="269EDF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68770499">
    <w:abstractNumId w:val="4"/>
  </w:num>
  <w:num w:numId="2" w16cid:durableId="583534098">
    <w:abstractNumId w:val="3"/>
  </w:num>
  <w:num w:numId="3" w16cid:durableId="2000034623">
    <w:abstractNumId w:val="0"/>
  </w:num>
  <w:num w:numId="4" w16cid:durableId="1500198534">
    <w:abstractNumId w:val="6"/>
  </w:num>
  <w:num w:numId="5" w16cid:durableId="1224488678">
    <w:abstractNumId w:val="5"/>
  </w:num>
  <w:num w:numId="6" w16cid:durableId="274942944">
    <w:abstractNumId w:val="1"/>
  </w:num>
  <w:num w:numId="7" w16cid:durableId="10723905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3C3"/>
    <w:rsid w:val="00041455"/>
    <w:rsid w:val="00073E9D"/>
    <w:rsid w:val="000D7E5F"/>
    <w:rsid w:val="000E2AC7"/>
    <w:rsid w:val="000E63C3"/>
    <w:rsid w:val="001403B4"/>
    <w:rsid w:val="001A4DE7"/>
    <w:rsid w:val="00207108"/>
    <w:rsid w:val="002549B9"/>
    <w:rsid w:val="00293152"/>
    <w:rsid w:val="0030135E"/>
    <w:rsid w:val="00311493"/>
    <w:rsid w:val="003449E6"/>
    <w:rsid w:val="00353F0A"/>
    <w:rsid w:val="00376D1C"/>
    <w:rsid w:val="003A01F4"/>
    <w:rsid w:val="003A2DFB"/>
    <w:rsid w:val="003E1D39"/>
    <w:rsid w:val="00427D20"/>
    <w:rsid w:val="004A6C22"/>
    <w:rsid w:val="00544518"/>
    <w:rsid w:val="00604132"/>
    <w:rsid w:val="0062491C"/>
    <w:rsid w:val="00664BBA"/>
    <w:rsid w:val="006A6D77"/>
    <w:rsid w:val="00724849"/>
    <w:rsid w:val="007454DC"/>
    <w:rsid w:val="00766589"/>
    <w:rsid w:val="007A1095"/>
    <w:rsid w:val="007A210B"/>
    <w:rsid w:val="008C20F7"/>
    <w:rsid w:val="00911401"/>
    <w:rsid w:val="0098796F"/>
    <w:rsid w:val="009D17AA"/>
    <w:rsid w:val="009D7E86"/>
    <w:rsid w:val="009F226A"/>
    <w:rsid w:val="00A03D81"/>
    <w:rsid w:val="00A35C10"/>
    <w:rsid w:val="00B04020"/>
    <w:rsid w:val="00BE0F5F"/>
    <w:rsid w:val="00CB6A28"/>
    <w:rsid w:val="00D0044D"/>
    <w:rsid w:val="00D2256D"/>
    <w:rsid w:val="00DB39A0"/>
    <w:rsid w:val="00E43AEB"/>
    <w:rsid w:val="00E67819"/>
    <w:rsid w:val="00EC1868"/>
    <w:rsid w:val="00F36734"/>
    <w:rsid w:val="00F56279"/>
    <w:rsid w:val="00F71B53"/>
    <w:rsid w:val="00F871C3"/>
    <w:rsid w:val="0AA21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74256"/>
  <w15:chartTrackingRefBased/>
  <w15:docId w15:val="{C69F66A6-74C3-4B2D-8EBF-6BFBBCEF8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63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63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63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63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63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63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63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63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63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63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63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63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63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63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63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63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63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63C3"/>
    <w:rPr>
      <w:rFonts w:eastAsiaTheme="majorEastAsia" w:cstheme="majorBidi"/>
      <w:color w:val="272727" w:themeColor="text1" w:themeTint="D8"/>
    </w:rPr>
  </w:style>
  <w:style w:type="paragraph" w:styleId="Title">
    <w:name w:val="Title"/>
    <w:basedOn w:val="Normal"/>
    <w:next w:val="Normal"/>
    <w:link w:val="TitleChar"/>
    <w:uiPriority w:val="10"/>
    <w:qFormat/>
    <w:rsid w:val="000E63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63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63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63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63C3"/>
    <w:pPr>
      <w:spacing w:before="160"/>
      <w:jc w:val="center"/>
    </w:pPr>
    <w:rPr>
      <w:i/>
      <w:iCs/>
      <w:color w:val="404040" w:themeColor="text1" w:themeTint="BF"/>
    </w:rPr>
  </w:style>
  <w:style w:type="character" w:customStyle="1" w:styleId="QuoteChar">
    <w:name w:val="Quote Char"/>
    <w:basedOn w:val="DefaultParagraphFont"/>
    <w:link w:val="Quote"/>
    <w:uiPriority w:val="29"/>
    <w:rsid w:val="000E63C3"/>
    <w:rPr>
      <w:i/>
      <w:iCs/>
      <w:color w:val="404040" w:themeColor="text1" w:themeTint="BF"/>
    </w:rPr>
  </w:style>
  <w:style w:type="paragraph" w:styleId="ListParagraph">
    <w:name w:val="List Paragraph"/>
    <w:basedOn w:val="Normal"/>
    <w:uiPriority w:val="34"/>
    <w:qFormat/>
    <w:rsid w:val="000E63C3"/>
    <w:pPr>
      <w:ind w:left="720"/>
      <w:contextualSpacing/>
    </w:pPr>
  </w:style>
  <w:style w:type="character" w:styleId="IntenseEmphasis">
    <w:name w:val="Intense Emphasis"/>
    <w:basedOn w:val="DefaultParagraphFont"/>
    <w:uiPriority w:val="21"/>
    <w:qFormat/>
    <w:rsid w:val="000E63C3"/>
    <w:rPr>
      <w:i/>
      <w:iCs/>
      <w:color w:val="0F4761" w:themeColor="accent1" w:themeShade="BF"/>
    </w:rPr>
  </w:style>
  <w:style w:type="paragraph" w:styleId="IntenseQuote">
    <w:name w:val="Intense Quote"/>
    <w:basedOn w:val="Normal"/>
    <w:next w:val="Normal"/>
    <w:link w:val="IntenseQuoteChar"/>
    <w:uiPriority w:val="30"/>
    <w:qFormat/>
    <w:rsid w:val="000E63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63C3"/>
    <w:rPr>
      <w:i/>
      <w:iCs/>
      <w:color w:val="0F4761" w:themeColor="accent1" w:themeShade="BF"/>
    </w:rPr>
  </w:style>
  <w:style w:type="character" w:styleId="IntenseReference">
    <w:name w:val="Intense Reference"/>
    <w:basedOn w:val="DefaultParagraphFont"/>
    <w:uiPriority w:val="32"/>
    <w:qFormat/>
    <w:rsid w:val="000E63C3"/>
    <w:rPr>
      <w:b/>
      <w:bCs/>
      <w:smallCaps/>
      <w:color w:val="0F4761" w:themeColor="accent1" w:themeShade="BF"/>
      <w:spacing w:val="5"/>
    </w:rPr>
  </w:style>
  <w:style w:type="paragraph" w:styleId="Header">
    <w:name w:val="header"/>
    <w:basedOn w:val="Normal"/>
    <w:link w:val="HeaderChar"/>
    <w:uiPriority w:val="99"/>
    <w:unhideWhenUsed/>
    <w:rsid w:val="006A6D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6D77"/>
  </w:style>
  <w:style w:type="paragraph" w:styleId="Footer">
    <w:name w:val="footer"/>
    <w:basedOn w:val="Normal"/>
    <w:link w:val="FooterChar"/>
    <w:uiPriority w:val="99"/>
    <w:unhideWhenUsed/>
    <w:rsid w:val="006A6D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6D77"/>
  </w:style>
  <w:style w:type="paragraph" w:styleId="Revision">
    <w:name w:val="Revision"/>
    <w:hidden/>
    <w:uiPriority w:val="99"/>
    <w:semiHidden/>
    <w:rsid w:val="00073E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70784DF22D804B9D091FE9222AD14B" ma:contentTypeVersion="14" ma:contentTypeDescription="Create a new document." ma:contentTypeScope="" ma:versionID="2c148de9f1cd6a6b88647e5837e285fe">
  <xsd:schema xmlns:xsd="http://www.w3.org/2001/XMLSchema" xmlns:xs="http://www.w3.org/2001/XMLSchema" xmlns:p="http://schemas.microsoft.com/office/2006/metadata/properties" xmlns:ns2="fe259938-a9ad-451f-a920-90c725f67a72" xmlns:ns3="96417584-65c4-407b-9312-e469f8b0af55" targetNamespace="http://schemas.microsoft.com/office/2006/metadata/properties" ma:root="true" ma:fieldsID="43065007ff4e726bb1fef1fefa4c064c" ns2:_="" ns3:_="">
    <xsd:import namespace="fe259938-a9ad-451f-a920-90c725f67a72"/>
    <xsd:import namespace="96417584-65c4-407b-9312-e469f8b0af5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Reviewer" minOccurs="0"/>
                <xsd:element ref="ns2:Status" minOccurs="0"/>
                <xsd:element ref="ns2:File_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259938-a9ad-451f-a920-90c725f67a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102f585-f336-4ab5-8023-668eed9f00b2"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Reviewer" ma:index="18" nillable="true" ma:displayName="Reviewer" ma:description="Person reviewing the submission" ma:format="Dropdown" ma:list="UserInfo" ma:SharePointGroup="0" ma:internalName="Review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19" nillable="true" ma:displayName="Status" ma:format="Dropdown" ma:internalName="Status">
      <xsd:simpleType>
        <xsd:restriction base="dms:Text">
          <xsd:maxLength value="255"/>
        </xsd:restriction>
      </xsd:simpleType>
    </xsd:element>
    <xsd:element name="File_Path" ma:index="20" nillable="true" ma:displayName="File_Path" ma:internalName="File_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417584-65c4-407b-9312-e469f8b0af5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8353929-11b7-42b0-85ae-c51165d597f4}" ma:internalName="TaxCatchAll" ma:showField="CatchAllData" ma:web="96417584-65c4-407b-9312-e469f8b0af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_Path xmlns="fe259938-a9ad-451f-a920-90c725f67a72" xsi:nil="true"/>
    <TaxCatchAll xmlns="96417584-65c4-407b-9312-e469f8b0af55" xsi:nil="true"/>
    <lcf76f155ced4ddcb4097134ff3c332f xmlns="fe259938-a9ad-451f-a920-90c725f67a72">
      <Terms xmlns="http://schemas.microsoft.com/office/infopath/2007/PartnerControls"/>
    </lcf76f155ced4ddcb4097134ff3c332f>
    <Reviewer xmlns="fe259938-a9ad-451f-a920-90c725f67a72">
      <UserInfo>
        <DisplayName/>
        <AccountId xsi:nil="true"/>
        <AccountType/>
      </UserInfo>
    </Reviewer>
    <Status xmlns="fe259938-a9ad-451f-a920-90c725f67a72" xsi:nil="true"/>
  </documentManagement>
</p:properties>
</file>

<file path=customXml/itemProps1.xml><?xml version="1.0" encoding="utf-8"?>
<ds:datastoreItem xmlns:ds="http://schemas.openxmlformats.org/officeDocument/2006/customXml" ds:itemID="{A5E708C2-23AA-4BC2-8E93-75DAAF3534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259938-a9ad-451f-a920-90c725f67a72"/>
    <ds:schemaRef ds:uri="96417584-65c4-407b-9312-e469f8b0af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6F69FB-9334-4278-8265-3737E64E5599}">
  <ds:schemaRefs>
    <ds:schemaRef ds:uri="http://schemas.microsoft.com/sharepoint/v3/contenttype/forms"/>
  </ds:schemaRefs>
</ds:datastoreItem>
</file>

<file path=customXml/itemProps3.xml><?xml version="1.0" encoding="utf-8"?>
<ds:datastoreItem xmlns:ds="http://schemas.openxmlformats.org/officeDocument/2006/customXml" ds:itemID="{42FD1723-1E71-4DA0-B013-D6A2EAD5D387}">
  <ds:schemaRefs>
    <ds:schemaRef ds:uri="http://schemas.microsoft.com/office/2006/metadata/properties"/>
    <ds:schemaRef ds:uri="http://purl.org/dc/terms/"/>
    <ds:schemaRef ds:uri="http://schemas.openxmlformats.org/package/2006/metadata/core-properties"/>
    <ds:schemaRef ds:uri="http://purl.org/dc/elements/1.1/"/>
    <ds:schemaRef ds:uri="http://schemas.microsoft.com/office/infopath/2007/PartnerControls"/>
    <ds:schemaRef ds:uri="http://purl.org/dc/dcmitype/"/>
    <ds:schemaRef ds:uri="http://schemas.microsoft.com/office/2006/documentManagement/types"/>
    <ds:schemaRef ds:uri="96417584-65c4-407b-9312-e469f8b0af55"/>
    <ds:schemaRef ds:uri="fe259938-a9ad-451f-a920-90c725f67a7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4</Pages>
  <Words>1074</Words>
  <Characters>6125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Gallo</dc:creator>
  <cp:keywords/>
  <dc:description/>
  <cp:lastModifiedBy>de la Garza, Mario</cp:lastModifiedBy>
  <cp:revision>14</cp:revision>
  <dcterms:created xsi:type="dcterms:W3CDTF">2025-08-06T22:24:00Z</dcterms:created>
  <dcterms:modified xsi:type="dcterms:W3CDTF">2025-08-12T14:16:00Z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2025-02-17T15:49:17Z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de149f82-b7d2-479b-a74c-08eb92b1c66c</vt:lpwstr>
  </property>
  <property fmtid="{D5CDD505-2E9C-101B-9397-08002B2CF9AE}" pid="8" name="MSIP_Label_7084cbda-52b8-46fb-a7b7-cb5bd465ed85_ContentBits">
    <vt:lpwstr>0</vt:lpwstr>
  </property>
  <property fmtid="{D5CDD505-2E9C-101B-9397-08002B2CF9AE}" pid="9" name="ContentTypeId">
    <vt:lpwstr>0x0101008A70784DF22D804B9D091FE9222AD14B</vt:lpwstr>
  </property>
  <property fmtid="{D5CDD505-2E9C-101B-9397-08002B2CF9AE}" pid="10" name="MediaServiceImageTags">
    <vt:lpwstr/>
  </property>
</Properties>
</file>