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B0353A" w14:paraId="4C54BD14" w14:textId="77777777" w:rsidTr="009C711D">
        <w:tc>
          <w:tcPr>
            <w:tcW w:w="1620" w:type="dxa"/>
            <w:tcBorders>
              <w:bottom w:val="single" w:sz="4" w:space="0" w:color="auto"/>
            </w:tcBorders>
            <w:shd w:val="clear" w:color="auto" w:fill="FFFFFF"/>
            <w:vAlign w:val="center"/>
          </w:tcPr>
          <w:p w14:paraId="27775334" w14:textId="77777777" w:rsidR="00B0353A" w:rsidRDefault="00B0353A" w:rsidP="009C711D">
            <w:pPr>
              <w:pStyle w:val="Header"/>
              <w:spacing w:before="120" w:after="120"/>
            </w:pPr>
            <w:r>
              <w:t>NOGRR Number</w:t>
            </w:r>
          </w:p>
        </w:tc>
        <w:tc>
          <w:tcPr>
            <w:tcW w:w="1260" w:type="dxa"/>
            <w:tcBorders>
              <w:bottom w:val="single" w:sz="4" w:space="0" w:color="auto"/>
            </w:tcBorders>
            <w:vAlign w:val="center"/>
          </w:tcPr>
          <w:p w14:paraId="27BFCBF5" w14:textId="77777777" w:rsidR="00B0353A" w:rsidRDefault="00B0353A" w:rsidP="009C711D">
            <w:pPr>
              <w:pStyle w:val="Header"/>
              <w:jc w:val="center"/>
            </w:pPr>
            <w:hyperlink r:id="rId8" w:history="1">
              <w:r>
                <w:rPr>
                  <w:rStyle w:val="Hyperlink"/>
                </w:rPr>
                <w:t>272</w:t>
              </w:r>
            </w:hyperlink>
          </w:p>
        </w:tc>
        <w:tc>
          <w:tcPr>
            <w:tcW w:w="1170" w:type="dxa"/>
            <w:tcBorders>
              <w:bottom w:val="single" w:sz="4" w:space="0" w:color="auto"/>
            </w:tcBorders>
            <w:shd w:val="clear" w:color="auto" w:fill="FFFFFF"/>
            <w:vAlign w:val="center"/>
          </w:tcPr>
          <w:p w14:paraId="040041B9" w14:textId="77777777" w:rsidR="00B0353A" w:rsidRDefault="00B0353A" w:rsidP="009C711D">
            <w:pPr>
              <w:pStyle w:val="Header"/>
            </w:pPr>
            <w:r>
              <w:t>NOGRR Title</w:t>
            </w:r>
          </w:p>
        </w:tc>
        <w:tc>
          <w:tcPr>
            <w:tcW w:w="6390" w:type="dxa"/>
            <w:tcBorders>
              <w:bottom w:val="single" w:sz="4" w:space="0" w:color="auto"/>
            </w:tcBorders>
            <w:vAlign w:val="center"/>
          </w:tcPr>
          <w:p w14:paraId="18E60B85" w14:textId="77777777" w:rsidR="00B0353A" w:rsidRDefault="00B0353A" w:rsidP="009C711D">
            <w:pPr>
              <w:pStyle w:val="Header"/>
            </w:pPr>
            <w:r>
              <w:t>Advanced Grid Support Requirements for Inverter-Based ESRs</w:t>
            </w:r>
          </w:p>
        </w:tc>
      </w:tr>
      <w:tr w:rsidR="00B0353A" w:rsidRPr="00E01925" w14:paraId="19CACC2D" w14:textId="77777777" w:rsidTr="009C711D">
        <w:trPr>
          <w:trHeight w:val="518"/>
        </w:trPr>
        <w:tc>
          <w:tcPr>
            <w:tcW w:w="2880" w:type="dxa"/>
            <w:gridSpan w:val="2"/>
            <w:tcBorders>
              <w:bottom w:val="single" w:sz="4" w:space="0" w:color="auto"/>
            </w:tcBorders>
            <w:shd w:val="clear" w:color="auto" w:fill="FFFFFF"/>
            <w:vAlign w:val="center"/>
          </w:tcPr>
          <w:p w14:paraId="69E67C98" w14:textId="65DB0AE1" w:rsidR="00B0353A" w:rsidRPr="00E01925" w:rsidRDefault="00B0353A" w:rsidP="009C711D">
            <w:pPr>
              <w:pStyle w:val="Header"/>
              <w:spacing w:before="120" w:after="120"/>
              <w:rPr>
                <w:bCs w:val="0"/>
              </w:rPr>
            </w:pPr>
            <w:r w:rsidRPr="00E01925">
              <w:rPr>
                <w:bCs w:val="0"/>
              </w:rPr>
              <w:t xml:space="preserve">Date </w:t>
            </w:r>
            <w:r w:rsidR="00054A22">
              <w:rPr>
                <w:bCs w:val="0"/>
              </w:rPr>
              <w:t>of Decision</w:t>
            </w:r>
          </w:p>
        </w:tc>
        <w:tc>
          <w:tcPr>
            <w:tcW w:w="7560" w:type="dxa"/>
            <w:gridSpan w:val="2"/>
            <w:tcBorders>
              <w:bottom w:val="single" w:sz="4" w:space="0" w:color="auto"/>
            </w:tcBorders>
            <w:vAlign w:val="center"/>
          </w:tcPr>
          <w:p w14:paraId="4A46D0F3" w14:textId="77777777" w:rsidR="00B0353A" w:rsidRPr="00E01925" w:rsidRDefault="00B0353A" w:rsidP="009C711D">
            <w:pPr>
              <w:pStyle w:val="NormalArial"/>
              <w:spacing w:before="120" w:after="120"/>
            </w:pPr>
            <w:r>
              <w:t>August 7, 2025</w:t>
            </w:r>
          </w:p>
        </w:tc>
      </w:tr>
      <w:tr w:rsidR="00B0353A" w14:paraId="2BFB9AB2" w14:textId="77777777" w:rsidTr="009C711D">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7A248" w14:textId="77777777" w:rsidR="00B0353A" w:rsidRDefault="00B0353A" w:rsidP="009C711D">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E96606" w14:textId="77777777" w:rsidR="00B0353A" w:rsidRDefault="00B0353A" w:rsidP="009C711D">
            <w:pPr>
              <w:pStyle w:val="NormalArial"/>
              <w:spacing w:before="120" w:after="120"/>
            </w:pPr>
            <w:r>
              <w:t>Recommended Approval</w:t>
            </w:r>
          </w:p>
        </w:tc>
      </w:tr>
      <w:tr w:rsidR="00B0353A" w14:paraId="21F88ECE" w14:textId="77777777" w:rsidTr="009C711D">
        <w:trPr>
          <w:trHeight w:val="557"/>
        </w:trPr>
        <w:tc>
          <w:tcPr>
            <w:tcW w:w="2880" w:type="dxa"/>
            <w:gridSpan w:val="2"/>
            <w:tcBorders>
              <w:top w:val="single" w:sz="4" w:space="0" w:color="auto"/>
              <w:bottom w:val="single" w:sz="4" w:space="0" w:color="auto"/>
            </w:tcBorders>
            <w:shd w:val="clear" w:color="auto" w:fill="FFFFFF"/>
            <w:vAlign w:val="center"/>
          </w:tcPr>
          <w:p w14:paraId="6E6A6013" w14:textId="77777777" w:rsidR="00B0353A" w:rsidRDefault="00B0353A" w:rsidP="009C711D">
            <w:pPr>
              <w:pStyle w:val="Header"/>
              <w:spacing w:before="120" w:after="120"/>
            </w:pPr>
            <w:r>
              <w:t>Timeline</w:t>
            </w:r>
          </w:p>
        </w:tc>
        <w:tc>
          <w:tcPr>
            <w:tcW w:w="7560" w:type="dxa"/>
            <w:gridSpan w:val="2"/>
            <w:tcBorders>
              <w:top w:val="single" w:sz="4" w:space="0" w:color="auto"/>
            </w:tcBorders>
            <w:vAlign w:val="center"/>
          </w:tcPr>
          <w:p w14:paraId="01F4A8B3" w14:textId="77777777" w:rsidR="00B0353A" w:rsidRPr="00FB509B" w:rsidRDefault="00B0353A" w:rsidP="009C711D">
            <w:pPr>
              <w:pStyle w:val="NormalArial"/>
              <w:spacing w:before="120" w:after="120"/>
            </w:pPr>
            <w:r>
              <w:t>Urgent</w:t>
            </w:r>
          </w:p>
        </w:tc>
      </w:tr>
      <w:tr w:rsidR="00B0353A" w14:paraId="4053853A" w14:textId="77777777" w:rsidTr="009C711D">
        <w:trPr>
          <w:trHeight w:val="773"/>
        </w:trPr>
        <w:tc>
          <w:tcPr>
            <w:tcW w:w="2880" w:type="dxa"/>
            <w:gridSpan w:val="2"/>
            <w:tcBorders>
              <w:top w:val="single" w:sz="4" w:space="0" w:color="auto"/>
              <w:bottom w:val="single" w:sz="4" w:space="0" w:color="auto"/>
            </w:tcBorders>
            <w:shd w:val="clear" w:color="auto" w:fill="FFFFFF"/>
            <w:vAlign w:val="center"/>
          </w:tcPr>
          <w:p w14:paraId="578B3C05" w14:textId="77777777" w:rsidR="00B0353A" w:rsidRDefault="00B0353A" w:rsidP="009C711D">
            <w:pPr>
              <w:pStyle w:val="Header"/>
              <w:spacing w:before="120" w:after="120"/>
            </w:pPr>
            <w:r>
              <w:t>Proposed Effective Date</w:t>
            </w:r>
          </w:p>
        </w:tc>
        <w:tc>
          <w:tcPr>
            <w:tcW w:w="7560" w:type="dxa"/>
            <w:gridSpan w:val="2"/>
            <w:tcBorders>
              <w:top w:val="single" w:sz="4" w:space="0" w:color="auto"/>
            </w:tcBorders>
            <w:vAlign w:val="center"/>
          </w:tcPr>
          <w:p w14:paraId="138A6BBA" w14:textId="77777777" w:rsidR="00B0353A" w:rsidRPr="00FB509B" w:rsidRDefault="00B0353A" w:rsidP="009C711D">
            <w:pPr>
              <w:pStyle w:val="NormalArial"/>
              <w:spacing w:before="120" w:after="120"/>
            </w:pPr>
            <w:r>
              <w:t>To be determined</w:t>
            </w:r>
          </w:p>
        </w:tc>
      </w:tr>
      <w:tr w:rsidR="00B0353A" w14:paraId="251C09BF" w14:textId="77777777" w:rsidTr="009C711D">
        <w:trPr>
          <w:trHeight w:val="773"/>
        </w:trPr>
        <w:tc>
          <w:tcPr>
            <w:tcW w:w="2880" w:type="dxa"/>
            <w:gridSpan w:val="2"/>
            <w:tcBorders>
              <w:top w:val="single" w:sz="4" w:space="0" w:color="auto"/>
              <w:bottom w:val="single" w:sz="4" w:space="0" w:color="auto"/>
            </w:tcBorders>
            <w:shd w:val="clear" w:color="auto" w:fill="FFFFFF"/>
            <w:vAlign w:val="center"/>
          </w:tcPr>
          <w:p w14:paraId="5F2AE6EC" w14:textId="77777777" w:rsidR="00B0353A" w:rsidRDefault="00B0353A" w:rsidP="009C711D">
            <w:pPr>
              <w:pStyle w:val="Header"/>
              <w:spacing w:before="120" w:after="120"/>
            </w:pPr>
            <w:r>
              <w:t>Priority and Rank Assigned</w:t>
            </w:r>
          </w:p>
        </w:tc>
        <w:tc>
          <w:tcPr>
            <w:tcW w:w="7560" w:type="dxa"/>
            <w:gridSpan w:val="2"/>
            <w:tcBorders>
              <w:top w:val="single" w:sz="4" w:space="0" w:color="auto"/>
            </w:tcBorders>
            <w:vAlign w:val="center"/>
          </w:tcPr>
          <w:p w14:paraId="0BE9D84F" w14:textId="77777777" w:rsidR="00B0353A" w:rsidRPr="00FB509B" w:rsidRDefault="00B0353A" w:rsidP="009C711D">
            <w:pPr>
              <w:pStyle w:val="NormalArial"/>
              <w:spacing w:before="120" w:after="120"/>
            </w:pPr>
            <w:r>
              <w:t>To be determined</w:t>
            </w:r>
          </w:p>
        </w:tc>
      </w:tr>
      <w:tr w:rsidR="00B0353A" w14:paraId="259F12F6" w14:textId="77777777" w:rsidTr="009C711D">
        <w:trPr>
          <w:trHeight w:val="773"/>
        </w:trPr>
        <w:tc>
          <w:tcPr>
            <w:tcW w:w="2880" w:type="dxa"/>
            <w:gridSpan w:val="2"/>
            <w:tcBorders>
              <w:top w:val="single" w:sz="4" w:space="0" w:color="auto"/>
              <w:bottom w:val="single" w:sz="4" w:space="0" w:color="auto"/>
            </w:tcBorders>
            <w:shd w:val="clear" w:color="auto" w:fill="FFFFFF"/>
            <w:vAlign w:val="center"/>
          </w:tcPr>
          <w:p w14:paraId="3FAE9CF5" w14:textId="77777777" w:rsidR="00B0353A" w:rsidRDefault="00B0353A" w:rsidP="009C711D">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28C8422A" w14:textId="77777777" w:rsidR="00B0353A" w:rsidRPr="00FB509B" w:rsidRDefault="00B0353A" w:rsidP="009C711D">
            <w:pPr>
              <w:pStyle w:val="NormalArial"/>
              <w:spacing w:before="120" w:after="120"/>
            </w:pPr>
            <w:r>
              <w:t>2.14, Advanced Grid Support Requirements for Inverter-Based ESRs (new)</w:t>
            </w:r>
          </w:p>
        </w:tc>
      </w:tr>
      <w:tr w:rsidR="00B0353A" w14:paraId="19E49E3E" w14:textId="77777777" w:rsidTr="009C711D">
        <w:trPr>
          <w:trHeight w:val="518"/>
        </w:trPr>
        <w:tc>
          <w:tcPr>
            <w:tcW w:w="2880" w:type="dxa"/>
            <w:gridSpan w:val="2"/>
            <w:tcBorders>
              <w:bottom w:val="single" w:sz="4" w:space="0" w:color="auto"/>
            </w:tcBorders>
            <w:shd w:val="clear" w:color="auto" w:fill="FFFFFF"/>
            <w:vAlign w:val="center"/>
          </w:tcPr>
          <w:p w14:paraId="62A728B4" w14:textId="77777777" w:rsidR="00B0353A" w:rsidRDefault="00B0353A" w:rsidP="009C711D">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1D16A37" w14:textId="77777777" w:rsidR="00B0353A" w:rsidRPr="00FB509B" w:rsidRDefault="00B0353A" w:rsidP="009C711D">
            <w:pPr>
              <w:pStyle w:val="NormalArial"/>
              <w:spacing w:before="120" w:after="120"/>
            </w:pPr>
            <w:r>
              <w:t>Planning Guide Revision Request (PGRR) 121, Related to NOGRR272, Advanced Grid Support Requirements for Inverter-Based ESRs</w:t>
            </w:r>
          </w:p>
        </w:tc>
      </w:tr>
      <w:tr w:rsidR="00B0353A" w14:paraId="527CC8AA" w14:textId="77777777" w:rsidTr="009C711D">
        <w:trPr>
          <w:trHeight w:val="518"/>
        </w:trPr>
        <w:tc>
          <w:tcPr>
            <w:tcW w:w="2880" w:type="dxa"/>
            <w:gridSpan w:val="2"/>
            <w:tcBorders>
              <w:bottom w:val="single" w:sz="4" w:space="0" w:color="auto"/>
            </w:tcBorders>
            <w:shd w:val="clear" w:color="auto" w:fill="FFFFFF"/>
            <w:vAlign w:val="center"/>
          </w:tcPr>
          <w:p w14:paraId="72977754" w14:textId="77777777" w:rsidR="00B0353A" w:rsidRDefault="00B0353A" w:rsidP="009C711D">
            <w:pPr>
              <w:pStyle w:val="Header"/>
              <w:spacing w:before="120" w:after="120"/>
            </w:pPr>
            <w:r>
              <w:t>Revision Description</w:t>
            </w:r>
          </w:p>
        </w:tc>
        <w:tc>
          <w:tcPr>
            <w:tcW w:w="7560" w:type="dxa"/>
            <w:gridSpan w:val="2"/>
            <w:tcBorders>
              <w:bottom w:val="single" w:sz="4" w:space="0" w:color="auto"/>
            </w:tcBorders>
            <w:vAlign w:val="center"/>
          </w:tcPr>
          <w:p w14:paraId="37C9C44E" w14:textId="77777777" w:rsidR="00B0353A" w:rsidRPr="00FB509B" w:rsidRDefault="00B0353A" w:rsidP="009C711D">
            <w:pPr>
              <w:pStyle w:val="NormalArial"/>
              <w:spacing w:before="120" w:after="120"/>
            </w:pPr>
            <w:r>
              <w:t xml:space="preserve">This Nodal Operating Guide Revision Request (NOGRR) </w:t>
            </w:r>
            <w:r>
              <w:rPr>
                <w:lang w:eastAsia="zh-TW"/>
              </w:rPr>
              <w:t>establishes</w:t>
            </w:r>
            <w:r>
              <w:rPr>
                <w:rFonts w:hint="eastAsia"/>
                <w:lang w:eastAsia="zh-TW"/>
              </w:rPr>
              <w:t xml:space="preserve"> </w:t>
            </w:r>
            <w:r>
              <w:t>new advanced grid support requirements for inverter-based Energy Storage Resources (ESRs) connect</w:t>
            </w:r>
            <w:r>
              <w:rPr>
                <w:rFonts w:hint="eastAsia"/>
                <w:lang w:eastAsia="zh-TW"/>
              </w:rPr>
              <w:t>ed</w:t>
            </w:r>
            <w:r>
              <w:t xml:space="preserve"> to the ERCOT Transmission Grid. </w:t>
            </w:r>
          </w:p>
        </w:tc>
      </w:tr>
      <w:tr w:rsidR="00B0353A" w14:paraId="427B991C" w14:textId="77777777" w:rsidTr="009C711D">
        <w:trPr>
          <w:trHeight w:val="518"/>
        </w:trPr>
        <w:tc>
          <w:tcPr>
            <w:tcW w:w="2880" w:type="dxa"/>
            <w:gridSpan w:val="2"/>
            <w:shd w:val="clear" w:color="auto" w:fill="FFFFFF"/>
            <w:vAlign w:val="center"/>
          </w:tcPr>
          <w:p w14:paraId="182B03EB" w14:textId="77777777" w:rsidR="00B0353A" w:rsidRDefault="00B0353A" w:rsidP="009C711D">
            <w:pPr>
              <w:pStyle w:val="Header"/>
            </w:pPr>
            <w:r>
              <w:t>Reason for Revision</w:t>
            </w:r>
          </w:p>
        </w:tc>
        <w:tc>
          <w:tcPr>
            <w:tcW w:w="7560" w:type="dxa"/>
            <w:gridSpan w:val="2"/>
            <w:vAlign w:val="center"/>
          </w:tcPr>
          <w:p w14:paraId="4541FFE6" w14:textId="4940AFC3" w:rsidR="00B0353A" w:rsidRDefault="00B0353A" w:rsidP="009C711D">
            <w:pPr>
              <w:pStyle w:val="NormalArial"/>
              <w:tabs>
                <w:tab w:val="left" w:pos="432"/>
              </w:tabs>
              <w:spacing w:before="120"/>
              <w:ind w:left="432" w:hanging="432"/>
              <w:rPr>
                <w:rFonts w:cs="Arial"/>
                <w:color w:val="000000"/>
              </w:rPr>
            </w:pPr>
            <w:r w:rsidRPr="006629C8">
              <w:object w:dxaOrig="1440" w:dyaOrig="1440" w14:anchorId="084B8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002F6DF" w14:textId="27B70A58" w:rsidR="00B0353A" w:rsidRPr="00BD53C5" w:rsidRDefault="00B0353A" w:rsidP="009C711D">
            <w:pPr>
              <w:pStyle w:val="NormalArial"/>
              <w:tabs>
                <w:tab w:val="left" w:pos="432"/>
              </w:tabs>
              <w:spacing w:before="120"/>
              <w:ind w:left="432" w:hanging="432"/>
              <w:rPr>
                <w:rFonts w:cs="Arial"/>
                <w:color w:val="000000"/>
              </w:rPr>
            </w:pPr>
            <w:r w:rsidRPr="00CD242D">
              <w:object w:dxaOrig="1440" w:dyaOrig="1440" w14:anchorId="544D27F6">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CC57418" w14:textId="1E90A6DA" w:rsidR="00B0353A" w:rsidRPr="00BD53C5" w:rsidRDefault="00B0353A" w:rsidP="009C711D">
            <w:pPr>
              <w:pStyle w:val="NormalArial"/>
              <w:spacing w:before="120"/>
              <w:ind w:left="432" w:hanging="432"/>
              <w:rPr>
                <w:rFonts w:cs="Arial"/>
                <w:color w:val="000000"/>
              </w:rPr>
            </w:pPr>
            <w:r w:rsidRPr="006629C8">
              <w:object w:dxaOrig="1440" w:dyaOrig="1440" w14:anchorId="2F02E581">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E03A792" w14:textId="03132261" w:rsidR="00B0353A" w:rsidRDefault="00B0353A" w:rsidP="009C711D">
            <w:pPr>
              <w:pStyle w:val="NormalArial"/>
              <w:spacing w:before="120"/>
              <w:rPr>
                <w:iCs/>
                <w:kern w:val="24"/>
              </w:rPr>
            </w:pPr>
            <w:r w:rsidRPr="006629C8">
              <w:object w:dxaOrig="1440" w:dyaOrig="1440" w14:anchorId="1D2B573D">
                <v:shape id="_x0000_i1043" type="#_x0000_t75" style="width:15.6pt;height:15pt" o:ole="">
                  <v:imagedata r:id="rId12" o:title=""/>
                </v:shape>
                <w:control r:id="rId17" w:name="TextBox13" w:shapeid="_x0000_i1043"/>
              </w:object>
            </w:r>
            <w:r w:rsidRPr="006629C8">
              <w:t xml:space="preserve">  </w:t>
            </w:r>
            <w:r w:rsidRPr="00344591">
              <w:rPr>
                <w:iCs/>
                <w:kern w:val="24"/>
              </w:rPr>
              <w:t>General system and/or process improvement(s)</w:t>
            </w:r>
          </w:p>
          <w:p w14:paraId="0D404044" w14:textId="2E5E2F62" w:rsidR="00B0353A" w:rsidRDefault="00B0353A" w:rsidP="009C711D">
            <w:pPr>
              <w:pStyle w:val="NormalArial"/>
              <w:spacing w:before="120"/>
              <w:rPr>
                <w:iCs/>
                <w:kern w:val="24"/>
              </w:rPr>
            </w:pPr>
            <w:r w:rsidRPr="006629C8">
              <w:object w:dxaOrig="1440" w:dyaOrig="1440" w14:anchorId="22BE7CAE">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74EE3B54" w14:textId="34AA50BF" w:rsidR="00B0353A" w:rsidRPr="00CD242D" w:rsidRDefault="00B0353A" w:rsidP="009C711D">
            <w:pPr>
              <w:pStyle w:val="NormalArial"/>
              <w:spacing w:before="120"/>
              <w:rPr>
                <w:rFonts w:cs="Arial"/>
                <w:color w:val="000000"/>
              </w:rPr>
            </w:pPr>
            <w:r w:rsidRPr="006629C8">
              <w:object w:dxaOrig="1440" w:dyaOrig="1440" w14:anchorId="00C1D790">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7267026B" w14:textId="77777777" w:rsidR="00B0353A" w:rsidRDefault="00B0353A" w:rsidP="009C711D">
            <w:pPr>
              <w:pStyle w:val="NormalArial"/>
              <w:rPr>
                <w:i/>
                <w:sz w:val="20"/>
                <w:szCs w:val="20"/>
              </w:rPr>
            </w:pPr>
          </w:p>
          <w:p w14:paraId="74D4BB47" w14:textId="77777777" w:rsidR="00B0353A" w:rsidRDefault="00B0353A" w:rsidP="009C711D">
            <w:pPr>
              <w:pStyle w:val="NormalArial"/>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p w14:paraId="20218F1A" w14:textId="77777777" w:rsidR="00B0353A" w:rsidRPr="001313B4" w:rsidRDefault="00B0353A" w:rsidP="009C711D">
            <w:pPr>
              <w:pStyle w:val="NormalArial"/>
              <w:rPr>
                <w:iCs/>
                <w:kern w:val="24"/>
              </w:rPr>
            </w:pPr>
          </w:p>
        </w:tc>
      </w:tr>
      <w:tr w:rsidR="00B0353A" w14:paraId="6B738D79" w14:textId="77777777" w:rsidTr="009C711D">
        <w:trPr>
          <w:trHeight w:val="518"/>
        </w:trPr>
        <w:tc>
          <w:tcPr>
            <w:tcW w:w="2880" w:type="dxa"/>
            <w:gridSpan w:val="2"/>
            <w:shd w:val="clear" w:color="auto" w:fill="FFFFFF"/>
            <w:vAlign w:val="center"/>
          </w:tcPr>
          <w:p w14:paraId="1AAD97A6" w14:textId="77777777" w:rsidR="00B0353A" w:rsidRDefault="00B0353A" w:rsidP="009C711D">
            <w:pPr>
              <w:pStyle w:val="Header"/>
              <w:spacing w:before="120" w:after="120"/>
            </w:pPr>
            <w:r>
              <w:lastRenderedPageBreak/>
              <w:t>Justification of Reason for Revision and Market Impacts</w:t>
            </w:r>
          </w:p>
        </w:tc>
        <w:tc>
          <w:tcPr>
            <w:tcW w:w="7560" w:type="dxa"/>
            <w:gridSpan w:val="2"/>
            <w:vAlign w:val="center"/>
          </w:tcPr>
          <w:p w14:paraId="109F71EE" w14:textId="77777777" w:rsidR="00B0353A" w:rsidRDefault="00B0353A" w:rsidP="009C711D">
            <w:pPr>
              <w:pStyle w:val="NormalArial"/>
              <w:spacing w:before="120" w:after="120"/>
            </w:pPr>
            <w:r>
              <w:t xml:space="preserve">ERCOT submits this </w:t>
            </w:r>
            <w:r>
              <w:rPr>
                <w:lang w:eastAsia="zh-TW"/>
              </w:rPr>
              <w:t>NO</w:t>
            </w:r>
            <w:r>
              <w:rPr>
                <w:rFonts w:hint="eastAsia"/>
                <w:lang w:eastAsia="zh-TW"/>
              </w:rPr>
              <w:t>G</w:t>
            </w:r>
            <w:r>
              <w:t xml:space="preserve">RR to provide greater support for system resilience and to maintain stable operation for an Inverter-Based Resource (IBR)-dominated ERCOT System.  The IBRs currently </w:t>
            </w:r>
            <w:proofErr w:type="gramStart"/>
            <w:r>
              <w:t>connect</w:t>
            </w:r>
            <w:proofErr w:type="gramEnd"/>
            <w:r>
              <w:t xml:space="preserve">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4FE27AE5" w14:textId="77777777" w:rsidR="00B0353A" w:rsidRDefault="00B0353A" w:rsidP="009C711D">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3E918F50" w14:textId="77777777" w:rsidR="00B0353A" w:rsidRDefault="00B0353A" w:rsidP="009C711D">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7133CE05" w14:textId="77777777" w:rsidR="00B0353A" w:rsidRPr="00584D0C" w:rsidRDefault="00B0353A" w:rsidP="009C711D">
            <w:pPr>
              <w:pStyle w:val="NormalArial"/>
              <w:spacing w:before="120" w:after="120"/>
            </w:pPr>
            <w:r>
              <w:t xml:space="preserve">For those ESRs not required to comply with these advanced grid support requirements, ERCOT plans to consider ways to encourage </w:t>
            </w:r>
            <w:r>
              <w:lastRenderedPageBreak/>
              <w:t>existing ESRs to provide advanced grid support service when 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  </w:t>
            </w:r>
          </w:p>
        </w:tc>
      </w:tr>
      <w:tr w:rsidR="00B0353A" w14:paraId="14209DD0" w14:textId="77777777" w:rsidTr="009C711D">
        <w:trPr>
          <w:trHeight w:val="518"/>
        </w:trPr>
        <w:tc>
          <w:tcPr>
            <w:tcW w:w="2880" w:type="dxa"/>
            <w:gridSpan w:val="2"/>
            <w:shd w:val="clear" w:color="auto" w:fill="FFFFFF"/>
            <w:vAlign w:val="center"/>
          </w:tcPr>
          <w:p w14:paraId="4B075E4E" w14:textId="77777777" w:rsidR="00B0353A" w:rsidRDefault="00B0353A" w:rsidP="009C711D">
            <w:pPr>
              <w:pStyle w:val="Header"/>
              <w:spacing w:before="120" w:after="120"/>
            </w:pPr>
            <w:r>
              <w:lastRenderedPageBreak/>
              <w:t>ROS Decision</w:t>
            </w:r>
          </w:p>
        </w:tc>
        <w:tc>
          <w:tcPr>
            <w:tcW w:w="7560" w:type="dxa"/>
            <w:gridSpan w:val="2"/>
            <w:vAlign w:val="center"/>
          </w:tcPr>
          <w:p w14:paraId="74B9C035" w14:textId="77777777" w:rsidR="00B0353A" w:rsidRDefault="00B0353A" w:rsidP="009C711D">
            <w:pPr>
              <w:pStyle w:val="NormalWeb"/>
              <w:spacing w:before="120" w:beforeAutospacing="0" w:after="120" w:afterAutospacing="0"/>
              <w:rPr>
                <w:rFonts w:ascii="Arial" w:hAnsi="Arial"/>
              </w:rPr>
            </w:pPr>
            <w:r w:rsidRPr="00F55297">
              <w:rPr>
                <w:rFonts w:ascii="Arial" w:hAnsi="Arial"/>
              </w:rPr>
              <w:t>On 12/5/24, ROS voted unanimously to table NOGRR272 and refer the issue to the Dynamics</w:t>
            </w:r>
            <w:r>
              <w:rPr>
                <w:rFonts w:ascii="Arial" w:hAnsi="Arial"/>
              </w:rPr>
              <w:t xml:space="preserve"> </w:t>
            </w:r>
            <w:r w:rsidRPr="00F55297">
              <w:rPr>
                <w:rFonts w:ascii="Arial" w:hAnsi="Arial"/>
              </w:rPr>
              <w:t>Working Group (DWG) and IBR</w:t>
            </w:r>
            <w:r>
              <w:rPr>
                <w:rFonts w:ascii="Arial" w:hAnsi="Arial"/>
              </w:rPr>
              <w:t>WG</w:t>
            </w:r>
            <w:r w:rsidRPr="00F55297">
              <w:rPr>
                <w:rFonts w:ascii="Arial" w:hAnsi="Arial"/>
              </w:rPr>
              <w:t xml:space="preserve">. </w:t>
            </w:r>
            <w:r>
              <w:rPr>
                <w:rFonts w:ascii="Arial" w:hAnsi="Arial"/>
              </w:rPr>
              <w:t xml:space="preserve"> </w:t>
            </w:r>
            <w:r w:rsidRPr="00F55297">
              <w:rPr>
                <w:rFonts w:ascii="Arial" w:hAnsi="Arial"/>
              </w:rPr>
              <w:t>All Market Segments participated in the vote.</w:t>
            </w:r>
          </w:p>
          <w:p w14:paraId="4DE9CBF3" w14:textId="77777777" w:rsidR="00B0353A" w:rsidRDefault="00B0353A" w:rsidP="009C711D">
            <w:pPr>
              <w:pStyle w:val="NormalWeb"/>
              <w:spacing w:before="120" w:beforeAutospacing="0" w:after="120" w:afterAutospacing="0"/>
              <w:rPr>
                <w:rFonts w:ascii="Arial" w:hAnsi="Arial"/>
              </w:rPr>
            </w:pPr>
            <w:r>
              <w:rPr>
                <w:rFonts w:ascii="Arial" w:hAnsi="Arial"/>
              </w:rPr>
              <w:t xml:space="preserve">On 7/10/25, ROS voted unanimously to grant NOGRR272 Urgent status; and to table NOGRR272.  All Market Segments participated in the vote.  </w:t>
            </w:r>
          </w:p>
          <w:p w14:paraId="150FA459" w14:textId="6C19AE4B" w:rsidR="00054A22" w:rsidRDefault="00054A22" w:rsidP="009C711D">
            <w:pPr>
              <w:pStyle w:val="NormalWeb"/>
              <w:spacing w:before="120" w:beforeAutospacing="0" w:after="120" w:afterAutospacing="0"/>
            </w:pPr>
            <w:r w:rsidRPr="00054A22">
              <w:rPr>
                <w:rFonts w:ascii="Arial" w:hAnsi="Arial"/>
              </w:rPr>
              <w:t xml:space="preserve">On 8/7/25, ROS voted to recommend approval of </w:t>
            </w:r>
            <w:r>
              <w:rPr>
                <w:rFonts w:ascii="Arial" w:hAnsi="Arial"/>
              </w:rPr>
              <w:t>NOGRR272</w:t>
            </w:r>
            <w:r w:rsidRPr="00054A22">
              <w:rPr>
                <w:rFonts w:ascii="Arial" w:hAnsi="Arial"/>
              </w:rPr>
              <w:t xml:space="preserve"> as amended by the </w:t>
            </w:r>
            <w:r>
              <w:rPr>
                <w:rFonts w:ascii="Arial" w:hAnsi="Arial"/>
              </w:rPr>
              <w:t>8</w:t>
            </w:r>
            <w:r w:rsidRPr="00054A22">
              <w:rPr>
                <w:rFonts w:ascii="Arial" w:hAnsi="Arial"/>
              </w:rPr>
              <w:t>/</w:t>
            </w:r>
            <w:r>
              <w:rPr>
                <w:rFonts w:ascii="Arial" w:hAnsi="Arial"/>
              </w:rPr>
              <w:t>1</w:t>
            </w:r>
            <w:r w:rsidRPr="00054A22">
              <w:rPr>
                <w:rFonts w:ascii="Arial" w:hAnsi="Arial"/>
              </w:rPr>
              <w:t>/25 ERCOT comments.  There was one opposing vote from the Independent Generator (EDF Renewables) Market Segment and four abstentions from the Independent Generator (3) (Southern Power, Vistra, Calpine) and Independent Power Marketer (IPM) (1) (Geronimo) Market Segments.  All Market Segments participated in the vote.</w:t>
            </w:r>
            <w:r>
              <w:rPr>
                <w:rFonts w:ascii="Arial" w:hAnsi="Arial"/>
              </w:rPr>
              <w:t xml:space="preserve"> </w:t>
            </w:r>
          </w:p>
        </w:tc>
      </w:tr>
      <w:tr w:rsidR="00B0353A" w14:paraId="37D36DB2" w14:textId="77777777" w:rsidTr="009C711D">
        <w:trPr>
          <w:trHeight w:val="518"/>
        </w:trPr>
        <w:tc>
          <w:tcPr>
            <w:tcW w:w="2880" w:type="dxa"/>
            <w:gridSpan w:val="2"/>
            <w:tcBorders>
              <w:bottom w:val="single" w:sz="4" w:space="0" w:color="auto"/>
            </w:tcBorders>
            <w:shd w:val="clear" w:color="auto" w:fill="FFFFFF"/>
            <w:vAlign w:val="center"/>
          </w:tcPr>
          <w:p w14:paraId="4252DFDF" w14:textId="77777777" w:rsidR="00B0353A" w:rsidRDefault="00B0353A" w:rsidP="009C711D">
            <w:pPr>
              <w:pStyle w:val="Header"/>
              <w:spacing w:before="120" w:after="120"/>
            </w:pPr>
            <w:r>
              <w:t>Summary of ROS Discussion</w:t>
            </w:r>
          </w:p>
        </w:tc>
        <w:tc>
          <w:tcPr>
            <w:tcW w:w="7560" w:type="dxa"/>
            <w:gridSpan w:val="2"/>
            <w:tcBorders>
              <w:bottom w:val="single" w:sz="4" w:space="0" w:color="auto"/>
            </w:tcBorders>
            <w:vAlign w:val="center"/>
          </w:tcPr>
          <w:p w14:paraId="00634768" w14:textId="77777777" w:rsidR="00B0353A" w:rsidRDefault="00B0353A" w:rsidP="009C711D">
            <w:pPr>
              <w:pStyle w:val="NormalArial"/>
              <w:spacing w:before="120" w:after="120"/>
            </w:pPr>
            <w:r>
              <w:t>On 12/5/24, participants reviewed the 12/4/24 Jupiter Power comments and requested NOGRR272 be referred to the DWG and IBRWG for further discussion.</w:t>
            </w:r>
          </w:p>
          <w:p w14:paraId="5FC2D0DD" w14:textId="77777777" w:rsidR="00B0353A" w:rsidRDefault="00B0353A" w:rsidP="009C711D">
            <w:pPr>
              <w:pStyle w:val="NormalArial"/>
              <w:spacing w:before="120" w:after="120"/>
            </w:pPr>
            <w:r>
              <w:t>On 7/10/25, ROS reviewed the 6/4/25 Plus Power, 6/13/25 NextEra Energy Resource, 7/1/25 ERCOT, 7/8/25 Plus Power, 7/9/25 Joint Commenters, and 7/10/25 HGP comments.  Participants</w:t>
            </w:r>
            <w:r w:rsidRPr="002D0861">
              <w:t xml:space="preserve"> acknowledged ERCOT’s desire for </w:t>
            </w:r>
            <w:r>
              <w:t>NOGRR272</w:t>
            </w:r>
            <w:r w:rsidRPr="002D0861">
              <w:t xml:space="preserve"> to advance in time for consideration at the September 23, 2025 ERCOT Board of Directors meeting.  Some participants expressed concern that </w:t>
            </w:r>
            <w:r>
              <w:t>NOGRR272</w:t>
            </w:r>
            <w:r w:rsidRPr="002D0861">
              <w:t xml:space="preserve"> does not align with </w:t>
            </w:r>
            <w:r>
              <w:t>PGRR121</w:t>
            </w:r>
            <w:r w:rsidRPr="002D0861">
              <w:t xml:space="preserve"> language, risking ambiguity and conflicting operational requirements.</w:t>
            </w:r>
            <w:r>
              <w:t xml:space="preserve">  Other participants expressed concern regarding the accuracy of NOGRR272 modeling efforts, and the absence of details necessary for “</w:t>
            </w:r>
            <w:r w:rsidRPr="007B30F8">
              <w:t>Original Equipment Manufacturers</w:t>
            </w:r>
            <w:r>
              <w:t xml:space="preserve">” (OEMs) to build grid-forming resources that satisfy various conditions. </w:t>
            </w:r>
          </w:p>
          <w:p w14:paraId="7BB708A4" w14:textId="17157BEB" w:rsidR="00054A22" w:rsidRDefault="00054A22" w:rsidP="00E05BB2">
            <w:pPr>
              <w:pStyle w:val="NormalArial"/>
              <w:spacing w:before="120" w:after="120"/>
            </w:pPr>
            <w:r>
              <w:t xml:space="preserve">On 8/7/25, </w:t>
            </w:r>
            <w:r w:rsidR="00BC3145">
              <w:t>ROS reviewed the 8/1/25 Spearmint Energy, 8/1/25 Mortenson, 8/1/25 esVolta, 8/1/25 ERCOT, and 8/6/25 Plus Power comments.  Participants discussed the intention and implications of paragraph (2) of Section 2.14</w:t>
            </w:r>
            <w:r w:rsidR="001A697B">
              <w:t xml:space="preserve"> in 8/1/25 ERCOT comments</w:t>
            </w:r>
            <w:r w:rsidR="00BC3145">
              <w:t xml:space="preserve">.  </w:t>
            </w:r>
            <w:r w:rsidR="001A697B">
              <w:t xml:space="preserve">Participants expressed confusion regarding equipment </w:t>
            </w:r>
            <w:r w:rsidR="00E05BB2">
              <w:t>expectations</w:t>
            </w:r>
            <w:r w:rsidR="001A697B">
              <w:t xml:space="preserve">.  ERCOT </w:t>
            </w:r>
            <w:r w:rsidR="007E1F3E">
              <w:t>stated</w:t>
            </w:r>
            <w:r w:rsidR="00BC3145">
              <w:t xml:space="preserve"> continued willingness to work with stakeholders to </w:t>
            </w:r>
            <w:r w:rsidR="00E05BB2">
              <w:t>further</w:t>
            </w:r>
            <w:r w:rsidR="00BC3145">
              <w:t xml:space="preserve"> refin</w:t>
            </w:r>
            <w:r w:rsidR="00E05BB2">
              <w:t>e</w:t>
            </w:r>
            <w:r w:rsidR="00BC3145">
              <w:t xml:space="preserve"> NOGRR272 moving forward.</w:t>
            </w:r>
          </w:p>
        </w:tc>
      </w:tr>
      <w:tr w:rsidR="00B0353A" w14:paraId="42E5D549" w14:textId="77777777" w:rsidTr="009C711D">
        <w:trPr>
          <w:trHeight w:val="60"/>
        </w:trPr>
        <w:tc>
          <w:tcPr>
            <w:tcW w:w="2880" w:type="dxa"/>
            <w:gridSpan w:val="2"/>
            <w:tcBorders>
              <w:left w:val="nil"/>
              <w:right w:val="nil"/>
            </w:tcBorders>
            <w:shd w:val="clear" w:color="auto" w:fill="FFFFFF"/>
            <w:vAlign w:val="center"/>
          </w:tcPr>
          <w:p w14:paraId="4524201A" w14:textId="77777777" w:rsidR="00B0353A" w:rsidRDefault="00B0353A" w:rsidP="009C711D">
            <w:pPr>
              <w:pStyle w:val="Header"/>
            </w:pPr>
          </w:p>
        </w:tc>
        <w:tc>
          <w:tcPr>
            <w:tcW w:w="7560" w:type="dxa"/>
            <w:gridSpan w:val="2"/>
            <w:tcBorders>
              <w:left w:val="nil"/>
              <w:right w:val="nil"/>
            </w:tcBorders>
            <w:vAlign w:val="center"/>
          </w:tcPr>
          <w:p w14:paraId="15F06881" w14:textId="77777777" w:rsidR="00B0353A" w:rsidRDefault="00B0353A" w:rsidP="009C711D">
            <w:pPr>
              <w:pStyle w:val="NormalArial"/>
            </w:pPr>
          </w:p>
        </w:tc>
      </w:tr>
      <w:tr w:rsidR="00B0353A" w14:paraId="1925A8F8" w14:textId="77777777" w:rsidTr="009C711D">
        <w:trPr>
          <w:trHeight w:val="518"/>
        </w:trPr>
        <w:tc>
          <w:tcPr>
            <w:tcW w:w="10440" w:type="dxa"/>
            <w:gridSpan w:val="4"/>
            <w:shd w:val="clear" w:color="auto" w:fill="FFFFFF"/>
            <w:vAlign w:val="center"/>
          </w:tcPr>
          <w:p w14:paraId="063422BF" w14:textId="77777777" w:rsidR="00B0353A" w:rsidRDefault="00B0353A" w:rsidP="009C711D">
            <w:pPr>
              <w:pStyle w:val="NormalArial"/>
              <w:spacing w:before="120" w:after="120"/>
              <w:jc w:val="center"/>
            </w:pPr>
            <w:r w:rsidRPr="001D0AB6">
              <w:rPr>
                <w:b/>
              </w:rPr>
              <w:lastRenderedPageBreak/>
              <w:t>Opinions</w:t>
            </w:r>
          </w:p>
        </w:tc>
      </w:tr>
      <w:tr w:rsidR="00B0353A" w14:paraId="6D9CF95F" w14:textId="77777777" w:rsidTr="009C711D">
        <w:trPr>
          <w:trHeight w:val="518"/>
        </w:trPr>
        <w:tc>
          <w:tcPr>
            <w:tcW w:w="2880" w:type="dxa"/>
            <w:gridSpan w:val="2"/>
            <w:shd w:val="clear" w:color="auto" w:fill="FFFFFF"/>
            <w:vAlign w:val="center"/>
          </w:tcPr>
          <w:p w14:paraId="54CFF2AE" w14:textId="77777777" w:rsidR="00B0353A" w:rsidRDefault="00B0353A" w:rsidP="009C711D">
            <w:pPr>
              <w:pStyle w:val="Header"/>
              <w:spacing w:before="120" w:after="120"/>
            </w:pPr>
            <w:r w:rsidRPr="001D0AB6">
              <w:t>Credit Review</w:t>
            </w:r>
          </w:p>
        </w:tc>
        <w:tc>
          <w:tcPr>
            <w:tcW w:w="7560" w:type="dxa"/>
            <w:gridSpan w:val="2"/>
            <w:vAlign w:val="center"/>
          </w:tcPr>
          <w:p w14:paraId="489DED14" w14:textId="77777777" w:rsidR="00B0353A" w:rsidRDefault="00B0353A" w:rsidP="009C711D">
            <w:pPr>
              <w:pStyle w:val="NormalArial"/>
              <w:spacing w:before="120" w:after="120"/>
            </w:pPr>
            <w:r>
              <w:t>Not applicable</w:t>
            </w:r>
          </w:p>
        </w:tc>
      </w:tr>
      <w:tr w:rsidR="00B0353A" w14:paraId="279151AB" w14:textId="77777777" w:rsidTr="009C711D">
        <w:trPr>
          <w:trHeight w:val="518"/>
        </w:trPr>
        <w:tc>
          <w:tcPr>
            <w:tcW w:w="2880" w:type="dxa"/>
            <w:gridSpan w:val="2"/>
            <w:shd w:val="clear" w:color="auto" w:fill="FFFFFF"/>
            <w:vAlign w:val="center"/>
          </w:tcPr>
          <w:p w14:paraId="3A179AF0" w14:textId="77777777" w:rsidR="00B0353A" w:rsidRDefault="00B0353A" w:rsidP="009C711D">
            <w:pPr>
              <w:pStyle w:val="Header"/>
              <w:spacing w:before="120" w:after="120"/>
            </w:pPr>
            <w:r w:rsidRPr="001D0AB6">
              <w:t>Independent Market Monitor Opinion</w:t>
            </w:r>
          </w:p>
        </w:tc>
        <w:tc>
          <w:tcPr>
            <w:tcW w:w="7560" w:type="dxa"/>
            <w:gridSpan w:val="2"/>
            <w:vAlign w:val="center"/>
          </w:tcPr>
          <w:p w14:paraId="369FB28B" w14:textId="77777777" w:rsidR="00B0353A" w:rsidRDefault="00B0353A" w:rsidP="009C711D">
            <w:pPr>
              <w:pStyle w:val="NormalArial"/>
              <w:spacing w:before="120" w:after="120"/>
            </w:pPr>
            <w:r w:rsidRPr="001D0AB6">
              <w:t>To be determined</w:t>
            </w:r>
          </w:p>
        </w:tc>
      </w:tr>
      <w:tr w:rsidR="00B0353A" w14:paraId="5A61433B" w14:textId="77777777" w:rsidTr="009C711D">
        <w:trPr>
          <w:trHeight w:val="518"/>
        </w:trPr>
        <w:tc>
          <w:tcPr>
            <w:tcW w:w="2880" w:type="dxa"/>
            <w:gridSpan w:val="2"/>
            <w:shd w:val="clear" w:color="auto" w:fill="FFFFFF"/>
            <w:vAlign w:val="center"/>
          </w:tcPr>
          <w:p w14:paraId="0CF6D86D" w14:textId="77777777" w:rsidR="00B0353A" w:rsidRDefault="00B0353A" w:rsidP="009C711D">
            <w:pPr>
              <w:pStyle w:val="Header"/>
              <w:spacing w:before="120" w:after="120"/>
            </w:pPr>
            <w:r w:rsidRPr="001D0AB6">
              <w:t>ERCOT Opinion</w:t>
            </w:r>
          </w:p>
        </w:tc>
        <w:tc>
          <w:tcPr>
            <w:tcW w:w="7560" w:type="dxa"/>
            <w:gridSpan w:val="2"/>
            <w:vAlign w:val="center"/>
          </w:tcPr>
          <w:p w14:paraId="74D99620" w14:textId="77777777" w:rsidR="00B0353A" w:rsidRDefault="00B0353A" w:rsidP="009C711D">
            <w:pPr>
              <w:pStyle w:val="NormalArial"/>
              <w:spacing w:before="120" w:after="120"/>
            </w:pPr>
            <w:r w:rsidRPr="001D0AB6">
              <w:t>To be determined</w:t>
            </w:r>
          </w:p>
        </w:tc>
      </w:tr>
      <w:tr w:rsidR="00B0353A" w14:paraId="318824CA" w14:textId="77777777" w:rsidTr="009C711D">
        <w:trPr>
          <w:trHeight w:val="518"/>
        </w:trPr>
        <w:tc>
          <w:tcPr>
            <w:tcW w:w="2880" w:type="dxa"/>
            <w:gridSpan w:val="2"/>
            <w:tcBorders>
              <w:bottom w:val="single" w:sz="4" w:space="0" w:color="auto"/>
            </w:tcBorders>
            <w:shd w:val="clear" w:color="auto" w:fill="FFFFFF"/>
            <w:vAlign w:val="center"/>
          </w:tcPr>
          <w:p w14:paraId="605D2724" w14:textId="77777777" w:rsidR="00B0353A" w:rsidRDefault="00B0353A" w:rsidP="009C711D">
            <w:pPr>
              <w:pStyle w:val="Header"/>
              <w:spacing w:before="120" w:after="120"/>
            </w:pPr>
            <w:r w:rsidRPr="001D0AB6">
              <w:t>ERCOT Market Impact Statement</w:t>
            </w:r>
          </w:p>
        </w:tc>
        <w:tc>
          <w:tcPr>
            <w:tcW w:w="7560" w:type="dxa"/>
            <w:gridSpan w:val="2"/>
            <w:tcBorders>
              <w:bottom w:val="single" w:sz="4" w:space="0" w:color="auto"/>
            </w:tcBorders>
            <w:vAlign w:val="center"/>
          </w:tcPr>
          <w:p w14:paraId="70B381D1" w14:textId="77777777" w:rsidR="00B0353A" w:rsidRDefault="00B0353A" w:rsidP="009C711D">
            <w:pPr>
              <w:pStyle w:val="NormalArial"/>
              <w:spacing w:before="120" w:after="120"/>
            </w:pPr>
            <w:r w:rsidRPr="001D0AB6">
              <w:t>To be determined</w:t>
            </w:r>
          </w:p>
        </w:tc>
      </w:tr>
    </w:tbl>
    <w:p w14:paraId="6BA42F7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4A22" w14:paraId="1E7CE77F" w14:textId="77777777" w:rsidTr="009C711D">
        <w:trPr>
          <w:cantSplit/>
          <w:trHeight w:val="432"/>
        </w:trPr>
        <w:tc>
          <w:tcPr>
            <w:tcW w:w="10440" w:type="dxa"/>
            <w:gridSpan w:val="2"/>
            <w:tcBorders>
              <w:top w:val="single" w:sz="4" w:space="0" w:color="auto"/>
            </w:tcBorders>
            <w:shd w:val="clear" w:color="auto" w:fill="FFFFFF"/>
            <w:vAlign w:val="center"/>
          </w:tcPr>
          <w:p w14:paraId="3700384E" w14:textId="77777777" w:rsidR="00054A22" w:rsidRPr="00BC3ADE" w:rsidRDefault="00054A22" w:rsidP="009C711D">
            <w:pPr>
              <w:pStyle w:val="Header"/>
              <w:jc w:val="center"/>
            </w:pPr>
            <w:r>
              <w:t>Sponsor</w:t>
            </w:r>
          </w:p>
        </w:tc>
      </w:tr>
      <w:tr w:rsidR="00054A22" w14:paraId="70920CDF" w14:textId="77777777" w:rsidTr="009C711D">
        <w:trPr>
          <w:cantSplit/>
          <w:trHeight w:val="432"/>
        </w:trPr>
        <w:tc>
          <w:tcPr>
            <w:tcW w:w="2880" w:type="dxa"/>
            <w:shd w:val="clear" w:color="auto" w:fill="FFFFFF"/>
            <w:vAlign w:val="center"/>
          </w:tcPr>
          <w:p w14:paraId="38C9C0D7" w14:textId="77777777" w:rsidR="00054A22" w:rsidRPr="00B93CA0" w:rsidRDefault="00054A22" w:rsidP="009C711D">
            <w:pPr>
              <w:pStyle w:val="Header"/>
              <w:rPr>
                <w:bCs w:val="0"/>
              </w:rPr>
            </w:pPr>
            <w:r w:rsidRPr="00B93CA0">
              <w:rPr>
                <w:bCs w:val="0"/>
              </w:rPr>
              <w:t>Name</w:t>
            </w:r>
          </w:p>
        </w:tc>
        <w:tc>
          <w:tcPr>
            <w:tcW w:w="7560" w:type="dxa"/>
            <w:vAlign w:val="center"/>
          </w:tcPr>
          <w:p w14:paraId="2EF7B972" w14:textId="77777777" w:rsidR="00054A22" w:rsidRDefault="00054A22" w:rsidP="009C711D">
            <w:pPr>
              <w:pStyle w:val="NormalArial"/>
            </w:pPr>
            <w:r>
              <w:t>Shun Hsien (Fred) Huang</w:t>
            </w:r>
          </w:p>
        </w:tc>
      </w:tr>
      <w:tr w:rsidR="00054A22" w14:paraId="1DF1B95A" w14:textId="77777777" w:rsidTr="009C711D">
        <w:trPr>
          <w:cantSplit/>
          <w:trHeight w:val="432"/>
        </w:trPr>
        <w:tc>
          <w:tcPr>
            <w:tcW w:w="2880" w:type="dxa"/>
            <w:shd w:val="clear" w:color="auto" w:fill="FFFFFF"/>
            <w:vAlign w:val="center"/>
          </w:tcPr>
          <w:p w14:paraId="2E04CBA3" w14:textId="77777777" w:rsidR="00054A22" w:rsidRPr="00B93CA0" w:rsidRDefault="00054A22" w:rsidP="009C711D">
            <w:pPr>
              <w:pStyle w:val="Header"/>
              <w:rPr>
                <w:bCs w:val="0"/>
              </w:rPr>
            </w:pPr>
            <w:r w:rsidRPr="00B93CA0">
              <w:rPr>
                <w:bCs w:val="0"/>
              </w:rPr>
              <w:t>E-mail Address</w:t>
            </w:r>
          </w:p>
        </w:tc>
        <w:tc>
          <w:tcPr>
            <w:tcW w:w="7560" w:type="dxa"/>
            <w:vAlign w:val="center"/>
          </w:tcPr>
          <w:p w14:paraId="0904F32D" w14:textId="77777777" w:rsidR="00054A22" w:rsidRDefault="00054A22" w:rsidP="009C711D">
            <w:pPr>
              <w:pStyle w:val="NormalArial"/>
            </w:pPr>
            <w:hyperlink r:id="rId21" w:history="1">
              <w:r w:rsidRPr="0017561C">
                <w:rPr>
                  <w:rStyle w:val="Hyperlink"/>
                </w:rPr>
                <w:t>Shun-Hsien.Huang@ercot.com</w:t>
              </w:r>
            </w:hyperlink>
            <w:r>
              <w:t xml:space="preserve"> </w:t>
            </w:r>
          </w:p>
        </w:tc>
      </w:tr>
      <w:tr w:rsidR="00054A22" w14:paraId="1549E125" w14:textId="77777777" w:rsidTr="009C711D">
        <w:trPr>
          <w:cantSplit/>
          <w:trHeight w:val="432"/>
        </w:trPr>
        <w:tc>
          <w:tcPr>
            <w:tcW w:w="2880" w:type="dxa"/>
            <w:shd w:val="clear" w:color="auto" w:fill="FFFFFF"/>
            <w:vAlign w:val="center"/>
          </w:tcPr>
          <w:p w14:paraId="5D60676B" w14:textId="77777777" w:rsidR="00054A22" w:rsidRPr="00B93CA0" w:rsidRDefault="00054A22" w:rsidP="009C711D">
            <w:pPr>
              <w:pStyle w:val="Header"/>
              <w:rPr>
                <w:bCs w:val="0"/>
              </w:rPr>
            </w:pPr>
            <w:r w:rsidRPr="00B93CA0">
              <w:rPr>
                <w:bCs w:val="0"/>
              </w:rPr>
              <w:t>Company</w:t>
            </w:r>
          </w:p>
        </w:tc>
        <w:tc>
          <w:tcPr>
            <w:tcW w:w="7560" w:type="dxa"/>
            <w:vAlign w:val="center"/>
          </w:tcPr>
          <w:p w14:paraId="566C56C7" w14:textId="77777777" w:rsidR="00054A22" w:rsidRDefault="00054A22" w:rsidP="009C711D">
            <w:pPr>
              <w:pStyle w:val="NormalArial"/>
            </w:pPr>
            <w:r>
              <w:t>ERCOT</w:t>
            </w:r>
          </w:p>
        </w:tc>
      </w:tr>
      <w:tr w:rsidR="00054A22" w14:paraId="05C9C5F0" w14:textId="77777777" w:rsidTr="009C711D">
        <w:trPr>
          <w:cantSplit/>
          <w:trHeight w:val="432"/>
        </w:trPr>
        <w:tc>
          <w:tcPr>
            <w:tcW w:w="2880" w:type="dxa"/>
            <w:tcBorders>
              <w:bottom w:val="single" w:sz="4" w:space="0" w:color="auto"/>
            </w:tcBorders>
            <w:shd w:val="clear" w:color="auto" w:fill="FFFFFF"/>
            <w:vAlign w:val="center"/>
          </w:tcPr>
          <w:p w14:paraId="4E4EFB8B" w14:textId="77777777" w:rsidR="00054A22" w:rsidRPr="00B93CA0" w:rsidRDefault="00054A22" w:rsidP="009C711D">
            <w:pPr>
              <w:pStyle w:val="Header"/>
              <w:rPr>
                <w:bCs w:val="0"/>
              </w:rPr>
            </w:pPr>
            <w:r w:rsidRPr="00B93CA0">
              <w:rPr>
                <w:bCs w:val="0"/>
              </w:rPr>
              <w:t>Phone Number</w:t>
            </w:r>
          </w:p>
        </w:tc>
        <w:tc>
          <w:tcPr>
            <w:tcW w:w="7560" w:type="dxa"/>
            <w:tcBorders>
              <w:bottom w:val="single" w:sz="4" w:space="0" w:color="auto"/>
            </w:tcBorders>
            <w:vAlign w:val="center"/>
          </w:tcPr>
          <w:p w14:paraId="4714D8B1" w14:textId="77777777" w:rsidR="00054A22" w:rsidRDefault="00054A22" w:rsidP="009C711D">
            <w:pPr>
              <w:pStyle w:val="NormalArial"/>
            </w:pPr>
            <w:r>
              <w:t>512-248-6665</w:t>
            </w:r>
          </w:p>
        </w:tc>
      </w:tr>
      <w:tr w:rsidR="00054A22" w14:paraId="58367308" w14:textId="77777777" w:rsidTr="009C711D">
        <w:trPr>
          <w:cantSplit/>
          <w:trHeight w:val="432"/>
        </w:trPr>
        <w:tc>
          <w:tcPr>
            <w:tcW w:w="2880" w:type="dxa"/>
            <w:shd w:val="clear" w:color="auto" w:fill="FFFFFF"/>
            <w:vAlign w:val="center"/>
          </w:tcPr>
          <w:p w14:paraId="28BB2E2E" w14:textId="77777777" w:rsidR="00054A22" w:rsidRPr="00B93CA0" w:rsidRDefault="00054A22" w:rsidP="009C711D">
            <w:pPr>
              <w:pStyle w:val="Header"/>
              <w:rPr>
                <w:bCs w:val="0"/>
              </w:rPr>
            </w:pPr>
            <w:r>
              <w:rPr>
                <w:bCs w:val="0"/>
              </w:rPr>
              <w:t>Cell</w:t>
            </w:r>
            <w:r w:rsidRPr="00B93CA0">
              <w:rPr>
                <w:bCs w:val="0"/>
              </w:rPr>
              <w:t xml:space="preserve"> Number</w:t>
            </w:r>
          </w:p>
        </w:tc>
        <w:tc>
          <w:tcPr>
            <w:tcW w:w="7560" w:type="dxa"/>
            <w:vAlign w:val="center"/>
          </w:tcPr>
          <w:p w14:paraId="2FE751B6" w14:textId="77777777" w:rsidR="00054A22" w:rsidRDefault="00054A22" w:rsidP="009C711D">
            <w:pPr>
              <w:pStyle w:val="NormalArial"/>
            </w:pPr>
            <w:r>
              <w:t>None</w:t>
            </w:r>
          </w:p>
        </w:tc>
      </w:tr>
      <w:tr w:rsidR="00054A22" w14:paraId="6227FE3A" w14:textId="77777777" w:rsidTr="009C711D">
        <w:trPr>
          <w:cantSplit/>
          <w:trHeight w:val="432"/>
        </w:trPr>
        <w:tc>
          <w:tcPr>
            <w:tcW w:w="2880" w:type="dxa"/>
            <w:tcBorders>
              <w:bottom w:val="single" w:sz="4" w:space="0" w:color="auto"/>
            </w:tcBorders>
            <w:shd w:val="clear" w:color="auto" w:fill="FFFFFF"/>
            <w:vAlign w:val="center"/>
          </w:tcPr>
          <w:p w14:paraId="3BE7D16C" w14:textId="77777777" w:rsidR="00054A22" w:rsidRPr="00B93CA0" w:rsidRDefault="00054A22" w:rsidP="009C711D">
            <w:pPr>
              <w:pStyle w:val="Header"/>
              <w:rPr>
                <w:bCs w:val="0"/>
              </w:rPr>
            </w:pPr>
            <w:r>
              <w:rPr>
                <w:bCs w:val="0"/>
              </w:rPr>
              <w:t>Market Segment</w:t>
            </w:r>
          </w:p>
        </w:tc>
        <w:tc>
          <w:tcPr>
            <w:tcW w:w="7560" w:type="dxa"/>
            <w:tcBorders>
              <w:bottom w:val="single" w:sz="4" w:space="0" w:color="auto"/>
            </w:tcBorders>
            <w:vAlign w:val="center"/>
          </w:tcPr>
          <w:p w14:paraId="4759FC11" w14:textId="77777777" w:rsidR="00054A22" w:rsidRDefault="00054A22" w:rsidP="009C711D">
            <w:pPr>
              <w:pStyle w:val="NormalArial"/>
            </w:pPr>
            <w:r>
              <w:t>Not applicable</w:t>
            </w:r>
          </w:p>
        </w:tc>
      </w:tr>
    </w:tbl>
    <w:p w14:paraId="3350E00C" w14:textId="77777777" w:rsidR="00054A22" w:rsidRPr="00D56D61" w:rsidRDefault="00054A22" w:rsidP="00054A2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54A22" w:rsidRPr="00D56D61" w14:paraId="38EB26BB" w14:textId="77777777" w:rsidTr="009C711D">
        <w:trPr>
          <w:cantSplit/>
          <w:trHeight w:val="530"/>
        </w:trPr>
        <w:tc>
          <w:tcPr>
            <w:tcW w:w="10440" w:type="dxa"/>
            <w:gridSpan w:val="2"/>
            <w:vAlign w:val="center"/>
          </w:tcPr>
          <w:p w14:paraId="40AFF231" w14:textId="77777777" w:rsidR="00054A22" w:rsidRPr="008C78F3" w:rsidRDefault="00054A22" w:rsidP="009C711D">
            <w:pPr>
              <w:pStyle w:val="NormalArial"/>
              <w:jc w:val="center"/>
            </w:pPr>
            <w:r w:rsidRPr="007C199B">
              <w:rPr>
                <w:b/>
              </w:rPr>
              <w:t>Market Rules Staff Contact</w:t>
            </w:r>
          </w:p>
        </w:tc>
      </w:tr>
      <w:tr w:rsidR="00054A22" w:rsidRPr="00D56D61" w14:paraId="00A743D1" w14:textId="77777777" w:rsidTr="009C711D">
        <w:trPr>
          <w:cantSplit/>
          <w:trHeight w:val="432"/>
        </w:trPr>
        <w:tc>
          <w:tcPr>
            <w:tcW w:w="2880" w:type="dxa"/>
            <w:vAlign w:val="center"/>
          </w:tcPr>
          <w:p w14:paraId="3039A11C" w14:textId="77777777" w:rsidR="00054A22" w:rsidRPr="007C199B" w:rsidRDefault="00054A22" w:rsidP="009C711D">
            <w:pPr>
              <w:pStyle w:val="NormalArial"/>
              <w:rPr>
                <w:b/>
              </w:rPr>
            </w:pPr>
            <w:r w:rsidRPr="007C199B">
              <w:rPr>
                <w:b/>
              </w:rPr>
              <w:t>Name</w:t>
            </w:r>
          </w:p>
        </w:tc>
        <w:tc>
          <w:tcPr>
            <w:tcW w:w="7560" w:type="dxa"/>
            <w:vAlign w:val="center"/>
          </w:tcPr>
          <w:p w14:paraId="2DE68C76" w14:textId="77777777" w:rsidR="00054A22" w:rsidRPr="008C78F3" w:rsidRDefault="00054A22" w:rsidP="009C711D">
            <w:pPr>
              <w:pStyle w:val="NormalArial"/>
            </w:pPr>
            <w:r>
              <w:t>Jordan Troublefield</w:t>
            </w:r>
          </w:p>
        </w:tc>
      </w:tr>
      <w:tr w:rsidR="00054A22" w:rsidRPr="00D56D61" w14:paraId="75711D9F" w14:textId="77777777" w:rsidTr="009C711D">
        <w:trPr>
          <w:cantSplit/>
          <w:trHeight w:val="432"/>
        </w:trPr>
        <w:tc>
          <w:tcPr>
            <w:tcW w:w="2880" w:type="dxa"/>
            <w:vAlign w:val="center"/>
          </w:tcPr>
          <w:p w14:paraId="2BE15E34" w14:textId="77777777" w:rsidR="00054A22" w:rsidRPr="007C199B" w:rsidRDefault="00054A22" w:rsidP="009C711D">
            <w:pPr>
              <w:pStyle w:val="NormalArial"/>
              <w:rPr>
                <w:b/>
              </w:rPr>
            </w:pPr>
            <w:r w:rsidRPr="007C199B">
              <w:rPr>
                <w:b/>
              </w:rPr>
              <w:t>E-Mail Address</w:t>
            </w:r>
          </w:p>
        </w:tc>
        <w:tc>
          <w:tcPr>
            <w:tcW w:w="7560" w:type="dxa"/>
            <w:vAlign w:val="center"/>
          </w:tcPr>
          <w:p w14:paraId="7FE7A9FC" w14:textId="77777777" w:rsidR="00054A22" w:rsidRPr="00D56D61" w:rsidRDefault="00054A22" w:rsidP="009C711D">
            <w:pPr>
              <w:pStyle w:val="NormalArial"/>
            </w:pPr>
            <w:hyperlink r:id="rId22" w:history="1">
              <w:r w:rsidRPr="0017561C">
                <w:rPr>
                  <w:rStyle w:val="Hyperlink"/>
                </w:rPr>
                <w:t>Jordan.Troublefield@ercot.com</w:t>
              </w:r>
            </w:hyperlink>
            <w:r>
              <w:t xml:space="preserve"> </w:t>
            </w:r>
          </w:p>
        </w:tc>
      </w:tr>
      <w:tr w:rsidR="00054A22" w:rsidRPr="005370B5" w14:paraId="1B20FFF3" w14:textId="77777777" w:rsidTr="009C711D">
        <w:trPr>
          <w:cantSplit/>
          <w:trHeight w:val="432"/>
        </w:trPr>
        <w:tc>
          <w:tcPr>
            <w:tcW w:w="2880" w:type="dxa"/>
            <w:tcBorders>
              <w:bottom w:val="single" w:sz="4" w:space="0" w:color="auto"/>
            </w:tcBorders>
            <w:vAlign w:val="center"/>
          </w:tcPr>
          <w:p w14:paraId="0F8A42BE" w14:textId="77777777" w:rsidR="00054A22" w:rsidRPr="007C199B" w:rsidRDefault="00054A22" w:rsidP="009C711D">
            <w:pPr>
              <w:pStyle w:val="NormalArial"/>
              <w:rPr>
                <w:b/>
              </w:rPr>
            </w:pPr>
            <w:r w:rsidRPr="007C199B">
              <w:rPr>
                <w:b/>
              </w:rPr>
              <w:t>Phone Number</w:t>
            </w:r>
          </w:p>
        </w:tc>
        <w:tc>
          <w:tcPr>
            <w:tcW w:w="7560" w:type="dxa"/>
            <w:tcBorders>
              <w:bottom w:val="single" w:sz="4" w:space="0" w:color="auto"/>
            </w:tcBorders>
            <w:vAlign w:val="center"/>
          </w:tcPr>
          <w:p w14:paraId="462F2EBE" w14:textId="77777777" w:rsidR="00054A22" w:rsidRDefault="00054A22" w:rsidP="009C711D">
            <w:pPr>
              <w:pStyle w:val="NormalArial"/>
            </w:pPr>
            <w:r w:rsidRPr="00E2266B">
              <w:t>512-248-6521</w:t>
            </w:r>
          </w:p>
        </w:tc>
      </w:tr>
      <w:tr w:rsidR="00054A22" w:rsidRPr="005370B5" w14:paraId="4E6CC7C9" w14:textId="77777777" w:rsidTr="009C711D">
        <w:trPr>
          <w:cantSplit/>
          <w:trHeight w:val="60"/>
        </w:trPr>
        <w:tc>
          <w:tcPr>
            <w:tcW w:w="2880" w:type="dxa"/>
            <w:tcBorders>
              <w:left w:val="nil"/>
              <w:right w:val="nil"/>
            </w:tcBorders>
            <w:vAlign w:val="center"/>
          </w:tcPr>
          <w:p w14:paraId="5C07C758" w14:textId="77777777" w:rsidR="00054A22" w:rsidRPr="007C199B" w:rsidRDefault="00054A22" w:rsidP="009C711D">
            <w:pPr>
              <w:pStyle w:val="NormalArial"/>
              <w:rPr>
                <w:b/>
              </w:rPr>
            </w:pPr>
          </w:p>
        </w:tc>
        <w:tc>
          <w:tcPr>
            <w:tcW w:w="7560" w:type="dxa"/>
            <w:tcBorders>
              <w:left w:val="nil"/>
              <w:right w:val="nil"/>
            </w:tcBorders>
            <w:vAlign w:val="center"/>
          </w:tcPr>
          <w:p w14:paraId="31777268" w14:textId="77777777" w:rsidR="00054A22" w:rsidRDefault="00054A22" w:rsidP="009C711D">
            <w:pPr>
              <w:pStyle w:val="NormalArial"/>
            </w:pPr>
          </w:p>
        </w:tc>
      </w:tr>
      <w:tr w:rsidR="00054A22" w:rsidRPr="005370B5" w14:paraId="39205BBD" w14:textId="77777777" w:rsidTr="009C711D">
        <w:trPr>
          <w:cantSplit/>
          <w:trHeight w:val="432"/>
        </w:trPr>
        <w:tc>
          <w:tcPr>
            <w:tcW w:w="10440" w:type="dxa"/>
            <w:gridSpan w:val="2"/>
            <w:vAlign w:val="center"/>
          </w:tcPr>
          <w:p w14:paraId="3E395937" w14:textId="77777777" w:rsidR="00054A22" w:rsidRPr="003E721B" w:rsidRDefault="00054A22" w:rsidP="009C711D">
            <w:pPr>
              <w:pStyle w:val="NormalArial"/>
              <w:jc w:val="center"/>
              <w:rPr>
                <w:b/>
                <w:bCs/>
              </w:rPr>
            </w:pPr>
            <w:r w:rsidRPr="003E721B">
              <w:rPr>
                <w:b/>
                <w:bCs/>
              </w:rPr>
              <w:t>Comments Received</w:t>
            </w:r>
          </w:p>
        </w:tc>
      </w:tr>
      <w:tr w:rsidR="00054A22" w:rsidRPr="005370B5" w14:paraId="61F1FD78" w14:textId="77777777" w:rsidTr="009C711D">
        <w:trPr>
          <w:cantSplit/>
          <w:trHeight w:val="432"/>
        </w:trPr>
        <w:tc>
          <w:tcPr>
            <w:tcW w:w="2880" w:type="dxa"/>
            <w:vAlign w:val="center"/>
          </w:tcPr>
          <w:p w14:paraId="296C2373" w14:textId="77777777" w:rsidR="00054A22" w:rsidRPr="007C199B" w:rsidRDefault="00054A22" w:rsidP="009C711D">
            <w:pPr>
              <w:pStyle w:val="NormalArial"/>
              <w:rPr>
                <w:b/>
              </w:rPr>
            </w:pPr>
            <w:r w:rsidRPr="001D0AB6">
              <w:rPr>
                <w:b/>
              </w:rPr>
              <w:t>Comment Author</w:t>
            </w:r>
          </w:p>
        </w:tc>
        <w:tc>
          <w:tcPr>
            <w:tcW w:w="7560" w:type="dxa"/>
            <w:vAlign w:val="center"/>
          </w:tcPr>
          <w:p w14:paraId="3498B8B0" w14:textId="77777777" w:rsidR="00054A22" w:rsidRDefault="00054A22" w:rsidP="009C711D">
            <w:pPr>
              <w:pStyle w:val="NormalArial"/>
            </w:pPr>
            <w:r w:rsidRPr="001D0AB6">
              <w:rPr>
                <w:b/>
              </w:rPr>
              <w:t>Comment Summary</w:t>
            </w:r>
          </w:p>
        </w:tc>
      </w:tr>
      <w:tr w:rsidR="00054A22" w:rsidRPr="005370B5" w14:paraId="5B072589" w14:textId="77777777" w:rsidTr="009C711D">
        <w:trPr>
          <w:cantSplit/>
          <w:trHeight w:val="432"/>
        </w:trPr>
        <w:tc>
          <w:tcPr>
            <w:tcW w:w="2880" w:type="dxa"/>
            <w:vAlign w:val="center"/>
          </w:tcPr>
          <w:p w14:paraId="1B95D404" w14:textId="77777777" w:rsidR="00054A22" w:rsidRPr="00B24462" w:rsidRDefault="00054A22" w:rsidP="009C711D">
            <w:pPr>
              <w:pStyle w:val="NormalArial"/>
              <w:rPr>
                <w:bCs/>
              </w:rPr>
            </w:pPr>
            <w:r w:rsidRPr="00B24462">
              <w:rPr>
                <w:bCs/>
              </w:rPr>
              <w:t>Jupiter Power 120424</w:t>
            </w:r>
          </w:p>
        </w:tc>
        <w:tc>
          <w:tcPr>
            <w:tcW w:w="7560" w:type="dxa"/>
            <w:vAlign w:val="center"/>
          </w:tcPr>
          <w:p w14:paraId="5DF354C0" w14:textId="77777777" w:rsidR="00054A22" w:rsidRDefault="00054A22" w:rsidP="009C711D">
            <w:pPr>
              <w:pStyle w:val="NormalArial"/>
              <w:spacing w:before="120" w:after="120"/>
            </w:pPr>
            <w:r>
              <w:t>Indicated it cannot support the proposed requirement for grid-forming inverters for ESRs as described in the NOGRR</w:t>
            </w:r>
          </w:p>
        </w:tc>
      </w:tr>
      <w:tr w:rsidR="00054A22" w:rsidRPr="005370B5" w14:paraId="70540AD2" w14:textId="77777777" w:rsidTr="009C711D">
        <w:trPr>
          <w:cantSplit/>
          <w:trHeight w:val="432"/>
        </w:trPr>
        <w:tc>
          <w:tcPr>
            <w:tcW w:w="2880" w:type="dxa"/>
            <w:vAlign w:val="center"/>
          </w:tcPr>
          <w:p w14:paraId="3C37E62A" w14:textId="77777777" w:rsidR="00054A22" w:rsidRPr="00B24462" w:rsidRDefault="00054A22" w:rsidP="009C711D">
            <w:pPr>
              <w:pStyle w:val="NormalArial"/>
              <w:rPr>
                <w:bCs/>
              </w:rPr>
            </w:pPr>
            <w:r>
              <w:rPr>
                <w:bCs/>
              </w:rPr>
              <w:t>Plus Power 011525</w:t>
            </w:r>
          </w:p>
        </w:tc>
        <w:tc>
          <w:tcPr>
            <w:tcW w:w="7560" w:type="dxa"/>
            <w:vAlign w:val="center"/>
          </w:tcPr>
          <w:p w14:paraId="4785BA97" w14:textId="77777777" w:rsidR="00054A22" w:rsidRDefault="00054A22" w:rsidP="009C711D">
            <w:pPr>
              <w:pStyle w:val="NormalArial"/>
              <w:spacing w:before="120" w:after="120"/>
            </w:pPr>
            <w:r>
              <w:t>Requested ERCOT address a range of questions regarding service integration before moving NOGRR272 forward; emphasized that ERCOT establish a fair and transparent compensation mechanism that recognizes the capital and operational costs incurred by ESRs in providing essential grid-forming services</w:t>
            </w:r>
          </w:p>
        </w:tc>
      </w:tr>
      <w:tr w:rsidR="00054A22" w:rsidRPr="005370B5" w14:paraId="2E0195E1" w14:textId="77777777" w:rsidTr="009C711D">
        <w:trPr>
          <w:cantSplit/>
          <w:trHeight w:val="432"/>
        </w:trPr>
        <w:tc>
          <w:tcPr>
            <w:tcW w:w="2880" w:type="dxa"/>
            <w:vAlign w:val="center"/>
          </w:tcPr>
          <w:p w14:paraId="632FFD91" w14:textId="77777777" w:rsidR="00054A22" w:rsidRPr="00B24462" w:rsidRDefault="00054A22" w:rsidP="009C711D">
            <w:pPr>
              <w:pStyle w:val="NormalArial"/>
              <w:rPr>
                <w:bCs/>
              </w:rPr>
            </w:pPr>
            <w:r>
              <w:rPr>
                <w:bCs/>
              </w:rPr>
              <w:lastRenderedPageBreak/>
              <w:t>SRDC 011625</w:t>
            </w:r>
          </w:p>
        </w:tc>
        <w:tc>
          <w:tcPr>
            <w:tcW w:w="7560" w:type="dxa"/>
            <w:vAlign w:val="center"/>
          </w:tcPr>
          <w:p w14:paraId="431F9771" w14:textId="24D61704" w:rsidR="00054A22" w:rsidRDefault="00054A22" w:rsidP="009C711D">
            <w:pPr>
              <w:pStyle w:val="NormalArial"/>
              <w:spacing w:before="120" w:after="120"/>
            </w:pPr>
            <w:r>
              <w:t>Stated that, to avoid potential policy challenges, NOGRR272 requirements should be forward-looking for resources that execute a</w:t>
            </w:r>
            <w:r w:rsidR="00EE1437">
              <w:t>n</w:t>
            </w:r>
            <w:r>
              <w:t xml:space="preserve"> SGIA on or after a date in the future as opposed to retroactively; argued that the NOGRR272 requirement to install equipment that is “over and above” existing technology providing additional service to the grid warrants renumeration; and posed additional questions in order to resolve perceived NOGRR272 issues</w:t>
            </w:r>
          </w:p>
        </w:tc>
      </w:tr>
      <w:tr w:rsidR="00054A22" w:rsidRPr="005370B5" w14:paraId="606CF922" w14:textId="77777777" w:rsidTr="009C711D">
        <w:trPr>
          <w:cantSplit/>
          <w:trHeight w:val="432"/>
        </w:trPr>
        <w:tc>
          <w:tcPr>
            <w:tcW w:w="2880" w:type="dxa"/>
            <w:vAlign w:val="center"/>
          </w:tcPr>
          <w:p w14:paraId="0DDFABB0" w14:textId="77777777" w:rsidR="00054A22" w:rsidRPr="00B24462" w:rsidRDefault="00054A22" w:rsidP="009C711D">
            <w:pPr>
              <w:pStyle w:val="NormalArial"/>
              <w:rPr>
                <w:bCs/>
              </w:rPr>
            </w:pPr>
            <w:r>
              <w:rPr>
                <w:bCs/>
              </w:rPr>
              <w:t>Joint Commenters 020525</w:t>
            </w:r>
          </w:p>
        </w:tc>
        <w:tc>
          <w:tcPr>
            <w:tcW w:w="7560" w:type="dxa"/>
            <w:vAlign w:val="center"/>
          </w:tcPr>
          <w:p w14:paraId="58CA3556" w14:textId="77777777" w:rsidR="00054A22" w:rsidRDefault="00054A22" w:rsidP="009C711D">
            <w:pPr>
              <w:pStyle w:val="NormalArial"/>
              <w:spacing w:before="120" w:after="120"/>
            </w:pPr>
            <w:r>
              <w:t xml:space="preserve">Expressed concern regarding NOGRR272 mandate that one subset of ERCOT resources pay for a service </w:t>
            </w:r>
            <w:r w:rsidRPr="006F1046">
              <w:t xml:space="preserve">that results in significant stability benefits to the ERCOT System </w:t>
            </w:r>
            <w:r>
              <w:t>without any rate of return, long-term contract guarantee, or other compensation mechanism; requested ROS continue to table NOGRR272 until Joint Commenters file anticipated Nodal Protocol Revision Request (NPRR)</w:t>
            </w:r>
          </w:p>
        </w:tc>
      </w:tr>
      <w:tr w:rsidR="00054A22" w:rsidRPr="005370B5" w14:paraId="6C70ECA0" w14:textId="77777777" w:rsidTr="009C711D">
        <w:trPr>
          <w:cantSplit/>
          <w:trHeight w:val="432"/>
        </w:trPr>
        <w:tc>
          <w:tcPr>
            <w:tcW w:w="2880" w:type="dxa"/>
            <w:vAlign w:val="center"/>
          </w:tcPr>
          <w:p w14:paraId="4F9E85D6" w14:textId="77777777" w:rsidR="00054A22" w:rsidRPr="00B24462" w:rsidRDefault="00054A22" w:rsidP="009C711D">
            <w:pPr>
              <w:pStyle w:val="NormalArial"/>
              <w:rPr>
                <w:bCs/>
              </w:rPr>
            </w:pPr>
            <w:r>
              <w:rPr>
                <w:bCs/>
              </w:rPr>
              <w:t>Plus Power 051325</w:t>
            </w:r>
          </w:p>
        </w:tc>
        <w:tc>
          <w:tcPr>
            <w:tcW w:w="7560" w:type="dxa"/>
            <w:vAlign w:val="center"/>
          </w:tcPr>
          <w:p w14:paraId="0F813F95" w14:textId="77777777" w:rsidR="00054A22" w:rsidRDefault="00054A22" w:rsidP="009C711D">
            <w:pPr>
              <w:pStyle w:val="NormalArial"/>
              <w:spacing w:before="120" w:after="120"/>
            </w:pPr>
            <w:r>
              <w:t xml:space="preserve">Cautioned that NOGRR272 fails to account for the additional costs associated with hardware, software, modeling, testing, and compliance to make facilities capable of providing such services; requested that ERCOT establish a clear regulatory framework for renumeration, define ESR performance requirements more clearly, and integrate grid-forming services into broader Ancillary Service framework; and encouraged ERCOT withdraw NOGRR272 in preference of NPRR1278, </w:t>
            </w:r>
            <w:r w:rsidRPr="007B30F8">
              <w:t>Establishing Advanced Grid Support Service as an Ancillary Service</w:t>
            </w:r>
          </w:p>
        </w:tc>
      </w:tr>
      <w:tr w:rsidR="00054A22" w:rsidRPr="005370B5" w14:paraId="267B3DFA" w14:textId="77777777" w:rsidTr="009C711D">
        <w:trPr>
          <w:cantSplit/>
          <w:trHeight w:val="432"/>
        </w:trPr>
        <w:tc>
          <w:tcPr>
            <w:tcW w:w="2880" w:type="dxa"/>
            <w:vAlign w:val="center"/>
          </w:tcPr>
          <w:p w14:paraId="4332AA7D" w14:textId="77777777" w:rsidR="00054A22" w:rsidRPr="00B24462" w:rsidRDefault="00054A22" w:rsidP="009C711D">
            <w:pPr>
              <w:pStyle w:val="NormalArial"/>
              <w:rPr>
                <w:bCs/>
              </w:rPr>
            </w:pPr>
            <w:r>
              <w:rPr>
                <w:bCs/>
              </w:rPr>
              <w:t>ERCOT 060425</w:t>
            </w:r>
          </w:p>
        </w:tc>
        <w:tc>
          <w:tcPr>
            <w:tcW w:w="7560" w:type="dxa"/>
            <w:vAlign w:val="center"/>
          </w:tcPr>
          <w:p w14:paraId="09C35AB3" w14:textId="77777777" w:rsidR="00054A22" w:rsidRDefault="00054A22" w:rsidP="009C711D">
            <w:pPr>
              <w:pStyle w:val="NormalArial"/>
              <w:spacing w:before="120" w:after="120"/>
            </w:pPr>
            <w:r>
              <w:t xml:space="preserve">Offered clarifying edits; cited issues with NPRR1278; requested that ROS advance NOGRR272 in consideration of September 23, 2025 ERCOT Board of Director meeting discussion; and proposed development of a future ERCOT-sponsored NPRR that will implement a one-time advanced grid support new technology incentive concept in order to encourage </w:t>
            </w:r>
            <w:proofErr w:type="gramStart"/>
            <w:r>
              <w:t>advanced</w:t>
            </w:r>
            <w:proofErr w:type="gramEnd"/>
            <w:r>
              <w:t xml:space="preserve"> grid support adoption for existing IBRs  </w:t>
            </w:r>
          </w:p>
        </w:tc>
      </w:tr>
      <w:tr w:rsidR="00054A22" w:rsidRPr="005370B5" w14:paraId="69CFFCEB" w14:textId="77777777" w:rsidTr="009C711D">
        <w:trPr>
          <w:cantSplit/>
          <w:trHeight w:val="432"/>
        </w:trPr>
        <w:tc>
          <w:tcPr>
            <w:tcW w:w="2880" w:type="dxa"/>
            <w:vAlign w:val="center"/>
          </w:tcPr>
          <w:p w14:paraId="61055518" w14:textId="77777777" w:rsidR="00054A22" w:rsidRPr="00B24462" w:rsidRDefault="00054A22" w:rsidP="009C711D">
            <w:pPr>
              <w:pStyle w:val="NormalArial"/>
              <w:rPr>
                <w:bCs/>
              </w:rPr>
            </w:pPr>
            <w:r>
              <w:rPr>
                <w:bCs/>
              </w:rPr>
              <w:t>Plus Power 060425</w:t>
            </w:r>
          </w:p>
        </w:tc>
        <w:tc>
          <w:tcPr>
            <w:tcW w:w="7560" w:type="dxa"/>
            <w:vAlign w:val="center"/>
          </w:tcPr>
          <w:p w14:paraId="249E592E" w14:textId="77777777" w:rsidR="00054A22" w:rsidRDefault="00054A22" w:rsidP="009C711D">
            <w:pPr>
              <w:pStyle w:val="NormalArial"/>
              <w:spacing w:before="120" w:after="120"/>
            </w:pPr>
            <w:r>
              <w:t>Reiterated NOGRR272 concerns regarding impractical implementation timeline, ambiguous performance requirements, and assumption that grid-forming functionality is standard or is cost-free in battery storage projects; criticized NOGRR272 as imposing a new regulatory obligation that negatively impacts one type of Generation Resource, namely ESRs, at the benefit of all other types; requested ERCOT reconsider NPRR1278 and withdraw NOGRR272; and provided additional edits in event ERCOT proceeds with NOGRR272</w:t>
            </w:r>
          </w:p>
        </w:tc>
      </w:tr>
      <w:tr w:rsidR="00054A22" w:rsidRPr="005370B5" w14:paraId="4BB42831" w14:textId="77777777" w:rsidTr="009C711D">
        <w:trPr>
          <w:cantSplit/>
          <w:trHeight w:val="432"/>
        </w:trPr>
        <w:tc>
          <w:tcPr>
            <w:tcW w:w="2880" w:type="dxa"/>
            <w:vAlign w:val="center"/>
          </w:tcPr>
          <w:p w14:paraId="6B26C0F3" w14:textId="77777777" w:rsidR="00054A22" w:rsidRPr="00B24462" w:rsidRDefault="00054A22" w:rsidP="009C711D">
            <w:pPr>
              <w:pStyle w:val="NormalArial"/>
              <w:rPr>
                <w:bCs/>
              </w:rPr>
            </w:pPr>
            <w:r>
              <w:rPr>
                <w:bCs/>
              </w:rPr>
              <w:t>NextEra Energy Resources 061325</w:t>
            </w:r>
          </w:p>
        </w:tc>
        <w:tc>
          <w:tcPr>
            <w:tcW w:w="7560" w:type="dxa"/>
            <w:vAlign w:val="center"/>
          </w:tcPr>
          <w:p w14:paraId="48C5149A" w14:textId="77777777" w:rsidR="00054A22" w:rsidRPr="000B57B1" w:rsidRDefault="00054A22" w:rsidP="009C711D">
            <w:pPr>
              <w:pStyle w:val="NormalArial"/>
              <w:spacing w:before="120" w:after="120"/>
              <w:rPr>
                <w:rFonts w:cs="Arial"/>
              </w:rPr>
            </w:pPr>
            <w:r>
              <w:rPr>
                <w:rFonts w:cs="Arial"/>
              </w:rPr>
              <w:t>Provided clarification edits; requested that ROS recommend approval of NOGRR272 as amended by the 6/13/25 NextEra Energy Resource comments</w:t>
            </w:r>
          </w:p>
        </w:tc>
      </w:tr>
      <w:tr w:rsidR="00054A22" w:rsidRPr="005370B5" w14:paraId="661A2292" w14:textId="77777777" w:rsidTr="009C711D">
        <w:trPr>
          <w:cantSplit/>
          <w:trHeight w:val="432"/>
        </w:trPr>
        <w:tc>
          <w:tcPr>
            <w:tcW w:w="2880" w:type="dxa"/>
            <w:vAlign w:val="center"/>
          </w:tcPr>
          <w:p w14:paraId="5976CE3E" w14:textId="77777777" w:rsidR="00054A22" w:rsidRPr="00B24462" w:rsidRDefault="00054A22" w:rsidP="009C711D">
            <w:pPr>
              <w:pStyle w:val="NormalArial"/>
              <w:rPr>
                <w:bCs/>
              </w:rPr>
            </w:pPr>
            <w:r>
              <w:rPr>
                <w:bCs/>
              </w:rPr>
              <w:lastRenderedPageBreak/>
              <w:t>ERCOT 070125</w:t>
            </w:r>
          </w:p>
        </w:tc>
        <w:tc>
          <w:tcPr>
            <w:tcW w:w="7560" w:type="dxa"/>
            <w:vAlign w:val="center"/>
          </w:tcPr>
          <w:p w14:paraId="3DD316B0" w14:textId="77777777" w:rsidR="00054A22" w:rsidRDefault="00054A22" w:rsidP="009C711D">
            <w:pPr>
              <w:pStyle w:val="NormalArial"/>
              <w:spacing w:before="120" w:after="120"/>
            </w:pPr>
            <w:r>
              <w:t>Responded to issues raised in 6/4/25 Plus Power and 6/13/25 NextEra Energy Resource comments; proposed additional edits; and committed to working with stakeholders to develop a market-based framework to compensate ESRs if withholding headroom and maintaining State of Charge (SOC) becomes necessary in the future</w:t>
            </w:r>
          </w:p>
        </w:tc>
      </w:tr>
      <w:tr w:rsidR="00054A22" w:rsidRPr="005370B5" w14:paraId="77EC211A" w14:textId="77777777" w:rsidTr="009C711D">
        <w:trPr>
          <w:cantSplit/>
          <w:trHeight w:val="432"/>
        </w:trPr>
        <w:tc>
          <w:tcPr>
            <w:tcW w:w="2880" w:type="dxa"/>
            <w:vAlign w:val="center"/>
          </w:tcPr>
          <w:p w14:paraId="13AD2391" w14:textId="77777777" w:rsidR="00054A22" w:rsidRPr="00B24462" w:rsidRDefault="00054A22" w:rsidP="009C711D">
            <w:pPr>
              <w:pStyle w:val="NormalArial"/>
              <w:rPr>
                <w:bCs/>
              </w:rPr>
            </w:pPr>
            <w:r>
              <w:rPr>
                <w:bCs/>
              </w:rPr>
              <w:t>Plus Power 070825</w:t>
            </w:r>
          </w:p>
        </w:tc>
        <w:tc>
          <w:tcPr>
            <w:tcW w:w="7560" w:type="dxa"/>
            <w:vAlign w:val="center"/>
          </w:tcPr>
          <w:p w14:paraId="743A340F" w14:textId="77777777" w:rsidR="00054A22" w:rsidRDefault="00054A22" w:rsidP="009C711D">
            <w:pPr>
              <w:pStyle w:val="NormalArial"/>
              <w:spacing w:before="120" w:after="120"/>
            </w:pPr>
            <w:r>
              <w:t>Expressed continued opposition of NOGRR272 on grounds of not being technology-neutral; requested that, if ERCOT not withdraw NOGRR272 in favor of NPRR1278, ERCOT revise NOGRR272 per provided phased approach language</w:t>
            </w:r>
          </w:p>
        </w:tc>
      </w:tr>
      <w:tr w:rsidR="00054A22" w:rsidRPr="005370B5" w14:paraId="5E7008BA" w14:textId="77777777" w:rsidTr="009C711D">
        <w:trPr>
          <w:cantSplit/>
          <w:trHeight w:val="432"/>
        </w:trPr>
        <w:tc>
          <w:tcPr>
            <w:tcW w:w="2880" w:type="dxa"/>
            <w:vAlign w:val="center"/>
          </w:tcPr>
          <w:p w14:paraId="38BED3D0" w14:textId="77777777" w:rsidR="00054A22" w:rsidRPr="00B24462" w:rsidRDefault="00054A22" w:rsidP="009C711D">
            <w:pPr>
              <w:pStyle w:val="NormalArial"/>
              <w:rPr>
                <w:bCs/>
              </w:rPr>
            </w:pPr>
            <w:r>
              <w:rPr>
                <w:bCs/>
              </w:rPr>
              <w:t>Joint Commenters 070925</w:t>
            </w:r>
          </w:p>
        </w:tc>
        <w:tc>
          <w:tcPr>
            <w:tcW w:w="7560" w:type="dxa"/>
            <w:vAlign w:val="center"/>
          </w:tcPr>
          <w:p w14:paraId="0BD0A5A9" w14:textId="77777777" w:rsidR="00054A22" w:rsidRDefault="00054A22" w:rsidP="009C711D">
            <w:pPr>
              <w:pStyle w:val="NormalArial"/>
              <w:spacing w:before="120" w:after="120"/>
            </w:pPr>
            <w:r>
              <w:t>Proposed additional edits regarding effective date and compliance concerns on top of the 7/1/25 ERCOT comments; requested that ROS recommend approval of NOGRR272 as amended by the 7/9/25 Joint Commenters comments or, alternatively, continue to table NOGRR272 for continued discussion; committed to supporting Urgent status request if necessary for NOGRR272 to receive September 23, 2025 ERCOT Board of Directors meeting discussion</w:t>
            </w:r>
          </w:p>
        </w:tc>
      </w:tr>
      <w:tr w:rsidR="00054A22" w:rsidRPr="005370B5" w14:paraId="4EE2C894" w14:textId="77777777" w:rsidTr="009C711D">
        <w:trPr>
          <w:cantSplit/>
          <w:trHeight w:val="432"/>
        </w:trPr>
        <w:tc>
          <w:tcPr>
            <w:tcW w:w="2880" w:type="dxa"/>
            <w:vAlign w:val="center"/>
          </w:tcPr>
          <w:p w14:paraId="0B0BBA97" w14:textId="77777777" w:rsidR="00054A22" w:rsidRPr="00B24462" w:rsidRDefault="00054A22" w:rsidP="009C711D">
            <w:pPr>
              <w:pStyle w:val="NormalArial"/>
              <w:rPr>
                <w:bCs/>
              </w:rPr>
            </w:pPr>
            <w:r>
              <w:rPr>
                <w:bCs/>
              </w:rPr>
              <w:t>HGP Storage 071025</w:t>
            </w:r>
          </w:p>
        </w:tc>
        <w:tc>
          <w:tcPr>
            <w:tcW w:w="7560" w:type="dxa"/>
            <w:vAlign w:val="center"/>
          </w:tcPr>
          <w:p w14:paraId="5C01DF5D" w14:textId="77777777" w:rsidR="00054A22" w:rsidRDefault="00054A22" w:rsidP="009C711D">
            <w:pPr>
              <w:pStyle w:val="NormalArial"/>
              <w:spacing w:before="120" w:after="120"/>
            </w:pPr>
            <w:r>
              <w:t>Requested ERCOT revise NOGRR272 or shift to a market-based, inclusive advanced grid support framework that acknowledges investment realities and statutory limits</w:t>
            </w:r>
          </w:p>
        </w:tc>
      </w:tr>
      <w:tr w:rsidR="00D270B7" w:rsidRPr="005370B5" w14:paraId="49131A68" w14:textId="77777777" w:rsidTr="009C711D">
        <w:trPr>
          <w:cantSplit/>
          <w:trHeight w:val="432"/>
        </w:trPr>
        <w:tc>
          <w:tcPr>
            <w:tcW w:w="2880" w:type="dxa"/>
            <w:vAlign w:val="center"/>
          </w:tcPr>
          <w:p w14:paraId="612EF1D0" w14:textId="59635698" w:rsidR="00D270B7" w:rsidRDefault="00D270B7" w:rsidP="009C711D">
            <w:pPr>
              <w:pStyle w:val="NormalArial"/>
              <w:rPr>
                <w:bCs/>
              </w:rPr>
            </w:pPr>
            <w:r>
              <w:rPr>
                <w:bCs/>
              </w:rPr>
              <w:t>Spearmint Energy 080125</w:t>
            </w:r>
          </w:p>
        </w:tc>
        <w:tc>
          <w:tcPr>
            <w:tcW w:w="7560" w:type="dxa"/>
            <w:vAlign w:val="center"/>
          </w:tcPr>
          <w:p w14:paraId="60FF9C11" w14:textId="59AE2B16" w:rsidR="00D270B7" w:rsidRDefault="00D270B7" w:rsidP="00D270B7">
            <w:pPr>
              <w:pStyle w:val="NormalArial"/>
              <w:spacing w:before="120" w:after="120"/>
            </w:pPr>
            <w:r>
              <w:t xml:space="preserve">Cautioned against perceived NOGRR272 technical flaws and </w:t>
            </w:r>
            <w:r w:rsidR="004D7320">
              <w:t>offered</w:t>
            </w:r>
            <w:r>
              <w:t xml:space="preserve"> additional edits to ensure proposed requirements are technically feasible and do not unintentionally inhibit resource optimization or interoperability </w:t>
            </w:r>
          </w:p>
        </w:tc>
      </w:tr>
      <w:tr w:rsidR="00D270B7" w:rsidRPr="005370B5" w14:paraId="62FA421E" w14:textId="77777777" w:rsidTr="009C711D">
        <w:trPr>
          <w:cantSplit/>
          <w:trHeight w:val="432"/>
        </w:trPr>
        <w:tc>
          <w:tcPr>
            <w:tcW w:w="2880" w:type="dxa"/>
            <w:vAlign w:val="center"/>
          </w:tcPr>
          <w:p w14:paraId="244ECC77" w14:textId="64EA9021" w:rsidR="00D270B7" w:rsidRDefault="00D270B7" w:rsidP="009C711D">
            <w:pPr>
              <w:pStyle w:val="NormalArial"/>
              <w:rPr>
                <w:bCs/>
              </w:rPr>
            </w:pPr>
            <w:r>
              <w:rPr>
                <w:bCs/>
              </w:rPr>
              <w:t>Mortenson 080125</w:t>
            </w:r>
          </w:p>
        </w:tc>
        <w:tc>
          <w:tcPr>
            <w:tcW w:w="7560" w:type="dxa"/>
            <w:vAlign w:val="center"/>
          </w:tcPr>
          <w:p w14:paraId="7E06B928" w14:textId="1FD30A9E" w:rsidR="00D270B7" w:rsidRDefault="00D270B7" w:rsidP="00D270B7">
            <w:pPr>
              <w:pStyle w:val="NormalArial"/>
              <w:spacing w:before="120" w:after="120"/>
            </w:pPr>
            <w:r>
              <w:t>Expressed concerns regarding variations in technical and procedural requirements across different U.S. markets</w:t>
            </w:r>
          </w:p>
        </w:tc>
      </w:tr>
      <w:tr w:rsidR="00D270B7" w:rsidRPr="005370B5" w14:paraId="7616EF74" w14:textId="77777777" w:rsidTr="009C711D">
        <w:trPr>
          <w:cantSplit/>
          <w:trHeight w:val="432"/>
        </w:trPr>
        <w:tc>
          <w:tcPr>
            <w:tcW w:w="2880" w:type="dxa"/>
            <w:vAlign w:val="center"/>
          </w:tcPr>
          <w:p w14:paraId="18F1AF19" w14:textId="20E75776" w:rsidR="00D270B7" w:rsidRDefault="00D270B7" w:rsidP="009C711D">
            <w:pPr>
              <w:pStyle w:val="NormalArial"/>
              <w:rPr>
                <w:bCs/>
              </w:rPr>
            </w:pPr>
            <w:r>
              <w:rPr>
                <w:bCs/>
              </w:rPr>
              <w:t>esVolta 080125</w:t>
            </w:r>
          </w:p>
        </w:tc>
        <w:tc>
          <w:tcPr>
            <w:tcW w:w="7560" w:type="dxa"/>
            <w:vAlign w:val="center"/>
          </w:tcPr>
          <w:p w14:paraId="0AD7063C" w14:textId="5AB077A4" w:rsidR="00D270B7" w:rsidRDefault="001F010A" w:rsidP="001F010A">
            <w:pPr>
              <w:pStyle w:val="NormalArial"/>
              <w:spacing w:before="120" w:after="120"/>
            </w:pPr>
            <w:r>
              <w:t>Requested removal of language from paragraph (2) of Section 2.14 of the 7/1/25 ERCOT comments, believing it to impose advanced grid-forming inverter requirements on resources undergoing certain modifications</w:t>
            </w:r>
          </w:p>
        </w:tc>
      </w:tr>
      <w:tr w:rsidR="00D270B7" w:rsidRPr="005370B5" w14:paraId="20FAE4C0" w14:textId="77777777" w:rsidTr="009C711D">
        <w:trPr>
          <w:cantSplit/>
          <w:trHeight w:val="432"/>
        </w:trPr>
        <w:tc>
          <w:tcPr>
            <w:tcW w:w="2880" w:type="dxa"/>
            <w:vAlign w:val="center"/>
          </w:tcPr>
          <w:p w14:paraId="1A29B382" w14:textId="364C0D46" w:rsidR="00D270B7" w:rsidRDefault="00D270B7" w:rsidP="009C711D">
            <w:pPr>
              <w:pStyle w:val="NormalArial"/>
              <w:rPr>
                <w:bCs/>
              </w:rPr>
            </w:pPr>
            <w:r>
              <w:rPr>
                <w:bCs/>
              </w:rPr>
              <w:t>ERCOT 080125</w:t>
            </w:r>
          </w:p>
        </w:tc>
        <w:tc>
          <w:tcPr>
            <w:tcW w:w="7560" w:type="dxa"/>
            <w:vAlign w:val="center"/>
          </w:tcPr>
          <w:p w14:paraId="4CD84C7B" w14:textId="51AF90FF" w:rsidR="00D270B7" w:rsidRDefault="00FF41D6" w:rsidP="00E74E71">
            <w:pPr>
              <w:pStyle w:val="NormalArial"/>
              <w:spacing w:before="120" w:after="120"/>
            </w:pPr>
            <w:r>
              <w:t xml:space="preserve">Clarified that an ESR is not required to reserve its capacity or SOC to provide advanced grid support; reiterated belief that requirements proposed for inverter-based ESRs in NOGRR272 are reasonable in their applicability to ESRs and </w:t>
            </w:r>
            <w:r w:rsidR="00E74E71">
              <w:t xml:space="preserve">are </w:t>
            </w:r>
            <w:r>
              <w:t>not discriminatory;</w:t>
            </w:r>
            <w:r w:rsidR="00E74E71">
              <w:t xml:space="preserve"> countered stakeholder concerns regarding presence of too many </w:t>
            </w:r>
            <w:r w:rsidR="00545CA7">
              <w:t>grid-forming</w:t>
            </w:r>
            <w:r w:rsidR="00E74E71">
              <w:t xml:space="preserve"> IBRs and higher numbers of ESRs providing advanced grid support; </w:t>
            </w:r>
            <w:r>
              <w:t>and proposed additional edits to revise the applicability date to April 1, 2026</w:t>
            </w:r>
          </w:p>
        </w:tc>
      </w:tr>
      <w:tr w:rsidR="00D270B7" w:rsidRPr="005370B5" w14:paraId="57BAB5C7" w14:textId="77777777" w:rsidTr="009C711D">
        <w:trPr>
          <w:cantSplit/>
          <w:trHeight w:val="432"/>
        </w:trPr>
        <w:tc>
          <w:tcPr>
            <w:tcW w:w="2880" w:type="dxa"/>
            <w:vAlign w:val="center"/>
          </w:tcPr>
          <w:p w14:paraId="29F352D4" w14:textId="4AE31638" w:rsidR="00D270B7" w:rsidRDefault="00D270B7" w:rsidP="009C711D">
            <w:pPr>
              <w:pStyle w:val="NormalArial"/>
              <w:rPr>
                <w:bCs/>
              </w:rPr>
            </w:pPr>
            <w:r>
              <w:rPr>
                <w:bCs/>
              </w:rPr>
              <w:lastRenderedPageBreak/>
              <w:t>Plus Power 080625</w:t>
            </w:r>
          </w:p>
        </w:tc>
        <w:tc>
          <w:tcPr>
            <w:tcW w:w="7560" w:type="dxa"/>
            <w:vAlign w:val="center"/>
          </w:tcPr>
          <w:p w14:paraId="76BD5033" w14:textId="5BD5CC9E" w:rsidR="00D270B7" w:rsidRDefault="001F010A" w:rsidP="00FF41D6">
            <w:pPr>
              <w:pStyle w:val="NormalArial"/>
              <w:spacing w:before="120" w:after="120"/>
            </w:pPr>
            <w:r>
              <w:t>Reiterated concerns regarding a lack of clear technical performance requirements, compliance metrics, and transition time to implement as-yet-undefined performance requirements</w:t>
            </w:r>
            <w:r w:rsidR="004B18D4">
              <w:t xml:space="preserve"> in 8/1/25 ERCOT comments</w:t>
            </w:r>
            <w:r>
              <w:t xml:space="preserve">; </w:t>
            </w:r>
            <w:r w:rsidR="004B18D4">
              <w:t>and cautioned against ERCOT’s proposal that NOGRR272 requirements apply to portions of an ESR when there are non-in-kind replacements of equipment or modifications that add MW capacity</w:t>
            </w:r>
            <w:r w:rsidR="00FF41D6">
              <w:t>, believing it to present a potential risk of unexpected behavior during fault responses</w:t>
            </w:r>
          </w:p>
        </w:tc>
      </w:tr>
      <w:tr w:rsidR="00054A22" w:rsidRPr="005370B5" w14:paraId="063F4FDB" w14:textId="77777777" w:rsidTr="009C711D">
        <w:trPr>
          <w:cantSplit/>
          <w:trHeight w:val="60"/>
        </w:trPr>
        <w:tc>
          <w:tcPr>
            <w:tcW w:w="2880" w:type="dxa"/>
            <w:tcBorders>
              <w:left w:val="nil"/>
              <w:right w:val="nil"/>
            </w:tcBorders>
            <w:vAlign w:val="center"/>
          </w:tcPr>
          <w:p w14:paraId="6D35AEC7" w14:textId="77777777" w:rsidR="00054A22" w:rsidRPr="007C199B" w:rsidRDefault="00054A22" w:rsidP="009C711D">
            <w:pPr>
              <w:pStyle w:val="NormalArial"/>
              <w:rPr>
                <w:b/>
              </w:rPr>
            </w:pPr>
          </w:p>
        </w:tc>
        <w:tc>
          <w:tcPr>
            <w:tcW w:w="7560" w:type="dxa"/>
            <w:tcBorders>
              <w:left w:val="nil"/>
              <w:right w:val="nil"/>
            </w:tcBorders>
            <w:vAlign w:val="center"/>
          </w:tcPr>
          <w:p w14:paraId="3F7F0067" w14:textId="77777777" w:rsidR="00054A22" w:rsidRDefault="00054A22" w:rsidP="009C711D">
            <w:pPr>
              <w:pStyle w:val="NormalArial"/>
            </w:pPr>
          </w:p>
        </w:tc>
      </w:tr>
      <w:tr w:rsidR="00054A22" w:rsidRPr="005370B5" w14:paraId="510D3212" w14:textId="77777777" w:rsidTr="009C711D">
        <w:trPr>
          <w:cantSplit/>
          <w:trHeight w:val="432"/>
        </w:trPr>
        <w:tc>
          <w:tcPr>
            <w:tcW w:w="10440" w:type="dxa"/>
            <w:gridSpan w:val="2"/>
            <w:vAlign w:val="center"/>
          </w:tcPr>
          <w:p w14:paraId="45E72F45" w14:textId="77777777" w:rsidR="00054A22" w:rsidRPr="003E721B" w:rsidRDefault="00054A22" w:rsidP="009C711D">
            <w:pPr>
              <w:pStyle w:val="NormalArial"/>
              <w:jc w:val="center"/>
              <w:rPr>
                <w:b/>
                <w:bCs/>
              </w:rPr>
            </w:pPr>
            <w:r w:rsidRPr="003E721B">
              <w:rPr>
                <w:b/>
                <w:bCs/>
              </w:rPr>
              <w:t>Market Rules Notes</w:t>
            </w:r>
          </w:p>
        </w:tc>
      </w:tr>
    </w:tbl>
    <w:p w14:paraId="3460636B" w14:textId="4F80AB27" w:rsidR="00380F77" w:rsidRDefault="00FF41D6" w:rsidP="00FF41D6">
      <w:r>
        <w:rPr>
          <w:rFonts w:ascii="Arial" w:hAnsi="Arial" w:cs="Arial"/>
        </w:rPr>
        <w:br/>
      </w:r>
      <w:r w:rsidR="00054A22">
        <w:rPr>
          <w:rFonts w:ascii="Arial" w:hAnsi="Arial" w:cs="Arial"/>
        </w:rPr>
        <w:t>None</w:t>
      </w:r>
      <w:bookmarkStart w:id="0" w:name="_Hlk199700393"/>
      <w:bookmarkStart w:id="1" w:name="_Hlk199700004"/>
      <w:r w:rsidR="000276F2">
        <w:t xml:space="preserve"> </w:t>
      </w:r>
      <w:bookmarkEnd w:id="0"/>
      <w:bookmarkEnd w:id="1"/>
    </w:p>
    <w:p w14:paraId="5FA4FDB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443DBE68" w:rsidR="00152993" w:rsidRDefault="00152993">
            <w:pPr>
              <w:pStyle w:val="Header"/>
              <w:jc w:val="center"/>
            </w:pPr>
            <w:r>
              <w:t xml:space="preserve">Proposed </w:t>
            </w:r>
            <w:r w:rsidR="00C158EE">
              <w:t xml:space="preserve">Guide </w:t>
            </w:r>
            <w:r>
              <w:t>Language</w:t>
            </w:r>
            <w:r w:rsidR="00054A22">
              <w:t xml:space="preserve"> Revision</w:t>
            </w:r>
          </w:p>
        </w:tc>
      </w:tr>
    </w:tbl>
    <w:p w14:paraId="5DCCBB21" w14:textId="77777777" w:rsidR="00152993" w:rsidRPr="00350C00" w:rsidRDefault="00152993" w:rsidP="00380F77">
      <w:pPr>
        <w:pStyle w:val="BodyText"/>
        <w:spacing w:before="0" w:after="0"/>
        <w:rPr>
          <w:rFonts w:ascii="Arial" w:hAnsi="Arial" w:cs="Arial"/>
          <w:b/>
          <w:color w:val="FF0000"/>
        </w:rPr>
      </w:pPr>
    </w:p>
    <w:p w14:paraId="1233CACA" w14:textId="77777777" w:rsidR="00705E33" w:rsidRPr="00D47768" w:rsidRDefault="00705E33" w:rsidP="00380F77">
      <w:pPr>
        <w:keepNext/>
        <w:tabs>
          <w:tab w:val="left" w:pos="720"/>
        </w:tabs>
        <w:spacing w:after="240"/>
        <w:outlineLvl w:val="1"/>
        <w:rPr>
          <w:ins w:id="2" w:author="ERCOT" w:date="2024-10-31T10:26:00Z"/>
          <w:b/>
          <w:szCs w:val="20"/>
        </w:rPr>
      </w:pPr>
      <w:ins w:id="3" w:author="ERCOT" w:date="2024-10-31T10:26:00Z">
        <w:r w:rsidRPr="00D47768">
          <w:rPr>
            <w:b/>
            <w:szCs w:val="20"/>
          </w:rPr>
          <w:t>2.1</w:t>
        </w:r>
        <w:r>
          <w:rPr>
            <w:b/>
            <w:szCs w:val="20"/>
          </w:rPr>
          <w:t>4</w:t>
        </w:r>
        <w:r w:rsidRPr="00D47768">
          <w:rPr>
            <w:b/>
            <w:szCs w:val="20"/>
          </w:rPr>
          <w:tab/>
        </w:r>
        <w:r>
          <w:rPr>
            <w:b/>
            <w:szCs w:val="20"/>
          </w:rPr>
          <w:t xml:space="preserve">Advanced Grid Support Requirements for Inverter-Based </w:t>
        </w:r>
      </w:ins>
      <w:ins w:id="4" w:author="ERCOT 060425" w:date="2025-05-29T17:46:00Z">
        <w:r w:rsidR="00D070B3">
          <w:rPr>
            <w:b/>
            <w:szCs w:val="20"/>
          </w:rPr>
          <w:t>Resource</w:t>
        </w:r>
      </w:ins>
      <w:ins w:id="5" w:author="ERCOT 060425" w:date="2025-06-04T09:47:00Z">
        <w:r w:rsidR="00862A29">
          <w:rPr>
            <w:b/>
            <w:szCs w:val="20"/>
          </w:rPr>
          <w:t>s</w:t>
        </w:r>
      </w:ins>
      <w:ins w:id="6" w:author="ERCOT 060425" w:date="2025-06-01T17:19:00Z">
        <w:r w:rsidR="00211E0E">
          <w:rPr>
            <w:b/>
            <w:szCs w:val="20"/>
          </w:rPr>
          <w:t xml:space="preserve"> (IBRs)</w:t>
        </w:r>
      </w:ins>
      <w:ins w:id="7" w:author="ERCOT" w:date="2024-10-31T10:26:00Z">
        <w:del w:id="8" w:author="ERCOT 060425" w:date="2025-05-29T17:46:00Z">
          <w:r w:rsidDel="00D070B3">
            <w:rPr>
              <w:b/>
              <w:szCs w:val="20"/>
            </w:rPr>
            <w:delText>ESRs</w:delText>
          </w:r>
        </w:del>
      </w:ins>
    </w:p>
    <w:p w14:paraId="67F76D24" w14:textId="7FD6BC5D" w:rsidR="00E22EAC" w:rsidRDefault="00705E33" w:rsidP="00862A29">
      <w:pPr>
        <w:spacing w:after="240"/>
        <w:ind w:left="720" w:hanging="720"/>
        <w:rPr>
          <w:ins w:id="9" w:author="ERCOT" w:date="2024-10-31T10:26:00Z"/>
          <w:iCs/>
          <w:szCs w:val="20"/>
        </w:rPr>
      </w:pPr>
      <w:ins w:id="10" w:author="ERCOT" w:date="2024-10-31T10:26:00Z">
        <w:r w:rsidRPr="00DA7365">
          <w:rPr>
            <w:iCs/>
            <w:szCs w:val="20"/>
          </w:rPr>
          <w:t>(1)</w:t>
        </w:r>
        <w:r w:rsidRPr="00DA7365">
          <w:rPr>
            <w:iCs/>
            <w:szCs w:val="20"/>
          </w:rPr>
          <w:tab/>
        </w:r>
        <w:r w:rsidRPr="00DA7365">
          <w:t xml:space="preserve">An </w:t>
        </w:r>
        <w:r>
          <w:t xml:space="preserve">Energy Storage Resource (ESR) </w:t>
        </w:r>
        <w:del w:id="11" w:author="ERCOT 060425" w:date="2025-06-02T12:03:00Z">
          <w:r w:rsidRPr="00DA7365" w:rsidDel="00CE2AFB">
            <w:delText xml:space="preserve">that interconnects to the ERCOT </w:delText>
          </w:r>
          <w:r w:rsidDel="00CE2AFB">
            <w:delText xml:space="preserve">Transmission Grid </w:delText>
          </w:r>
          <w:r w:rsidRPr="00DA7365" w:rsidDel="00CE2AFB">
            <w:delText xml:space="preserve">pursuant to a Standard Generation Interconnection Agreement (SGIA) executed on or </w:delText>
          </w:r>
          <w:r w:rsidRPr="000209D1" w:rsidDel="00CE2AFB">
            <w:delText xml:space="preserve">after </w:delText>
          </w:r>
        </w:del>
        <w:del w:id="12" w:author="ERCOT 060425" w:date="2025-05-27T10:34:00Z">
          <w:r w:rsidDel="00705E33">
            <w:delText>April</w:delText>
          </w:r>
        </w:del>
        <w:del w:id="13" w:author="ERCOT 060425" w:date="2025-06-02T12:03:00Z">
          <w:r w:rsidRPr="000209D1" w:rsidDel="00CE2AFB">
            <w:delText xml:space="preserve"> 1, 2025</w:delText>
          </w:r>
          <w:r w:rsidRPr="00A419D0" w:rsidDel="00CE2AFB">
            <w:delText xml:space="preserve"> </w:delText>
          </w:r>
        </w:del>
        <w:r w:rsidRPr="000209D1">
          <w:rPr>
            <w:iCs/>
            <w:szCs w:val="20"/>
          </w:rPr>
          <w:t xml:space="preserve">shall </w:t>
        </w:r>
        <w:del w:id="14" w:author="ERCOT 060425" w:date="2025-06-02T12:03:00Z">
          <w:r w:rsidRPr="000209D1" w:rsidDel="00CE2AFB">
            <w:rPr>
              <w:iCs/>
              <w:szCs w:val="20"/>
            </w:rPr>
            <w:delText>comply with the requirements of this Section</w:delText>
          </w:r>
        </w:del>
      </w:ins>
      <w:ins w:id="15" w:author="ERCOT 060425" w:date="2025-06-04T09:50:00Z">
        <w:r w:rsidR="00862A29" w:rsidRPr="00862A29">
          <w:rPr>
            <w:iCs/>
            <w:szCs w:val="20"/>
          </w:rPr>
          <w:t>provide the following advanced grid support</w:t>
        </w:r>
      </w:ins>
      <w:ins w:id="16" w:author="ERCOT 080125" w:date="2025-07-28T11:00:00Z" w16du:dateUtc="2025-07-28T16:00:00Z">
        <w:r w:rsidR="007A37C6">
          <w:rPr>
            <w:iCs/>
            <w:szCs w:val="20"/>
          </w:rPr>
          <w:t xml:space="preserve"> </w:t>
        </w:r>
      </w:ins>
      <w:ins w:id="17" w:author="ERCOT 060425" w:date="2025-06-04T09:50:00Z">
        <w:r w:rsidR="00862A29" w:rsidRPr="00862A29">
          <w:rPr>
            <w:iCs/>
            <w:szCs w:val="20"/>
          </w:rPr>
          <w:t>when</w:t>
        </w:r>
      </w:ins>
      <w:ins w:id="18" w:author="ERCOT 060425" w:date="2025-08-01T15:30:00Z" w16du:dateUtc="2025-08-01T20:30:00Z">
        <w:r w:rsidR="000C40C9">
          <w:rPr>
            <w:iCs/>
            <w:szCs w:val="20"/>
          </w:rPr>
          <w:t xml:space="preserve"> </w:t>
        </w:r>
      </w:ins>
      <w:ins w:id="19" w:author="ERCOT 060425" w:date="2025-06-04T09:50:00Z">
        <w:del w:id="20" w:author="ERCOT 080125" w:date="2025-07-28T11:00:00Z" w16du:dateUtc="2025-07-28T16:00:00Z">
          <w:r w:rsidR="00862A29" w:rsidRPr="00862A29" w:rsidDel="007A37C6">
            <w:rPr>
              <w:iCs/>
              <w:szCs w:val="20"/>
            </w:rPr>
            <w:delText xml:space="preserve">operating </w:delText>
          </w:r>
        </w:del>
        <w:r w:rsidR="00862A29" w:rsidRPr="00862A29">
          <w:rPr>
            <w:iCs/>
            <w:szCs w:val="20"/>
          </w:rPr>
          <w:t>within the inverter current limit</w:t>
        </w:r>
      </w:ins>
      <w:ins w:id="21" w:author="ERCOT 070125" w:date="2025-06-26T17:42:00Z" w16du:dateUtc="2025-06-26T22:42:00Z">
        <w:r w:rsidR="00B97C3A">
          <w:rPr>
            <w:iCs/>
            <w:szCs w:val="20"/>
          </w:rPr>
          <w:t>.</w:t>
        </w:r>
      </w:ins>
      <w:ins w:id="22" w:author="ERCOT" w:date="2024-10-31T10:26:00Z">
        <w:del w:id="23" w:author="ERCOT 060425" w:date="2025-06-02T12:03:00Z">
          <w:r w:rsidDel="00CE2AFB">
            <w:rPr>
              <w:iCs/>
              <w:szCs w:val="20"/>
            </w:rPr>
            <w:delText xml:space="preserve">  </w:delText>
          </w:r>
        </w:del>
      </w:ins>
      <w:ins w:id="24" w:author="ERCOT 080125" w:date="2025-07-23T13:15:00Z" w16du:dateUtc="2025-07-23T18:15:00Z">
        <w:r w:rsidR="00320DA7">
          <w:rPr>
            <w:iCs/>
            <w:szCs w:val="20"/>
          </w:rPr>
          <w:t xml:space="preserve"> </w:t>
        </w:r>
      </w:ins>
      <w:ins w:id="25" w:author="ERCOT 080125" w:date="2025-07-28T11:00:00Z" w16du:dateUtc="2025-07-28T16:00:00Z">
        <w:r w:rsidR="007A37C6" w:rsidDel="007A37C6">
          <w:rPr>
            <w:rStyle w:val="CommentReference"/>
          </w:rPr>
          <w:t xml:space="preserve"> </w:t>
        </w:r>
      </w:ins>
    </w:p>
    <w:p w14:paraId="21702A08" w14:textId="080A96F1" w:rsidR="00AD3C88" w:rsidRPr="00BA2009" w:rsidDel="002B564D" w:rsidRDefault="00705E33" w:rsidP="00372F97">
      <w:pPr>
        <w:spacing w:after="240"/>
        <w:ind w:left="1440" w:hanging="720"/>
        <w:rPr>
          <w:ins w:id="26" w:author="ERCOT" w:date="2024-10-31T10:26:00Z"/>
          <w:del w:id="27" w:author="ERCOT 080125" w:date="2025-07-18T09:43:00Z" w16du:dateUtc="2025-07-18T14:43:00Z"/>
        </w:rPr>
      </w:pPr>
      <w:ins w:id="28" w:author="ERCOT" w:date="2024-10-31T10:26:00Z">
        <w:r w:rsidRPr="00D47768">
          <w:t>(a)</w:t>
        </w:r>
        <w:r w:rsidRPr="00D47768">
          <w:tab/>
        </w:r>
      </w:ins>
      <w:ins w:id="29" w:author="ERCOT 070125" w:date="2025-06-26T17:38:00Z" w16du:dateUtc="2025-06-26T22:38:00Z">
        <w:r w:rsidR="00B97C3A">
          <w:t>An ESR shall meet t</w:t>
        </w:r>
      </w:ins>
      <w:ins w:id="30" w:author="ERCOT 070125" w:date="2025-06-26T17:39:00Z" w16du:dateUtc="2025-06-26T22:39:00Z">
        <w:r w:rsidR="00B97C3A">
          <w:t xml:space="preserve">he modeling requirements described in Planning Guide Section 6.2, </w:t>
        </w:r>
        <w:r w:rsidR="00B97C3A" w:rsidRPr="00BA7E1E">
          <w:t>Dynamic</w:t>
        </w:r>
      </w:ins>
      <w:ins w:id="31" w:author="ERCOT 070125" w:date="2025-07-01T16:28:00Z" w16du:dateUtc="2025-07-01T21:28:00Z">
        <w:r w:rsidR="00BA7E1E">
          <w:t>s</w:t>
        </w:r>
      </w:ins>
      <w:ins w:id="32" w:author="ERCOT 070125" w:date="2025-06-26T17:39:00Z" w16du:dateUtc="2025-06-26T22:39:00Z">
        <w:r w:rsidR="00B97C3A" w:rsidRPr="00BA7E1E">
          <w:t xml:space="preserve"> Model Development</w:t>
        </w:r>
      </w:ins>
      <w:ins w:id="33" w:author="ERCOT 070125" w:date="2025-07-01T10:48:00Z" w16du:dateUtc="2025-07-01T15:48:00Z">
        <w:r w:rsidR="00C96ED3">
          <w:t>,</w:t>
        </w:r>
      </w:ins>
      <w:ins w:id="34" w:author="ERCOT 070125" w:date="2025-06-26T17:39:00Z" w16du:dateUtc="2025-06-26T22:39:00Z">
        <w:r w:rsidR="00B97C3A">
          <w:t xml:space="preserve"> to demonstrate its capability to </w:t>
        </w:r>
      </w:ins>
      <w:ins w:id="35" w:author="ERCOT" w:date="2024-10-31T10:26:00Z">
        <w:del w:id="36" w:author="ERCOT 070125" w:date="2025-06-26T17:40:00Z" w16du:dateUtc="2025-06-26T22:40:00Z">
          <w:r w:rsidDel="00B97C3A">
            <w:delText xml:space="preserve">An ESR shall </w:delText>
          </w:r>
        </w:del>
        <w:r>
          <w:t xml:space="preserve">maintain an internal voltage phasor </w:t>
        </w:r>
        <w:del w:id="37" w:author="ERCOT 070125" w:date="2025-06-26T17:42:00Z" w16du:dateUtc="2025-06-26T22:42:00Z">
          <w:r w:rsidDel="00B97C3A">
            <w:delText xml:space="preserve">that is constant or near-constant </w:delText>
          </w:r>
        </w:del>
        <w:r>
          <w:t>in the sub-transient</w:t>
        </w:r>
      </w:ins>
      <w:ins w:id="38" w:author="ERCOT 070125" w:date="2025-07-01T10:48:00Z" w16du:dateUtc="2025-07-01T15:48:00Z">
        <w:r w:rsidR="00C96ED3">
          <w:t>-</w:t>
        </w:r>
      </w:ins>
      <w:ins w:id="39" w:author="ERCOT" w:date="2024-10-31T10:26:00Z">
        <w:del w:id="40" w:author="ERCOT 070125" w:date="2025-07-01T10:48:00Z" w16du:dateUtc="2025-07-01T15:48:00Z">
          <w:r w:rsidDel="00C96ED3">
            <w:delText xml:space="preserve"> </w:delText>
          </w:r>
        </w:del>
        <w:r>
          <w:t>to</w:t>
        </w:r>
      </w:ins>
      <w:ins w:id="41" w:author="ERCOT 070125" w:date="2025-07-01T10:48:00Z" w16du:dateUtc="2025-07-01T15:48:00Z">
        <w:r w:rsidR="00C96ED3">
          <w:t>-</w:t>
        </w:r>
      </w:ins>
      <w:ins w:id="42" w:author="ERCOT" w:date="2024-10-31T10:26:00Z">
        <w:del w:id="43" w:author="ERCOT 070125" w:date="2025-07-01T10:48:00Z" w16du:dateUtc="2025-07-01T15:48:00Z">
          <w:r w:rsidDel="00C96ED3">
            <w:delText xml:space="preserve"> </w:delText>
          </w:r>
        </w:del>
        <w:r>
          <w:t>transient timeframe</w:t>
        </w:r>
      </w:ins>
      <w:ins w:id="44" w:author="ERCOT 070125" w:date="2025-06-26T17:41:00Z" w16du:dateUtc="2025-06-26T22:41:00Z">
        <w:r w:rsidR="00B97C3A">
          <w:t xml:space="preserve"> and</w:t>
        </w:r>
      </w:ins>
      <w:ins w:id="45" w:author="ERCOT 080125" w:date="2025-07-11T09:49:00Z" w16du:dateUtc="2025-07-11T14:49:00Z">
        <w:r w:rsidR="006E5E03">
          <w:t xml:space="preserve"> </w:t>
        </w:r>
      </w:ins>
      <w:ins w:id="46" w:author="ERCOT 060425" w:date="2025-05-29T14:55:00Z">
        <w:del w:id="47" w:author="ERCOT 070125" w:date="2025-06-26T17:40:00Z" w16du:dateUtc="2025-06-26T22:40:00Z">
          <w:r w:rsidR="0025085D" w:rsidDel="00B97C3A">
            <w:delText xml:space="preserve"> by meeting th</w:delText>
          </w:r>
        </w:del>
      </w:ins>
      <w:ins w:id="48" w:author="ERCOT 060425" w:date="2025-05-29T14:56:00Z">
        <w:del w:id="49" w:author="ERCOT 070125" w:date="2025-06-26T17:40:00Z" w16du:dateUtc="2025-06-26T22:40:00Z">
          <w:r w:rsidR="0025085D" w:rsidDel="00B97C3A">
            <w:delText xml:space="preserve">e modeling requirements described in the Planning Guide </w:delText>
          </w:r>
        </w:del>
      </w:ins>
      <w:ins w:id="50" w:author="ERCOT 060425" w:date="2025-05-29T16:53:00Z">
        <w:del w:id="51" w:author="ERCOT 070125" w:date="2025-06-26T17:40:00Z" w16du:dateUtc="2025-06-26T22:40:00Z">
          <w:r w:rsidR="00782AEE" w:rsidDel="00B97C3A">
            <w:delText>Section 6.2</w:delText>
          </w:r>
        </w:del>
      </w:ins>
      <w:ins w:id="52" w:author="ERCOT 060425" w:date="2025-06-04T09:52:00Z">
        <w:del w:id="53" w:author="ERCOT 070125" w:date="2025-06-26T17:40:00Z" w16du:dateUtc="2025-06-26T22:40:00Z">
          <w:r w:rsidR="00862A29" w:rsidDel="00B97C3A">
            <w:delText>,</w:delText>
          </w:r>
        </w:del>
      </w:ins>
      <w:ins w:id="54" w:author="ERCOT 060425" w:date="2025-05-29T16:53:00Z">
        <w:del w:id="55" w:author="ERCOT 070125" w:date="2025-06-26T17:40:00Z" w16du:dateUtc="2025-06-26T22:40:00Z">
          <w:r w:rsidR="00782AEE" w:rsidDel="00B97C3A">
            <w:delText xml:space="preserve"> Dynamics Model Development</w:delText>
          </w:r>
        </w:del>
      </w:ins>
      <w:ins w:id="56" w:author="ERCOT" w:date="2024-10-31T10:26:00Z">
        <w:del w:id="57" w:author="ERCOT 070125" w:date="2025-06-26T17:40:00Z" w16du:dateUtc="2025-06-26T22:40:00Z">
          <w:r w:rsidDel="00B97C3A">
            <w:delText xml:space="preserve">.  An ESR shall immediately respond to changes in the external system and maintain ESR control stability during normal and disturbance conditions. </w:delText>
          </w:r>
        </w:del>
      </w:ins>
      <w:ins w:id="58" w:author="ERCOT 070125" w:date="2025-06-26T17:40:00Z" w16du:dateUtc="2025-06-26T22:40:00Z">
        <w:r w:rsidR="00B97C3A">
          <w:t xml:space="preserve">control </w:t>
        </w:r>
      </w:ins>
      <w:ins w:id="59" w:author="ERCOT" w:date="2024-10-31T10:26:00Z">
        <w:del w:id="60" w:author="ERCOT 070125" w:date="2025-06-26T17:40:00Z" w16du:dateUtc="2025-06-26T22:40:00Z">
          <w:r w:rsidDel="00B97C3A">
            <w:delText>T</w:delText>
          </w:r>
        </w:del>
      </w:ins>
      <w:ins w:id="61" w:author="ERCOT 070125" w:date="2025-06-26T17:40:00Z" w16du:dateUtc="2025-06-26T22:40:00Z">
        <w:r w:rsidR="00B97C3A">
          <w:t>t</w:t>
        </w:r>
      </w:ins>
      <w:ins w:id="62" w:author="ERCOT" w:date="2024-10-31T10:26:00Z">
        <w:r>
          <w:t xml:space="preserve">he voltage phasor </w:t>
        </w:r>
        <w:del w:id="63" w:author="ERCOT 070125" w:date="2025-06-26T17:41:00Z" w16du:dateUtc="2025-06-26T22:41:00Z">
          <w:r w:rsidDel="00B97C3A">
            <w:delText xml:space="preserve">must be controlled </w:delText>
          </w:r>
        </w:del>
        <w:r>
          <w:t>to maintain synchronism with the ERCOT Transmission Grid</w:t>
        </w:r>
        <w:del w:id="64" w:author="ERCOT 070125" w:date="2025-06-26T17:41:00Z" w16du:dateUtc="2025-06-26T22:41:00Z">
          <w:r w:rsidDel="00B97C3A">
            <w:delText xml:space="preserve"> and regulate real power and Reactive Power appropriately to support the ERCOT Transmission Grid</w:delText>
          </w:r>
        </w:del>
        <w:r w:rsidRPr="00D47768">
          <w:t>.</w:t>
        </w:r>
      </w:ins>
    </w:p>
    <w:p w14:paraId="0B87F18C" w14:textId="45D009A2" w:rsidR="00F81613" w:rsidRDefault="00F81613" w:rsidP="00F81613">
      <w:pPr>
        <w:spacing w:after="240"/>
        <w:ind w:left="720" w:hanging="720"/>
        <w:rPr>
          <w:ins w:id="65" w:author="ERCOT 060425" w:date="2025-06-02T12:03:00Z"/>
          <w:iCs/>
          <w:szCs w:val="20"/>
        </w:rPr>
      </w:pPr>
      <w:ins w:id="66" w:author="ERCOT 060425" w:date="2025-06-02T12:03:00Z">
        <w:r w:rsidRPr="00DA7365">
          <w:rPr>
            <w:iCs/>
            <w:szCs w:val="20"/>
          </w:rPr>
          <w:t>(</w:t>
        </w:r>
        <w:r>
          <w:rPr>
            <w:iCs/>
            <w:szCs w:val="20"/>
          </w:rPr>
          <w:t>2</w:t>
        </w:r>
        <w:r w:rsidRPr="00DA7365">
          <w:rPr>
            <w:iCs/>
            <w:szCs w:val="20"/>
          </w:rPr>
          <w:t>)</w:t>
        </w:r>
        <w:r w:rsidRPr="00DA7365">
          <w:rPr>
            <w:iCs/>
            <w:szCs w:val="20"/>
          </w:rPr>
          <w:tab/>
        </w:r>
        <w:r w:rsidRPr="00DA7365">
          <w:t xml:space="preserve">An </w:t>
        </w:r>
        <w:r>
          <w:t xml:space="preserve">ESR </w:t>
        </w:r>
        <w:del w:id="67" w:author="ERCOT 070125" w:date="2025-07-01T12:49:00Z" w16du:dateUtc="2025-07-01T17:49:00Z">
          <w:r w:rsidRPr="00DA7365" w:rsidDel="00337D09">
            <w:delText xml:space="preserve">that </w:delText>
          </w:r>
        </w:del>
        <w:r w:rsidRPr="00DA7365">
          <w:t>interconnect</w:t>
        </w:r>
      </w:ins>
      <w:ins w:id="68" w:author="ERCOT 070125" w:date="2025-07-01T12:49:00Z" w16du:dateUtc="2025-07-01T17:49:00Z">
        <w:r w:rsidR="00337D09">
          <w:t>ed</w:t>
        </w:r>
      </w:ins>
      <w:ins w:id="69" w:author="ERCOT 060425" w:date="2025-06-02T12:03:00Z">
        <w:del w:id="70" w:author="ERCOT 070125" w:date="2025-07-01T12:49:00Z" w16du:dateUtc="2025-07-01T17:49:00Z">
          <w:r w:rsidRPr="00DA7365" w:rsidDel="00337D09">
            <w:delText>s</w:delText>
          </w:r>
        </w:del>
        <w:r w:rsidRPr="00DA7365">
          <w:t xml:space="preserve"> to the ERCOT </w:t>
        </w:r>
        <w:r>
          <w:t xml:space="preserve">Transmission Grid </w:t>
        </w:r>
        <w:r w:rsidRPr="00DA7365">
          <w:t xml:space="preserve">pursuant to a Standard Generation Interconnection Agreement (SGIA) executed </w:t>
        </w:r>
      </w:ins>
      <w:ins w:id="71" w:author="ERCOT 060425" w:date="2025-06-02T12:04:00Z">
        <w:r>
          <w:t>before</w:t>
        </w:r>
      </w:ins>
      <w:ins w:id="72" w:author="ERCOT 060425" w:date="2025-06-02T12:03:00Z">
        <w:r w:rsidRPr="000209D1">
          <w:t xml:space="preserve"> </w:t>
        </w:r>
      </w:ins>
      <w:ins w:id="73" w:author="ERCOT 080125" w:date="2025-07-23T13:19:00Z" w16du:dateUtc="2025-07-23T18:19:00Z">
        <w:r w:rsidR="00320DA7">
          <w:t xml:space="preserve">April </w:t>
        </w:r>
      </w:ins>
      <w:ins w:id="74" w:author="ERCOT 060425" w:date="2025-06-02T12:03:00Z">
        <w:del w:id="75" w:author="ERCOT 070125" w:date="2025-07-01T18:16:00Z" w16du:dateUtc="2025-07-01T23:16:00Z">
          <w:r w:rsidDel="001174AD">
            <w:delText>October</w:delText>
          </w:r>
        </w:del>
      </w:ins>
      <w:ins w:id="76" w:author="ERCOT 070125" w:date="2025-07-01T18:16:00Z" w16du:dateUtc="2025-07-01T23:16:00Z">
        <w:del w:id="77" w:author="ERCOT 080125" w:date="2025-07-23T13:19:00Z" w16du:dateUtc="2025-07-23T18:19:00Z">
          <w:r w:rsidR="001174AD" w:rsidDel="00320DA7">
            <w:delText>January</w:delText>
          </w:r>
        </w:del>
      </w:ins>
      <w:ins w:id="78" w:author="ERCOT 060425" w:date="2025-06-02T12:03:00Z">
        <w:del w:id="79" w:author="ERCOT 080125" w:date="2025-07-23T13:19:00Z" w16du:dateUtc="2025-07-23T18:19:00Z">
          <w:r w:rsidRPr="000209D1" w:rsidDel="00320DA7">
            <w:delText xml:space="preserve"> </w:delText>
          </w:r>
        </w:del>
        <w:r w:rsidRPr="000209D1">
          <w:t xml:space="preserve">1, </w:t>
        </w:r>
        <w:del w:id="80" w:author="ERCOT 070125" w:date="2025-07-01T18:26:00Z" w16du:dateUtc="2025-07-01T23:26:00Z">
          <w:r w:rsidRPr="000209D1" w:rsidDel="000F2684">
            <w:delText>202</w:delText>
          </w:r>
        </w:del>
        <w:del w:id="81" w:author="ERCOT 070125" w:date="2025-07-01T18:16:00Z" w16du:dateUtc="2025-07-01T23:16:00Z">
          <w:r w:rsidRPr="000209D1" w:rsidDel="001174AD">
            <w:delText>5</w:delText>
          </w:r>
        </w:del>
      </w:ins>
      <w:ins w:id="82" w:author="ERCOT 070125" w:date="2025-07-01T18:26:00Z" w16du:dateUtc="2025-07-01T23:26:00Z">
        <w:r w:rsidR="000F2684">
          <w:t>202</w:t>
        </w:r>
      </w:ins>
      <w:ins w:id="83" w:author="ERCOT 070125" w:date="2025-07-01T18:16:00Z" w16du:dateUtc="2025-07-01T23:16:00Z">
        <w:r w:rsidR="001174AD">
          <w:t>6</w:t>
        </w:r>
      </w:ins>
      <w:ins w:id="84" w:author="ERCOT 060425" w:date="2025-06-02T12:04:00Z">
        <w:del w:id="85" w:author="ERCOT 080125" w:date="2025-07-23T13:20:00Z" w16du:dateUtc="2025-07-23T18:20:00Z">
          <w:r w:rsidDel="00320DA7">
            <w:delText xml:space="preserve"> and that has paid </w:delText>
          </w:r>
        </w:del>
      </w:ins>
      <w:ins w:id="86" w:author="ERCOT 070125" w:date="2025-07-01T10:50:00Z" w16du:dateUtc="2025-07-01T15:50:00Z">
        <w:del w:id="87" w:author="ERCOT 080125" w:date="2025-07-23T13:20:00Z" w16du:dateUtc="2025-07-23T18:20:00Z">
          <w:r w:rsidR="00C96ED3" w:rsidDel="00320DA7">
            <w:delText xml:space="preserve">in full </w:delText>
          </w:r>
        </w:del>
      </w:ins>
      <w:ins w:id="88" w:author="ERCOT 060425" w:date="2025-06-02T12:04:00Z">
        <w:del w:id="89" w:author="ERCOT 080125" w:date="2025-07-23T13:20:00Z" w16du:dateUtc="2025-07-23T18:20:00Z">
          <w:r w:rsidDel="00320DA7">
            <w:delText xml:space="preserve">the required financial security in full to the </w:delText>
          </w:r>
        </w:del>
      </w:ins>
      <w:ins w:id="90" w:author="ERCOT 060425" w:date="2025-06-04T09:54:00Z">
        <w:del w:id="91" w:author="ERCOT 080125" w:date="2025-07-23T13:20:00Z" w16du:dateUtc="2025-07-23T18:20:00Z">
          <w:r w:rsidDel="00320DA7">
            <w:delText>Transmission Service Provider (</w:delText>
          </w:r>
        </w:del>
      </w:ins>
      <w:ins w:id="92" w:author="ERCOT 060425" w:date="2025-06-02T12:04:00Z">
        <w:del w:id="93" w:author="ERCOT 080125" w:date="2025-07-23T13:20:00Z" w16du:dateUtc="2025-07-23T18:20:00Z">
          <w:r w:rsidDel="00320DA7">
            <w:delText>TSP</w:delText>
          </w:r>
        </w:del>
      </w:ins>
      <w:ins w:id="94" w:author="ERCOT 060425" w:date="2025-06-04T09:54:00Z">
        <w:del w:id="95" w:author="ERCOT 080125" w:date="2025-07-23T13:20:00Z" w16du:dateUtc="2025-07-23T18:20:00Z">
          <w:r w:rsidDel="00320DA7">
            <w:delText>)</w:delText>
          </w:r>
        </w:del>
      </w:ins>
      <w:ins w:id="96" w:author="ERCOT 060425" w:date="2025-06-02T12:04:00Z">
        <w:del w:id="97" w:author="ERCOT 080125" w:date="2025-07-23T13:20:00Z" w16du:dateUtc="2025-07-23T18:20:00Z">
          <w:r w:rsidDel="00320DA7">
            <w:delText xml:space="preserve"> </w:delText>
          </w:r>
        </w:del>
      </w:ins>
      <w:ins w:id="98" w:author="ERCOT 070125" w:date="2025-07-01T10:51:00Z" w16du:dateUtc="2025-07-01T15:51:00Z">
        <w:del w:id="99" w:author="ERCOT 080125" w:date="2025-07-23T13:20:00Z" w16du:dateUtc="2025-07-23T18:20:00Z">
          <w:r w:rsidR="00C96ED3" w:rsidDel="00320DA7">
            <w:delText xml:space="preserve">the financial security required thereunder </w:delText>
          </w:r>
        </w:del>
      </w:ins>
      <w:ins w:id="100" w:author="ERCOT 060425" w:date="2025-06-02T12:04:00Z">
        <w:del w:id="101" w:author="ERCOT 080125" w:date="2025-07-23T13:20:00Z" w16du:dateUtc="2025-07-23T18:20:00Z">
          <w:r w:rsidDel="00320DA7">
            <w:delText>before October</w:delText>
          </w:r>
        </w:del>
      </w:ins>
      <w:ins w:id="102" w:author="ERCOT 070125" w:date="2025-07-01T18:15:00Z" w16du:dateUtc="2025-07-01T23:15:00Z">
        <w:del w:id="103" w:author="ERCOT 080125" w:date="2025-07-23T13:20:00Z" w16du:dateUtc="2025-07-23T18:20:00Z">
          <w:r w:rsidR="003049FF" w:rsidDel="00320DA7">
            <w:delText>January</w:delText>
          </w:r>
        </w:del>
      </w:ins>
      <w:ins w:id="104" w:author="ERCOT 060425" w:date="2025-06-02T12:04:00Z">
        <w:del w:id="105" w:author="ERCOT 080125" w:date="2025-07-23T13:20:00Z" w16du:dateUtc="2025-07-23T18:20:00Z">
          <w:r w:rsidDel="00320DA7">
            <w:delText xml:space="preserve"> 1, 2025</w:delText>
          </w:r>
        </w:del>
      </w:ins>
      <w:ins w:id="106" w:author="ERCOT 070125" w:date="2025-07-01T18:27:00Z" w16du:dateUtc="2025-07-01T23:27:00Z">
        <w:del w:id="107" w:author="ERCOT 080125" w:date="2025-07-23T13:20:00Z" w16du:dateUtc="2025-07-23T18:20:00Z">
          <w:r w:rsidR="000F2684" w:rsidDel="00320DA7">
            <w:delText>202</w:delText>
          </w:r>
        </w:del>
      </w:ins>
      <w:ins w:id="108" w:author="ERCOT 070125" w:date="2025-07-01T18:15:00Z" w16du:dateUtc="2025-07-01T23:15:00Z">
        <w:del w:id="109" w:author="ERCOT 080125" w:date="2025-07-23T13:20:00Z" w16du:dateUtc="2025-07-23T18:20:00Z">
          <w:r w:rsidR="003049FF" w:rsidDel="00320DA7">
            <w:delText>6</w:delText>
          </w:r>
        </w:del>
      </w:ins>
      <w:ins w:id="110" w:author="ERCOT 060425" w:date="2025-06-02T12:04:00Z">
        <w:del w:id="111" w:author="ERCOT 070125" w:date="2025-07-01T12:49:00Z" w16du:dateUtc="2025-07-01T17:49:00Z">
          <w:r w:rsidDel="001E3B23">
            <w:delText>,</w:delText>
          </w:r>
        </w:del>
        <w:r>
          <w:t xml:space="preserve"> is not required to </w:t>
        </w:r>
      </w:ins>
      <w:ins w:id="112" w:author="ERCOT 060425" w:date="2025-06-02T12:03:00Z">
        <w:r w:rsidRPr="000209D1">
          <w:rPr>
            <w:iCs/>
            <w:szCs w:val="20"/>
          </w:rPr>
          <w:t>comply with the requirements of this Section</w:t>
        </w:r>
      </w:ins>
      <w:ins w:id="113" w:author="ERCOT 070125" w:date="2025-07-01T18:15:00Z" w16du:dateUtc="2025-07-01T23:15:00Z">
        <w:r w:rsidR="003049FF">
          <w:rPr>
            <w:iCs/>
            <w:szCs w:val="20"/>
          </w:rPr>
          <w:t>.</w:t>
        </w:r>
      </w:ins>
      <w:ins w:id="114" w:author="ERCOT 070125" w:date="2025-07-01T13:36:00Z" w16du:dateUtc="2025-07-01T18:36:00Z">
        <w:r w:rsidR="006E11D4">
          <w:rPr>
            <w:iCs/>
            <w:szCs w:val="20"/>
          </w:rPr>
          <w:t xml:space="preserve"> </w:t>
        </w:r>
      </w:ins>
      <w:ins w:id="115" w:author="ERCOT 070125" w:date="2025-07-01T18:17:00Z" w16du:dateUtc="2025-07-01T23:17:00Z">
        <w:r w:rsidR="001174AD">
          <w:rPr>
            <w:iCs/>
            <w:szCs w:val="20"/>
          </w:rPr>
          <w:t xml:space="preserve"> </w:t>
        </w:r>
      </w:ins>
      <w:ins w:id="116" w:author="ERCOT 070125" w:date="2025-07-01T18:16:00Z" w16du:dateUtc="2025-07-01T23:16:00Z">
        <w:r w:rsidR="003049FF" w:rsidRPr="003049FF">
          <w:rPr>
            <w:iCs/>
            <w:szCs w:val="20"/>
          </w:rPr>
          <w:t>The requirements of this Section apply to those portions of any subsequent ESR modifications that add MW capacity or make non-in-kind replacements of equipment.</w:t>
        </w:r>
      </w:ins>
    </w:p>
    <w:p w14:paraId="46603CEE" w14:textId="12DCBFF1" w:rsidR="00CE2AFB" w:rsidRDefault="00CE2AFB" w:rsidP="00CE2AFB">
      <w:pPr>
        <w:spacing w:after="240"/>
        <w:ind w:left="720" w:hanging="720"/>
        <w:rPr>
          <w:ins w:id="117" w:author="ERCOT 060425" w:date="2025-06-02T12:03:00Z"/>
          <w:iCs/>
          <w:szCs w:val="20"/>
        </w:rPr>
      </w:pPr>
      <w:ins w:id="118" w:author="ERCOT 060425" w:date="2025-06-02T12:03:00Z">
        <w:r>
          <w:rPr>
            <w:iCs/>
            <w:szCs w:val="20"/>
          </w:rPr>
          <w:t xml:space="preserve"> </w:t>
        </w:r>
      </w:ins>
    </w:p>
    <w:p w14:paraId="750E535E"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9F270" w14:textId="77777777" w:rsidR="003B7386" w:rsidRDefault="003B7386">
      <w:r>
        <w:separator/>
      </w:r>
    </w:p>
  </w:endnote>
  <w:endnote w:type="continuationSeparator" w:id="0">
    <w:p w14:paraId="0C20D2E1" w14:textId="77777777" w:rsidR="003B7386" w:rsidRDefault="003B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7E560477"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w:t>
    </w:r>
    <w:r w:rsidR="00B0353A">
      <w:rPr>
        <w:rFonts w:ascii="Arial" w:hAnsi="Arial"/>
        <w:sz w:val="18"/>
      </w:rPr>
      <w:t>25 ROS Report</w:t>
    </w:r>
    <w:r>
      <w:rPr>
        <w:rFonts w:ascii="Arial" w:hAnsi="Arial"/>
        <w:sz w:val="18"/>
      </w:rPr>
      <w:t xml:space="preserve"> </w:t>
    </w:r>
    <w:r w:rsidR="00B0353A">
      <w:rPr>
        <w:rFonts w:ascii="Arial" w:hAnsi="Arial"/>
        <w:sz w:val="18"/>
      </w:rPr>
      <w:t>080725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BA51" w14:textId="77777777" w:rsidR="003B7386" w:rsidRDefault="003B7386">
      <w:r>
        <w:separator/>
      </w:r>
    </w:p>
  </w:footnote>
  <w:footnote w:type="continuationSeparator" w:id="0">
    <w:p w14:paraId="2C5E4316" w14:textId="77777777" w:rsidR="003B7386" w:rsidRDefault="003B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2E799226" w:rsidR="003D0994" w:rsidRDefault="00B0353A">
    <w:pPr>
      <w:pStyle w:val="Header"/>
      <w:jc w:val="center"/>
      <w:rPr>
        <w:sz w:val="32"/>
      </w:rPr>
    </w:pPr>
    <w:r>
      <w:rPr>
        <w:sz w:val="32"/>
      </w:rPr>
      <w:t>ROS Report</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8BE6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E2AB8"/>
    <w:multiLevelType w:val="hybridMultilevel"/>
    <w:tmpl w:val="68168C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7"/>
  </w:num>
  <w:num w:numId="3" w16cid:durableId="1653557385">
    <w:abstractNumId w:val="2"/>
  </w:num>
  <w:num w:numId="4" w16cid:durableId="689721133">
    <w:abstractNumId w:val="8"/>
  </w:num>
  <w:num w:numId="5" w16cid:durableId="320931086">
    <w:abstractNumId w:val="5"/>
  </w:num>
  <w:num w:numId="6" w16cid:durableId="287391639">
    <w:abstractNumId w:val="1"/>
  </w:num>
  <w:num w:numId="7" w16cid:durableId="1411728596">
    <w:abstractNumId w:val="4"/>
  </w:num>
  <w:num w:numId="8" w16cid:durableId="1677147731">
    <w:abstractNumId w:val="6"/>
  </w:num>
  <w:num w:numId="9" w16cid:durableId="150218745">
    <w:abstractNumId w:val="9"/>
  </w:num>
  <w:num w:numId="10" w16cid:durableId="519260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rson w15:author="ERCOT 080125">
    <w15:presenceInfo w15:providerId="AD" w15:userId="S::Matthew.Arth@ercot.com::3084ffd1-5f64-457b-9505-f9b28f6659aa"/>
  </w15:person>
  <w15:person w15:author="ERCOT 070125">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5D"/>
    <w:rsid w:val="00002E81"/>
    <w:rsid w:val="00012122"/>
    <w:rsid w:val="000276F2"/>
    <w:rsid w:val="00037668"/>
    <w:rsid w:val="000378A6"/>
    <w:rsid w:val="00043558"/>
    <w:rsid w:val="00046E63"/>
    <w:rsid w:val="00054A22"/>
    <w:rsid w:val="00061660"/>
    <w:rsid w:val="000625EC"/>
    <w:rsid w:val="0006491D"/>
    <w:rsid w:val="00072799"/>
    <w:rsid w:val="00075A94"/>
    <w:rsid w:val="0009321E"/>
    <w:rsid w:val="00094042"/>
    <w:rsid w:val="00097208"/>
    <w:rsid w:val="000C3AD4"/>
    <w:rsid w:val="000C40C9"/>
    <w:rsid w:val="000C6156"/>
    <w:rsid w:val="000F2684"/>
    <w:rsid w:val="00102476"/>
    <w:rsid w:val="00106297"/>
    <w:rsid w:val="001076F2"/>
    <w:rsid w:val="001174AD"/>
    <w:rsid w:val="001229F6"/>
    <w:rsid w:val="00124B57"/>
    <w:rsid w:val="00132855"/>
    <w:rsid w:val="00133FB5"/>
    <w:rsid w:val="00152993"/>
    <w:rsid w:val="00162711"/>
    <w:rsid w:val="00163B91"/>
    <w:rsid w:val="00164E03"/>
    <w:rsid w:val="00170297"/>
    <w:rsid w:val="00170BAA"/>
    <w:rsid w:val="00171173"/>
    <w:rsid w:val="00173A20"/>
    <w:rsid w:val="00176C2C"/>
    <w:rsid w:val="001A227D"/>
    <w:rsid w:val="001A697B"/>
    <w:rsid w:val="001C4279"/>
    <w:rsid w:val="001C69B9"/>
    <w:rsid w:val="001D7EAC"/>
    <w:rsid w:val="001E017C"/>
    <w:rsid w:val="001E2032"/>
    <w:rsid w:val="001E3B23"/>
    <w:rsid w:val="001E4BFF"/>
    <w:rsid w:val="001E7BE5"/>
    <w:rsid w:val="001F010A"/>
    <w:rsid w:val="00200C3E"/>
    <w:rsid w:val="00211E0E"/>
    <w:rsid w:val="00216455"/>
    <w:rsid w:val="002269D8"/>
    <w:rsid w:val="0023166B"/>
    <w:rsid w:val="00233C31"/>
    <w:rsid w:val="00237F13"/>
    <w:rsid w:val="00240731"/>
    <w:rsid w:val="0024668B"/>
    <w:rsid w:val="002478C6"/>
    <w:rsid w:val="0025085D"/>
    <w:rsid w:val="00251F66"/>
    <w:rsid w:val="0025333E"/>
    <w:rsid w:val="0027089C"/>
    <w:rsid w:val="002771E6"/>
    <w:rsid w:val="00284C4E"/>
    <w:rsid w:val="00291387"/>
    <w:rsid w:val="00291E43"/>
    <w:rsid w:val="002A0CB4"/>
    <w:rsid w:val="002A7122"/>
    <w:rsid w:val="002B564D"/>
    <w:rsid w:val="002B6B4D"/>
    <w:rsid w:val="002C38AF"/>
    <w:rsid w:val="002C399E"/>
    <w:rsid w:val="002C4956"/>
    <w:rsid w:val="002C64D2"/>
    <w:rsid w:val="002E0B01"/>
    <w:rsid w:val="002F3216"/>
    <w:rsid w:val="003010C0"/>
    <w:rsid w:val="003049FF"/>
    <w:rsid w:val="00307DA8"/>
    <w:rsid w:val="00315E0F"/>
    <w:rsid w:val="00320DA7"/>
    <w:rsid w:val="003220D5"/>
    <w:rsid w:val="00326237"/>
    <w:rsid w:val="0032797A"/>
    <w:rsid w:val="00332A97"/>
    <w:rsid w:val="00336129"/>
    <w:rsid w:val="00337D09"/>
    <w:rsid w:val="00342CFD"/>
    <w:rsid w:val="0034343D"/>
    <w:rsid w:val="00350C00"/>
    <w:rsid w:val="00351494"/>
    <w:rsid w:val="00356172"/>
    <w:rsid w:val="00360B9C"/>
    <w:rsid w:val="003619C1"/>
    <w:rsid w:val="00366113"/>
    <w:rsid w:val="003663F5"/>
    <w:rsid w:val="00372F97"/>
    <w:rsid w:val="00372FF8"/>
    <w:rsid w:val="0037584A"/>
    <w:rsid w:val="00380F77"/>
    <w:rsid w:val="00395A94"/>
    <w:rsid w:val="00396B1D"/>
    <w:rsid w:val="003B7386"/>
    <w:rsid w:val="003C270C"/>
    <w:rsid w:val="003C405A"/>
    <w:rsid w:val="003D0994"/>
    <w:rsid w:val="003E3824"/>
    <w:rsid w:val="003E7D74"/>
    <w:rsid w:val="003F3F85"/>
    <w:rsid w:val="00417746"/>
    <w:rsid w:val="00423824"/>
    <w:rsid w:val="0042394A"/>
    <w:rsid w:val="004277A8"/>
    <w:rsid w:val="0043567D"/>
    <w:rsid w:val="0043722E"/>
    <w:rsid w:val="00454C07"/>
    <w:rsid w:val="00467B53"/>
    <w:rsid w:val="004764C7"/>
    <w:rsid w:val="00477981"/>
    <w:rsid w:val="00482AF7"/>
    <w:rsid w:val="00485B71"/>
    <w:rsid w:val="004A670D"/>
    <w:rsid w:val="004A7DD2"/>
    <w:rsid w:val="004B18D4"/>
    <w:rsid w:val="004B7B90"/>
    <w:rsid w:val="004C5C71"/>
    <w:rsid w:val="004C6B45"/>
    <w:rsid w:val="004D37D7"/>
    <w:rsid w:val="004D7320"/>
    <w:rsid w:val="004E2C19"/>
    <w:rsid w:val="004E4FA9"/>
    <w:rsid w:val="004E5E89"/>
    <w:rsid w:val="004F0123"/>
    <w:rsid w:val="004F285F"/>
    <w:rsid w:val="004F7777"/>
    <w:rsid w:val="005015F1"/>
    <w:rsid w:val="00504FC9"/>
    <w:rsid w:val="00512079"/>
    <w:rsid w:val="005154C9"/>
    <w:rsid w:val="00521257"/>
    <w:rsid w:val="00545CA7"/>
    <w:rsid w:val="0055032D"/>
    <w:rsid w:val="00593B7C"/>
    <w:rsid w:val="005A1F7F"/>
    <w:rsid w:val="005B6829"/>
    <w:rsid w:val="005D284C"/>
    <w:rsid w:val="005D4F60"/>
    <w:rsid w:val="005F53CF"/>
    <w:rsid w:val="00601917"/>
    <w:rsid w:val="00603F65"/>
    <w:rsid w:val="006141E0"/>
    <w:rsid w:val="00616788"/>
    <w:rsid w:val="00633E23"/>
    <w:rsid w:val="00640DF5"/>
    <w:rsid w:val="006501C3"/>
    <w:rsid w:val="006569A9"/>
    <w:rsid w:val="006602D1"/>
    <w:rsid w:val="00664E28"/>
    <w:rsid w:val="00673B94"/>
    <w:rsid w:val="00676340"/>
    <w:rsid w:val="00680231"/>
    <w:rsid w:val="00680AC6"/>
    <w:rsid w:val="006835D8"/>
    <w:rsid w:val="00685FBC"/>
    <w:rsid w:val="00692278"/>
    <w:rsid w:val="006C316E"/>
    <w:rsid w:val="006C7516"/>
    <w:rsid w:val="006D0F7C"/>
    <w:rsid w:val="006E040B"/>
    <w:rsid w:val="006E11D4"/>
    <w:rsid w:val="006E5E03"/>
    <w:rsid w:val="00705E33"/>
    <w:rsid w:val="00715A4E"/>
    <w:rsid w:val="00721347"/>
    <w:rsid w:val="007269C4"/>
    <w:rsid w:val="00734EAF"/>
    <w:rsid w:val="007369CC"/>
    <w:rsid w:val="007413E7"/>
    <w:rsid w:val="007417D3"/>
    <w:rsid w:val="0074209E"/>
    <w:rsid w:val="00764AFD"/>
    <w:rsid w:val="00766639"/>
    <w:rsid w:val="00773DCA"/>
    <w:rsid w:val="00774E50"/>
    <w:rsid w:val="00782231"/>
    <w:rsid w:val="00782AEE"/>
    <w:rsid w:val="00790549"/>
    <w:rsid w:val="00792D4D"/>
    <w:rsid w:val="00794502"/>
    <w:rsid w:val="007A02AF"/>
    <w:rsid w:val="007A2569"/>
    <w:rsid w:val="007A37C6"/>
    <w:rsid w:val="007B045B"/>
    <w:rsid w:val="007D37C2"/>
    <w:rsid w:val="007D4A5D"/>
    <w:rsid w:val="007E1F3E"/>
    <w:rsid w:val="007E2268"/>
    <w:rsid w:val="007E60E3"/>
    <w:rsid w:val="007F2CA8"/>
    <w:rsid w:val="007F4D61"/>
    <w:rsid w:val="007F676A"/>
    <w:rsid w:val="007F7161"/>
    <w:rsid w:val="008069C1"/>
    <w:rsid w:val="00807DC1"/>
    <w:rsid w:val="0081030D"/>
    <w:rsid w:val="00822EA5"/>
    <w:rsid w:val="00824CD2"/>
    <w:rsid w:val="0083561F"/>
    <w:rsid w:val="00845593"/>
    <w:rsid w:val="00852ABD"/>
    <w:rsid w:val="008534CB"/>
    <w:rsid w:val="0085559E"/>
    <w:rsid w:val="00862A29"/>
    <w:rsid w:val="00883512"/>
    <w:rsid w:val="00896B1B"/>
    <w:rsid w:val="008C581B"/>
    <w:rsid w:val="008D4175"/>
    <w:rsid w:val="008E559E"/>
    <w:rsid w:val="008F12DB"/>
    <w:rsid w:val="00900D28"/>
    <w:rsid w:val="009112FB"/>
    <w:rsid w:val="00912CCE"/>
    <w:rsid w:val="00916080"/>
    <w:rsid w:val="00921A68"/>
    <w:rsid w:val="00923AA4"/>
    <w:rsid w:val="009315C3"/>
    <w:rsid w:val="009317FF"/>
    <w:rsid w:val="00960706"/>
    <w:rsid w:val="00963BB8"/>
    <w:rsid w:val="00982743"/>
    <w:rsid w:val="009936AA"/>
    <w:rsid w:val="009B01C4"/>
    <w:rsid w:val="009C7C63"/>
    <w:rsid w:val="009D7442"/>
    <w:rsid w:val="009D7621"/>
    <w:rsid w:val="009E1552"/>
    <w:rsid w:val="009F0034"/>
    <w:rsid w:val="00A015C4"/>
    <w:rsid w:val="00A046B3"/>
    <w:rsid w:val="00A15172"/>
    <w:rsid w:val="00A172C8"/>
    <w:rsid w:val="00A40561"/>
    <w:rsid w:val="00A42F89"/>
    <w:rsid w:val="00A53A29"/>
    <w:rsid w:val="00A66BA2"/>
    <w:rsid w:val="00A7053C"/>
    <w:rsid w:val="00A857B0"/>
    <w:rsid w:val="00A97EA8"/>
    <w:rsid w:val="00AB4871"/>
    <w:rsid w:val="00AB5636"/>
    <w:rsid w:val="00AD25AC"/>
    <w:rsid w:val="00AD3C88"/>
    <w:rsid w:val="00AD6598"/>
    <w:rsid w:val="00AF1DC4"/>
    <w:rsid w:val="00AF3160"/>
    <w:rsid w:val="00B01994"/>
    <w:rsid w:val="00B0353A"/>
    <w:rsid w:val="00B0408F"/>
    <w:rsid w:val="00B06E67"/>
    <w:rsid w:val="00B1098C"/>
    <w:rsid w:val="00B11F86"/>
    <w:rsid w:val="00B11F9A"/>
    <w:rsid w:val="00B13061"/>
    <w:rsid w:val="00B152DA"/>
    <w:rsid w:val="00B714B4"/>
    <w:rsid w:val="00B74436"/>
    <w:rsid w:val="00B74BD1"/>
    <w:rsid w:val="00B97C3A"/>
    <w:rsid w:val="00BA2874"/>
    <w:rsid w:val="00BA7E1E"/>
    <w:rsid w:val="00BB0766"/>
    <w:rsid w:val="00BB0BA0"/>
    <w:rsid w:val="00BC3145"/>
    <w:rsid w:val="00BD21F3"/>
    <w:rsid w:val="00BD5124"/>
    <w:rsid w:val="00BE1CE9"/>
    <w:rsid w:val="00BE3099"/>
    <w:rsid w:val="00BE4CE1"/>
    <w:rsid w:val="00C05415"/>
    <w:rsid w:val="00C0598D"/>
    <w:rsid w:val="00C11956"/>
    <w:rsid w:val="00C12B5A"/>
    <w:rsid w:val="00C14E5E"/>
    <w:rsid w:val="00C158EE"/>
    <w:rsid w:val="00C16BD7"/>
    <w:rsid w:val="00C32747"/>
    <w:rsid w:val="00C34FEB"/>
    <w:rsid w:val="00C36D08"/>
    <w:rsid w:val="00C4748E"/>
    <w:rsid w:val="00C507B1"/>
    <w:rsid w:val="00C54FEB"/>
    <w:rsid w:val="00C550CD"/>
    <w:rsid w:val="00C56CDB"/>
    <w:rsid w:val="00C602E5"/>
    <w:rsid w:val="00C658BA"/>
    <w:rsid w:val="00C748FD"/>
    <w:rsid w:val="00C92583"/>
    <w:rsid w:val="00C96ED3"/>
    <w:rsid w:val="00CB02C5"/>
    <w:rsid w:val="00CC2B34"/>
    <w:rsid w:val="00CC3D0B"/>
    <w:rsid w:val="00CC75C1"/>
    <w:rsid w:val="00CE205F"/>
    <w:rsid w:val="00CE2AFB"/>
    <w:rsid w:val="00CF6607"/>
    <w:rsid w:val="00D070B3"/>
    <w:rsid w:val="00D16828"/>
    <w:rsid w:val="00D20082"/>
    <w:rsid w:val="00D221AD"/>
    <w:rsid w:val="00D24537"/>
    <w:rsid w:val="00D24DCF"/>
    <w:rsid w:val="00D2681E"/>
    <w:rsid w:val="00D270B7"/>
    <w:rsid w:val="00D4046E"/>
    <w:rsid w:val="00D41D01"/>
    <w:rsid w:val="00D5185A"/>
    <w:rsid w:val="00D5503A"/>
    <w:rsid w:val="00D56502"/>
    <w:rsid w:val="00D6448A"/>
    <w:rsid w:val="00D818CC"/>
    <w:rsid w:val="00D825C5"/>
    <w:rsid w:val="00D84F55"/>
    <w:rsid w:val="00D91B8B"/>
    <w:rsid w:val="00DA3FFA"/>
    <w:rsid w:val="00DB3472"/>
    <w:rsid w:val="00DB760F"/>
    <w:rsid w:val="00DC2F4A"/>
    <w:rsid w:val="00DD3B4F"/>
    <w:rsid w:val="00DD4739"/>
    <w:rsid w:val="00DD55EB"/>
    <w:rsid w:val="00DE5F33"/>
    <w:rsid w:val="00DF2B17"/>
    <w:rsid w:val="00DF5397"/>
    <w:rsid w:val="00E030B4"/>
    <w:rsid w:val="00E05BB2"/>
    <w:rsid w:val="00E07B54"/>
    <w:rsid w:val="00E11F78"/>
    <w:rsid w:val="00E16E7B"/>
    <w:rsid w:val="00E20BF3"/>
    <w:rsid w:val="00E22EAC"/>
    <w:rsid w:val="00E26D05"/>
    <w:rsid w:val="00E32582"/>
    <w:rsid w:val="00E37BC6"/>
    <w:rsid w:val="00E411C9"/>
    <w:rsid w:val="00E42A94"/>
    <w:rsid w:val="00E42FBA"/>
    <w:rsid w:val="00E4442C"/>
    <w:rsid w:val="00E621E1"/>
    <w:rsid w:val="00E74E71"/>
    <w:rsid w:val="00E7771C"/>
    <w:rsid w:val="00E804CC"/>
    <w:rsid w:val="00E812A9"/>
    <w:rsid w:val="00E84FD9"/>
    <w:rsid w:val="00E96623"/>
    <w:rsid w:val="00EA52F2"/>
    <w:rsid w:val="00EA68AA"/>
    <w:rsid w:val="00EA7650"/>
    <w:rsid w:val="00EC55B3"/>
    <w:rsid w:val="00ED549D"/>
    <w:rsid w:val="00EE1437"/>
    <w:rsid w:val="00EF057F"/>
    <w:rsid w:val="00EF11EA"/>
    <w:rsid w:val="00EF26D6"/>
    <w:rsid w:val="00EF3BC6"/>
    <w:rsid w:val="00F04987"/>
    <w:rsid w:val="00F07B83"/>
    <w:rsid w:val="00F11823"/>
    <w:rsid w:val="00F22374"/>
    <w:rsid w:val="00F30623"/>
    <w:rsid w:val="00F42226"/>
    <w:rsid w:val="00F50CC6"/>
    <w:rsid w:val="00F520B9"/>
    <w:rsid w:val="00F56452"/>
    <w:rsid w:val="00F644FD"/>
    <w:rsid w:val="00F8156D"/>
    <w:rsid w:val="00F81613"/>
    <w:rsid w:val="00F912BE"/>
    <w:rsid w:val="00F94AEC"/>
    <w:rsid w:val="00F96FB2"/>
    <w:rsid w:val="00FA33B7"/>
    <w:rsid w:val="00FB129F"/>
    <w:rsid w:val="00FB384D"/>
    <w:rsid w:val="00FB51D8"/>
    <w:rsid w:val="00FC0FAF"/>
    <w:rsid w:val="00FC19BC"/>
    <w:rsid w:val="00FD08E8"/>
    <w:rsid w:val="00FD38F2"/>
    <w:rsid w:val="00FD6592"/>
    <w:rsid w:val="00FD6F26"/>
    <w:rsid w:val="00FE0473"/>
    <w:rsid w:val="00FE5B3D"/>
    <w:rsid w:val="00FE7929"/>
    <w:rsid w:val="00FF41D6"/>
    <w:rsid w:val="00FF4F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 w:type="character" w:customStyle="1" w:styleId="NormalArialChar">
    <w:name w:val="Normal+Arial Char"/>
    <w:link w:val="NormalArial"/>
    <w:rsid w:val="00D41D01"/>
    <w:rPr>
      <w:rFonts w:ascii="Arial" w:hAnsi="Arial"/>
      <w:sz w:val="24"/>
      <w:szCs w:val="24"/>
    </w:rPr>
  </w:style>
  <w:style w:type="paragraph" w:styleId="ListParagraph">
    <w:name w:val="List Paragraph"/>
    <w:basedOn w:val="Normal"/>
    <w:qFormat/>
    <w:rsid w:val="00F42226"/>
    <w:pPr>
      <w:ind w:left="720"/>
      <w:contextualSpacing/>
    </w:pPr>
  </w:style>
  <w:style w:type="paragraph" w:styleId="FootnoteText">
    <w:name w:val="footnote text"/>
    <w:basedOn w:val="Normal"/>
    <w:link w:val="FootnoteTextChar"/>
    <w:rsid w:val="00D2681E"/>
    <w:rPr>
      <w:sz w:val="20"/>
      <w:szCs w:val="20"/>
    </w:rPr>
  </w:style>
  <w:style w:type="character" w:customStyle="1" w:styleId="FootnoteTextChar">
    <w:name w:val="Footnote Text Char"/>
    <w:basedOn w:val="DefaultParagraphFont"/>
    <w:link w:val="FootnoteText"/>
    <w:rsid w:val="00D2681E"/>
  </w:style>
  <w:style w:type="character" w:styleId="FootnoteReference">
    <w:name w:val="footnote reference"/>
    <w:basedOn w:val="DefaultParagraphFont"/>
    <w:rsid w:val="00D2681E"/>
    <w:rPr>
      <w:vertAlign w:val="superscript"/>
    </w:rPr>
  </w:style>
  <w:style w:type="paragraph" w:styleId="NormalWeb">
    <w:name w:val="Normal (Web)"/>
    <w:basedOn w:val="Normal"/>
    <w:uiPriority w:val="99"/>
    <w:unhideWhenUsed/>
    <w:rsid w:val="00B0353A"/>
    <w:pPr>
      <w:spacing w:before="100" w:beforeAutospacing="1" w:after="100" w:afterAutospacing="1"/>
    </w:pPr>
    <w:rPr>
      <w:rFonts w:eastAsiaTheme="minorEastAsia"/>
    </w:rPr>
  </w:style>
  <w:style w:type="character" w:customStyle="1" w:styleId="HeaderChar">
    <w:name w:val="Header Char"/>
    <w:basedOn w:val="DefaultParagraphFont"/>
    <w:link w:val="Header"/>
    <w:rsid w:val="00054A2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Shun-Hsien.Huang@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Jordan.Troublefield@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E1B5-9496-4CC8-8468-E58AA4E1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Jordan Troublefield</cp:lastModifiedBy>
  <cp:revision>2</cp:revision>
  <cp:lastPrinted>2001-06-20T16:28:00Z</cp:lastPrinted>
  <dcterms:created xsi:type="dcterms:W3CDTF">2025-08-12T19:52:00Z</dcterms:created>
  <dcterms:modified xsi:type="dcterms:W3CDTF">2025-08-12T19:52:00Z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