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15FE" w14:textId="141F941E" w:rsidR="000F72B1" w:rsidRPr="000F72B1" w:rsidRDefault="000F72B1" w:rsidP="000F72B1">
      <w:r w:rsidRPr="000F72B1">
        <w:t xml:space="preserve">Please find below the </w:t>
      </w:r>
      <w:proofErr w:type="gramStart"/>
      <w:r w:rsidRPr="000F72B1">
        <w:t>completed</w:t>
      </w:r>
      <w:proofErr w:type="gramEnd"/>
      <w:r w:rsidRPr="000F72B1">
        <w:t xml:space="preserve"> self-assessment for the </w:t>
      </w:r>
      <w:r>
        <w:rPr>
          <w:b/>
          <w:bCs/>
        </w:rPr>
        <w:t>Large Load Working Group</w:t>
      </w:r>
      <w:r w:rsidRPr="000F72B1">
        <w:t> as requested for the 2025 TAC Biennial Review. </w:t>
      </w:r>
    </w:p>
    <w:p w14:paraId="2DC4B2FA" w14:textId="77777777" w:rsidR="000F72B1" w:rsidRPr="000F72B1" w:rsidRDefault="000F72B1" w:rsidP="000F72B1">
      <w:r w:rsidRPr="000F72B1">
        <w:pict w14:anchorId="77D82F22">
          <v:rect id="_x0000_i1049" style="width:468pt;height:1.5pt" o:hralign="center" o:hrstd="t" o:hr="t" fillcolor="#a0a0a0" stroked="f"/>
        </w:pict>
      </w:r>
    </w:p>
    <w:p w14:paraId="6E12F004" w14:textId="77777777" w:rsidR="000F72B1" w:rsidRPr="000F72B1" w:rsidRDefault="000F72B1" w:rsidP="000F72B1">
      <w:r w:rsidRPr="000F72B1">
        <w:rPr>
          <w:b/>
          <w:bCs/>
        </w:rPr>
        <w:t>Review of Scope/Procedures</w:t>
      </w:r>
    </w:p>
    <w:p w14:paraId="678EC96E" w14:textId="2F96485E" w:rsidR="000F72B1" w:rsidRPr="000F72B1" w:rsidRDefault="000F72B1" w:rsidP="000F72B1">
      <w:r w:rsidRPr="000F72B1">
        <w:rPr>
          <w:b/>
          <w:bCs/>
        </w:rPr>
        <w:t xml:space="preserve">Q: Is the current Scope of </w:t>
      </w:r>
      <w:r>
        <w:rPr>
          <w:b/>
          <w:bCs/>
        </w:rPr>
        <w:t>LLWG</w:t>
      </w:r>
      <w:r w:rsidRPr="000F72B1">
        <w:rPr>
          <w:b/>
          <w:bCs/>
        </w:rPr>
        <w:t xml:space="preserve"> still valid and are we performing these functions effectively?</w:t>
      </w:r>
      <w:r>
        <w:rPr>
          <w:b/>
          <w:bCs/>
        </w:rPr>
        <w:t xml:space="preserve"> 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Yes, the current scope remains valid and continues to support ERCOT’s operational and reliability mandates. </w:t>
      </w:r>
      <w:r>
        <w:t>LLWG</w:t>
      </w:r>
      <w:r w:rsidRPr="000F72B1">
        <w:t xml:space="preserve"> </w:t>
      </w:r>
      <w:r>
        <w:t xml:space="preserve">was formed in May 2025, we have only had one official meeting, with two more planned in </w:t>
      </w:r>
      <w:proofErr w:type="spellStart"/>
      <w:r>
        <w:t>mid July</w:t>
      </w:r>
      <w:proofErr w:type="spellEnd"/>
      <w:r>
        <w:t xml:space="preserve"> and August</w:t>
      </w:r>
      <w:r w:rsidRPr="000F72B1">
        <w:t>.</w:t>
      </w:r>
    </w:p>
    <w:p w14:paraId="6BD26417" w14:textId="0D0D329A" w:rsidR="000F72B1" w:rsidRPr="000F72B1" w:rsidRDefault="000F72B1" w:rsidP="000F72B1">
      <w:r w:rsidRPr="000F72B1">
        <w:rPr>
          <w:b/>
          <w:bCs/>
        </w:rPr>
        <w:t xml:space="preserve">Q: Does </w:t>
      </w:r>
      <w:r>
        <w:rPr>
          <w:b/>
          <w:bCs/>
        </w:rPr>
        <w:t>LLWG</w:t>
      </w:r>
      <w:r w:rsidRPr="000F72B1">
        <w:rPr>
          <w:b/>
          <w:bCs/>
        </w:rPr>
        <w:t xml:space="preserve"> share a similar scope with any other group, and should consolidation be considered?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While some overlap exists with </w:t>
      </w:r>
      <w:r>
        <w:t>DSWG</w:t>
      </w:r>
      <w:r w:rsidRPr="000F72B1">
        <w:t xml:space="preserve">, </w:t>
      </w:r>
      <w:r>
        <w:t xml:space="preserve">the LLWG is focused on </w:t>
      </w:r>
      <w:r w:rsidR="00364FDF">
        <w:t>reliability</w:t>
      </w:r>
      <w:r>
        <w:t xml:space="preserve"> interconnecting and operating Large Loads specifically.  Large rapidly interconnecting loads are </w:t>
      </w:r>
      <w:proofErr w:type="gramStart"/>
      <w:r>
        <w:t>new</w:t>
      </w:r>
      <w:proofErr w:type="gramEnd"/>
      <w:r w:rsidR="00364FDF">
        <w:t xml:space="preserve"> and they have their own specific issues. </w:t>
      </w:r>
      <w:r w:rsidRPr="000F72B1">
        <w:t>Consolidation is not recommended.</w:t>
      </w:r>
    </w:p>
    <w:p w14:paraId="0156AC1D" w14:textId="7AA52FE4" w:rsidR="000F72B1" w:rsidRPr="000F72B1" w:rsidRDefault="000F72B1" w:rsidP="000F72B1">
      <w:r w:rsidRPr="000F72B1">
        <w:rPr>
          <w:b/>
          <w:bCs/>
        </w:rPr>
        <w:t>Q</w:t>
      </w:r>
      <w:proofErr w:type="gramStart"/>
      <w:r w:rsidRPr="000F72B1">
        <w:rPr>
          <w:b/>
          <w:bCs/>
        </w:rPr>
        <w:t>:</w:t>
      </w:r>
      <w:r w:rsidR="00364FDF">
        <w:rPr>
          <w:b/>
          <w:bCs/>
        </w:rPr>
        <w:t xml:space="preserve"> </w:t>
      </w:r>
      <w:r w:rsidRPr="000F72B1">
        <w:rPr>
          <w:b/>
          <w:bCs/>
        </w:rPr>
        <w:t xml:space="preserve"> Are</w:t>
      </w:r>
      <w:proofErr w:type="gramEnd"/>
      <w:r w:rsidRPr="000F72B1">
        <w:rPr>
          <w:b/>
          <w:bCs/>
        </w:rPr>
        <w:t xml:space="preserve"> there activities being performed that are not in the current scope?</w:t>
      </w:r>
      <w:r w:rsidRPr="000F72B1">
        <w:br/>
      </w:r>
      <w:r w:rsidRPr="000F72B1">
        <w:rPr>
          <w:b/>
          <w:bCs/>
        </w:rPr>
        <w:t>A:</w:t>
      </w:r>
      <w:r w:rsidRPr="000F72B1">
        <w:t> </w:t>
      </w:r>
      <w:r w:rsidR="00364FDF">
        <w:t>No, as a new group LLWG has the advantage of a recently developed scope.</w:t>
      </w:r>
    </w:p>
    <w:p w14:paraId="75157B6C" w14:textId="31F26B8E" w:rsidR="000F72B1" w:rsidRPr="000F72B1" w:rsidRDefault="000F72B1" w:rsidP="000F72B1">
      <w:r w:rsidRPr="000F72B1">
        <w:rPr>
          <w:b/>
          <w:bCs/>
        </w:rPr>
        <w:t>Q: Should the scope/procedures be revised to align with 2025 Strategic Objectives?</w:t>
      </w:r>
      <w:r w:rsidRPr="000F72B1">
        <w:br/>
      </w:r>
      <w:r w:rsidRPr="000F72B1">
        <w:rPr>
          <w:b/>
          <w:bCs/>
        </w:rPr>
        <w:t>A:</w:t>
      </w:r>
      <w:r w:rsidRPr="000F72B1">
        <w:t> </w:t>
      </w:r>
      <w:r w:rsidR="00364FDF">
        <w:t>No, the current Scope is sufficient to</w:t>
      </w:r>
      <w:r w:rsidRPr="000F72B1">
        <w:t xml:space="preserve"> align with:</w:t>
      </w:r>
    </w:p>
    <w:p w14:paraId="542CC27D" w14:textId="77777777" w:rsidR="000F72B1" w:rsidRPr="000F72B1" w:rsidRDefault="000F72B1" w:rsidP="000F72B1">
      <w:pPr>
        <w:numPr>
          <w:ilvl w:val="0"/>
          <w:numId w:val="1"/>
        </w:numPr>
      </w:pPr>
      <w:r w:rsidRPr="000F72B1">
        <w:t>Strategic Objective 2 (PUCT reform implementation),</w:t>
      </w:r>
    </w:p>
    <w:p w14:paraId="542E1C23" w14:textId="77777777" w:rsidR="000F72B1" w:rsidRPr="000F72B1" w:rsidRDefault="000F72B1" w:rsidP="000F72B1">
      <w:pPr>
        <w:numPr>
          <w:ilvl w:val="0"/>
          <w:numId w:val="1"/>
        </w:numPr>
      </w:pPr>
      <w:r w:rsidRPr="000F72B1">
        <w:t>Strategic Objective 4 (transmission and planning integration), and</w:t>
      </w:r>
    </w:p>
    <w:p w14:paraId="07FA45AE" w14:textId="77777777" w:rsidR="000F72B1" w:rsidRPr="000F72B1" w:rsidRDefault="000F72B1" w:rsidP="000F72B1">
      <w:pPr>
        <w:numPr>
          <w:ilvl w:val="0"/>
          <w:numId w:val="1"/>
        </w:numPr>
      </w:pPr>
      <w:r w:rsidRPr="000F72B1">
        <w:t>Strategic Objective 5 (analysis of emerging technologies and reliability needs).</w:t>
      </w:r>
    </w:p>
    <w:p w14:paraId="274FEB52" w14:textId="77777777" w:rsidR="000F72B1" w:rsidRPr="000F72B1" w:rsidRDefault="000F72B1" w:rsidP="000F72B1">
      <w:r w:rsidRPr="000F72B1">
        <w:pict w14:anchorId="3B951932">
          <v:rect id="_x0000_i1050" style="width:6in;height:1.5pt" o:hralign="center" o:hrstd="t" o:hr="t" fillcolor="#a0a0a0" stroked="f"/>
        </w:pict>
      </w:r>
    </w:p>
    <w:p w14:paraId="40036ABA" w14:textId="77777777" w:rsidR="000F72B1" w:rsidRPr="000F72B1" w:rsidRDefault="000F72B1" w:rsidP="000F72B1">
      <w:r w:rsidRPr="000F72B1">
        <w:rPr>
          <w:b/>
          <w:bCs/>
        </w:rPr>
        <w:t>Review of Open Action Items</w:t>
      </w:r>
    </w:p>
    <w:p w14:paraId="5E22356A" w14:textId="6E07FADD" w:rsidR="000F72B1" w:rsidRPr="000F72B1" w:rsidRDefault="000F72B1" w:rsidP="000F72B1">
      <w:r w:rsidRPr="000F72B1">
        <w:rPr>
          <w:b/>
          <w:bCs/>
        </w:rPr>
        <w:t xml:space="preserve">Q: Is </w:t>
      </w:r>
      <w:r>
        <w:rPr>
          <w:b/>
          <w:bCs/>
        </w:rPr>
        <w:t>LLWG</w:t>
      </w:r>
      <w:r w:rsidRPr="000F72B1">
        <w:rPr>
          <w:b/>
          <w:bCs/>
        </w:rPr>
        <w:t xml:space="preserve"> actively discussing and addressing open/ongoing issues?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Yes. </w:t>
      </w:r>
      <w:r>
        <w:t>LLWG</w:t>
      </w:r>
      <w:r w:rsidRPr="000F72B1">
        <w:t xml:space="preserve"> maintains a structured review of open action items in every meeting and prioritizes based on urgency, stakeholder impact, and reliability value.</w:t>
      </w:r>
    </w:p>
    <w:p w14:paraId="61680729" w14:textId="77777777" w:rsidR="000F72B1" w:rsidRPr="000F72B1" w:rsidRDefault="000F72B1" w:rsidP="000F72B1">
      <w:r w:rsidRPr="000F72B1">
        <w:rPr>
          <w:b/>
          <w:bCs/>
        </w:rPr>
        <w:t>Q: On average, how many Revision Requests are discussed annually?</w:t>
      </w:r>
      <w:r w:rsidRPr="000F72B1">
        <w:br/>
      </w:r>
      <w:r w:rsidRPr="000F72B1">
        <w:rPr>
          <w:b/>
          <w:bCs/>
        </w:rPr>
        <w:t>A:</w:t>
      </w:r>
      <w:r w:rsidRPr="000F72B1">
        <w:t> Approximately 25–30 Revision Requests are reviewed annually, with an emphasis on reliability rule changes and protocol improvements.</w:t>
      </w:r>
    </w:p>
    <w:p w14:paraId="6EE7A00F" w14:textId="77777777" w:rsidR="000F72B1" w:rsidRPr="000F72B1" w:rsidRDefault="000F72B1" w:rsidP="000F72B1">
      <w:r w:rsidRPr="000F72B1">
        <w:rPr>
          <w:b/>
          <w:bCs/>
        </w:rPr>
        <w:lastRenderedPageBreak/>
        <w:t>Q: If not focused on Revision Requests, what agenda items are most routinely discussed?</w:t>
      </w:r>
      <w:r w:rsidRPr="000F72B1">
        <w:br/>
      </w:r>
      <w:r w:rsidRPr="000F72B1">
        <w:rPr>
          <w:b/>
          <w:bCs/>
        </w:rPr>
        <w:t>A:</w:t>
      </w:r>
      <w:r w:rsidRPr="000F72B1">
        <w:t> Common topics include:</w:t>
      </w:r>
    </w:p>
    <w:p w14:paraId="46F45C6E" w14:textId="77777777" w:rsidR="000F72B1" w:rsidRPr="000F72B1" w:rsidRDefault="000F72B1" w:rsidP="000F72B1">
      <w:pPr>
        <w:numPr>
          <w:ilvl w:val="0"/>
          <w:numId w:val="2"/>
        </w:numPr>
      </w:pPr>
      <w:r w:rsidRPr="000F72B1">
        <w:t>Emergency operations and event reviews,</w:t>
      </w:r>
    </w:p>
    <w:p w14:paraId="278AC0E7" w14:textId="77777777" w:rsidR="000F72B1" w:rsidRPr="000F72B1" w:rsidRDefault="000F72B1" w:rsidP="000F72B1">
      <w:pPr>
        <w:numPr>
          <w:ilvl w:val="0"/>
          <w:numId w:val="2"/>
        </w:numPr>
      </w:pPr>
      <w:r w:rsidRPr="000F72B1">
        <w:t>AS methodology and performance,</w:t>
      </w:r>
    </w:p>
    <w:p w14:paraId="111728B3" w14:textId="77777777" w:rsidR="000F72B1" w:rsidRPr="000F72B1" w:rsidRDefault="000F72B1" w:rsidP="000F72B1">
      <w:pPr>
        <w:numPr>
          <w:ilvl w:val="0"/>
          <w:numId w:val="2"/>
        </w:numPr>
      </w:pPr>
      <w:r w:rsidRPr="000F72B1">
        <w:t>Transmission planning endorsements,</w:t>
      </w:r>
    </w:p>
    <w:p w14:paraId="40811925" w14:textId="77777777" w:rsidR="000F72B1" w:rsidRPr="000F72B1" w:rsidRDefault="000F72B1" w:rsidP="000F72B1">
      <w:pPr>
        <w:numPr>
          <w:ilvl w:val="0"/>
          <w:numId w:val="2"/>
        </w:numPr>
      </w:pPr>
      <w:r w:rsidRPr="000F72B1">
        <w:t>Technology impact analysis (IBRs, ESRs, LRs).</w:t>
      </w:r>
    </w:p>
    <w:p w14:paraId="33AE6A2C" w14:textId="77777777" w:rsidR="000F72B1" w:rsidRPr="000F72B1" w:rsidRDefault="000F72B1" w:rsidP="000F72B1">
      <w:r w:rsidRPr="000F72B1">
        <w:pict w14:anchorId="61F47817">
          <v:rect id="_x0000_i1051" style="width:6in;height:1.5pt" o:hralign="center" o:hrstd="t" o:hr="t" fillcolor="#a0a0a0" stroked="f"/>
        </w:pict>
      </w:r>
    </w:p>
    <w:p w14:paraId="452BE9A2" w14:textId="1D4449F6" w:rsidR="000F72B1" w:rsidRPr="000F72B1" w:rsidRDefault="000F72B1" w:rsidP="000F72B1">
      <w:r>
        <w:rPr>
          <w:b/>
          <w:bCs/>
        </w:rPr>
        <w:t>LLWG</w:t>
      </w:r>
      <w:r w:rsidRPr="000F72B1">
        <w:rPr>
          <w:b/>
          <w:bCs/>
        </w:rPr>
        <w:t xml:space="preserve"> Meetings</w:t>
      </w:r>
    </w:p>
    <w:p w14:paraId="40AEC8EA" w14:textId="54B2B431" w:rsidR="000F72B1" w:rsidRPr="000F72B1" w:rsidRDefault="000F72B1" w:rsidP="000F72B1">
      <w:r w:rsidRPr="000F72B1">
        <w:rPr>
          <w:b/>
          <w:bCs/>
        </w:rPr>
        <w:t xml:space="preserve">Q: How frequently does </w:t>
      </w:r>
      <w:r>
        <w:rPr>
          <w:b/>
          <w:bCs/>
        </w:rPr>
        <w:t>LLWG</w:t>
      </w:r>
      <w:r w:rsidRPr="000F72B1">
        <w:rPr>
          <w:b/>
          <w:bCs/>
        </w:rPr>
        <w:t xml:space="preserve"> meet and for how long?</w:t>
      </w:r>
      <w:r w:rsidRPr="000F72B1">
        <w:br/>
      </w:r>
      <w:r w:rsidRPr="000F72B1">
        <w:rPr>
          <w:b/>
          <w:bCs/>
        </w:rPr>
        <w:t>A:</w:t>
      </w:r>
      <w:r w:rsidRPr="000F72B1">
        <w:t> </w:t>
      </w:r>
      <w:r>
        <w:t>LLWG</w:t>
      </w:r>
      <w:r w:rsidRPr="000F72B1">
        <w:t xml:space="preserve"> meets monthly for approximately 3–6 hours, with additional workshops or joint sessions as needed.</w:t>
      </w:r>
    </w:p>
    <w:p w14:paraId="0C5E836A" w14:textId="60A99856" w:rsidR="000F72B1" w:rsidRPr="000F72B1" w:rsidRDefault="000F72B1" w:rsidP="000F72B1">
      <w:r w:rsidRPr="000F72B1">
        <w:rPr>
          <w:b/>
          <w:bCs/>
        </w:rPr>
        <w:t>Q: Are meetings well attended?</w:t>
      </w:r>
      <w:r w:rsidRPr="000F72B1">
        <w:br/>
      </w:r>
      <w:r w:rsidRPr="000F72B1">
        <w:rPr>
          <w:b/>
          <w:bCs/>
        </w:rPr>
        <w:t>A:</w:t>
      </w:r>
      <w:r w:rsidRPr="000F72B1">
        <w:t> Yes. There is consistent and engaged participation from voting members, ERCOT staff, and stakeholders.</w:t>
      </w:r>
      <w:r w:rsidR="00364FDF">
        <w:t xml:space="preserve">  The June workshop had over 450 participants on Webex.</w:t>
      </w:r>
    </w:p>
    <w:p w14:paraId="20E43B26" w14:textId="2D561658" w:rsidR="000F72B1" w:rsidRPr="000F72B1" w:rsidRDefault="000F72B1" w:rsidP="000F72B1">
      <w:r w:rsidRPr="000F72B1">
        <w:rPr>
          <w:b/>
          <w:bCs/>
        </w:rPr>
        <w:t>Q: How is the agenda produced?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Agendas are jointly developed by the </w:t>
      </w:r>
      <w:r>
        <w:t>LLWG</w:t>
      </w:r>
      <w:r w:rsidRPr="000F72B1">
        <w:t xml:space="preserve"> Chair and Vice Chair, in collaboration with ERCOT and stakeholders.</w:t>
      </w:r>
    </w:p>
    <w:p w14:paraId="6EBDD8C6" w14:textId="77777777" w:rsidR="000F72B1" w:rsidRPr="000F72B1" w:rsidRDefault="000F72B1" w:rsidP="000F72B1">
      <w:r w:rsidRPr="000F72B1">
        <w:rPr>
          <w:b/>
          <w:bCs/>
        </w:rPr>
        <w:t>Q: What impediments affect meeting productivity (e.g., notice/posting)?</w:t>
      </w:r>
      <w:r w:rsidRPr="000F72B1">
        <w:br/>
      </w:r>
      <w:r w:rsidRPr="000F72B1">
        <w:rPr>
          <w:b/>
          <w:bCs/>
        </w:rPr>
        <w:t>A:</w:t>
      </w:r>
      <w:r w:rsidRPr="000F72B1">
        <w:t> Key challenges include:</w:t>
      </w:r>
    </w:p>
    <w:p w14:paraId="04321813" w14:textId="77777777" w:rsidR="000F72B1" w:rsidRPr="000F72B1" w:rsidRDefault="000F72B1" w:rsidP="000F72B1">
      <w:pPr>
        <w:numPr>
          <w:ilvl w:val="0"/>
          <w:numId w:val="3"/>
        </w:numPr>
      </w:pPr>
      <w:r w:rsidRPr="000F72B1">
        <w:t>High complexity and volume of issues,</w:t>
      </w:r>
    </w:p>
    <w:p w14:paraId="10D232FF" w14:textId="77777777" w:rsidR="000F72B1" w:rsidRPr="000F72B1" w:rsidRDefault="000F72B1" w:rsidP="000F72B1">
      <w:pPr>
        <w:numPr>
          <w:ilvl w:val="0"/>
          <w:numId w:val="3"/>
        </w:numPr>
      </w:pPr>
      <w:r w:rsidRPr="000F72B1">
        <w:t>Occasional delays in posting due to evolving topics,</w:t>
      </w:r>
    </w:p>
    <w:p w14:paraId="6AFB2CE9" w14:textId="77777777" w:rsidR="000F72B1" w:rsidRPr="000F72B1" w:rsidRDefault="000F72B1" w:rsidP="000F72B1">
      <w:pPr>
        <w:numPr>
          <w:ilvl w:val="0"/>
          <w:numId w:val="3"/>
        </w:numPr>
      </w:pPr>
      <w:r w:rsidRPr="000F72B1">
        <w:t>Time constraints for stakeholder preparation.</w:t>
      </w:r>
    </w:p>
    <w:p w14:paraId="40F6E367" w14:textId="68B902F6" w:rsidR="000F72B1" w:rsidRPr="000F72B1" w:rsidRDefault="000F72B1" w:rsidP="000F72B1">
      <w:r w:rsidRPr="000F72B1">
        <w:rPr>
          <w:b/>
          <w:bCs/>
        </w:rPr>
        <w:t>Q: What percentage of agendas/materials are posted at least one week in advance?</w:t>
      </w:r>
      <w:r w:rsidRPr="000F72B1">
        <w:br/>
      </w:r>
      <w:r w:rsidRPr="000F72B1">
        <w:rPr>
          <w:b/>
          <w:bCs/>
        </w:rPr>
        <w:t>A:</w:t>
      </w:r>
      <w:r w:rsidRPr="000F72B1">
        <w:t> </w:t>
      </w:r>
      <w:r w:rsidR="00722814">
        <w:t xml:space="preserve">As a new group this needs work, about 50% of </w:t>
      </w:r>
      <w:r w:rsidRPr="000F72B1">
        <w:t>meeting materials are posted on time, w</w:t>
      </w:r>
      <w:r w:rsidR="00722814">
        <w:t>e are working on material posting</w:t>
      </w:r>
      <w:proofErr w:type="gramStart"/>
      <w:r w:rsidR="00722814">
        <w:t xml:space="preserve">. </w:t>
      </w:r>
      <w:r w:rsidRPr="000F72B1">
        <w:t>.</w:t>
      </w:r>
      <w:proofErr w:type="gramEnd"/>
    </w:p>
    <w:p w14:paraId="5A7EAA87" w14:textId="77777777" w:rsidR="000F72B1" w:rsidRPr="000F72B1" w:rsidRDefault="000F72B1" w:rsidP="000F72B1">
      <w:r w:rsidRPr="000F72B1">
        <w:rPr>
          <w:b/>
          <w:bCs/>
        </w:rPr>
        <w:t>Q: What changes could improve meeting effectiveness?</w:t>
      </w:r>
      <w:r w:rsidRPr="000F72B1">
        <w:br/>
      </w:r>
      <w:r w:rsidRPr="000F72B1">
        <w:rPr>
          <w:b/>
          <w:bCs/>
        </w:rPr>
        <w:t>A:</w:t>
      </w:r>
      <w:r w:rsidRPr="000F72B1">
        <w:t> Recommendations include:</w:t>
      </w:r>
    </w:p>
    <w:p w14:paraId="46C44667" w14:textId="1E08DE44" w:rsidR="000F72B1" w:rsidRPr="000F72B1" w:rsidRDefault="000F72B1" w:rsidP="000F72B1">
      <w:pPr>
        <w:numPr>
          <w:ilvl w:val="0"/>
          <w:numId w:val="4"/>
        </w:numPr>
      </w:pPr>
      <w:r w:rsidRPr="000F72B1">
        <w:t xml:space="preserve">Earlier distribution of complex </w:t>
      </w:r>
      <w:r w:rsidR="00722814">
        <w:t xml:space="preserve">or controversial </w:t>
      </w:r>
      <w:r w:rsidRPr="000F72B1">
        <w:t>materials,</w:t>
      </w:r>
    </w:p>
    <w:p w14:paraId="72CDB216" w14:textId="1D2368E4" w:rsidR="000F72B1" w:rsidRPr="000F72B1" w:rsidRDefault="00722814" w:rsidP="000F72B1">
      <w:pPr>
        <w:numPr>
          <w:ilvl w:val="0"/>
          <w:numId w:val="4"/>
        </w:numPr>
      </w:pPr>
      <w:r>
        <w:t xml:space="preserve">Collaboration between ERCOT and Stakeholders before market rules are developed. </w:t>
      </w:r>
    </w:p>
    <w:p w14:paraId="5835D992" w14:textId="3D21747C" w:rsidR="000F72B1" w:rsidRPr="000F72B1" w:rsidRDefault="000F72B1" w:rsidP="000F72B1">
      <w:pPr>
        <w:numPr>
          <w:ilvl w:val="0"/>
          <w:numId w:val="4"/>
        </w:numPr>
      </w:pPr>
      <w:r w:rsidRPr="000F72B1">
        <w:lastRenderedPageBreak/>
        <w:t>Pre-meeting stakeholder briefings on major RRs.</w:t>
      </w:r>
    </w:p>
    <w:p w14:paraId="24E89F51" w14:textId="77777777" w:rsidR="000F72B1" w:rsidRPr="000F72B1" w:rsidRDefault="000F72B1" w:rsidP="000F72B1">
      <w:r w:rsidRPr="000F72B1">
        <w:pict w14:anchorId="7AAFFDE4">
          <v:rect id="_x0000_i1052" style="width:6in;height:1.5pt" o:hralign="center" o:hrstd="t" o:hr="t" fillcolor="#a0a0a0" stroked="f"/>
        </w:pict>
      </w:r>
    </w:p>
    <w:p w14:paraId="0B34A1C6" w14:textId="77777777" w:rsidR="000F72B1" w:rsidRPr="000F72B1" w:rsidRDefault="000F72B1" w:rsidP="000F72B1">
      <w:r w:rsidRPr="000F72B1">
        <w:rPr>
          <w:b/>
          <w:bCs/>
        </w:rPr>
        <w:t>Alignment &amp; Necessity</w:t>
      </w:r>
    </w:p>
    <w:p w14:paraId="7D2ED702" w14:textId="6E205500" w:rsidR="000F72B1" w:rsidRPr="000F72B1" w:rsidRDefault="000F72B1" w:rsidP="000F72B1">
      <w:r w:rsidRPr="000F72B1">
        <w:rPr>
          <w:b/>
          <w:bCs/>
        </w:rPr>
        <w:t xml:space="preserve">Q: Is </w:t>
      </w:r>
      <w:r>
        <w:rPr>
          <w:b/>
          <w:bCs/>
        </w:rPr>
        <w:t>LLWG</w:t>
      </w:r>
      <w:r w:rsidRPr="000F72B1">
        <w:rPr>
          <w:b/>
          <w:bCs/>
        </w:rPr>
        <w:t xml:space="preserve"> aligned with the appropriate subcommittee?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Yes. As a TAC </w:t>
      </w:r>
      <w:r w:rsidR="00722814">
        <w:t>Working Group</w:t>
      </w:r>
      <w:r w:rsidRPr="000F72B1">
        <w:t xml:space="preserve">, </w:t>
      </w:r>
      <w:r>
        <w:t>LLWG</w:t>
      </w:r>
      <w:r w:rsidRPr="000F72B1">
        <w:t xml:space="preserve"> is directly aligned with TAC’s strategic direction and reporting structure.</w:t>
      </w:r>
    </w:p>
    <w:p w14:paraId="08FB5CC5" w14:textId="05ED0044" w:rsidR="000F72B1" w:rsidRPr="000F72B1" w:rsidRDefault="000F72B1" w:rsidP="000F72B1">
      <w:r w:rsidRPr="000F72B1">
        <w:rPr>
          <w:b/>
          <w:bCs/>
        </w:rPr>
        <w:t xml:space="preserve">Q: Is </w:t>
      </w:r>
      <w:r>
        <w:rPr>
          <w:b/>
          <w:bCs/>
        </w:rPr>
        <w:t>LLWG</w:t>
      </w:r>
      <w:r w:rsidRPr="000F72B1">
        <w:rPr>
          <w:b/>
          <w:bCs/>
        </w:rPr>
        <w:t xml:space="preserve"> still necessary to achieve ERCOT’s Strategic Objectives?</w:t>
      </w:r>
      <w:r w:rsidRPr="000F72B1">
        <w:br/>
      </w:r>
      <w:r w:rsidRPr="000F72B1">
        <w:rPr>
          <w:b/>
          <w:bCs/>
        </w:rPr>
        <w:t>A:</w:t>
      </w:r>
      <w:r w:rsidRPr="000F72B1">
        <w:t xml:space="preserve"> Absolutely. </w:t>
      </w:r>
      <w:r>
        <w:t>LLWG</w:t>
      </w:r>
      <w:r w:rsidRPr="000F72B1">
        <w:t xml:space="preserve"> plays a pivotal role in achieving all five of ERCOT’s 2025 Strategic </w:t>
      </w:r>
      <w:proofErr w:type="gramStart"/>
      <w:r w:rsidRPr="000F72B1">
        <w:t>Objectives—</w:t>
      </w:r>
      <w:proofErr w:type="gramEnd"/>
      <w:r w:rsidRPr="000F72B1">
        <w:t xml:space="preserve">especially Objectives 2, 3 and </w:t>
      </w:r>
      <w:r w:rsidR="00722814">
        <w:t>4</w:t>
      </w:r>
      <w:proofErr w:type="gramStart"/>
      <w:r w:rsidRPr="000F72B1">
        <w:t xml:space="preserve"> Its</w:t>
      </w:r>
      <w:proofErr w:type="gramEnd"/>
      <w:r w:rsidRPr="000F72B1">
        <w:t xml:space="preserve"> contributions are essential to maintaining system reliability, integrating new technologies, and executing regulatory reforms.</w:t>
      </w:r>
    </w:p>
    <w:p w14:paraId="2E229A8E" w14:textId="77777777" w:rsidR="000F72B1" w:rsidRPr="000F72B1" w:rsidRDefault="000F72B1" w:rsidP="000F72B1">
      <w:r w:rsidRPr="000F72B1">
        <w:t>Please let me know if any additional clarification is needed. I appreciate your leadership and coordination on this important review process.</w:t>
      </w:r>
    </w:p>
    <w:p w14:paraId="008FFAC7" w14:textId="477E8A58" w:rsidR="000F72B1" w:rsidRPr="000F72B1" w:rsidRDefault="000F72B1" w:rsidP="000F72B1"/>
    <w:p w14:paraId="3C4B1B33" w14:textId="77777777" w:rsidR="00053F24" w:rsidRDefault="00053F24"/>
    <w:sectPr w:rsidR="00053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B1831"/>
    <w:multiLevelType w:val="multilevel"/>
    <w:tmpl w:val="7A5C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8C091B"/>
    <w:multiLevelType w:val="multilevel"/>
    <w:tmpl w:val="1076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4D31AB"/>
    <w:multiLevelType w:val="multilevel"/>
    <w:tmpl w:val="7930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893AE5"/>
    <w:multiLevelType w:val="multilevel"/>
    <w:tmpl w:val="2028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0342145">
    <w:abstractNumId w:val="2"/>
  </w:num>
  <w:num w:numId="2" w16cid:durableId="804737424">
    <w:abstractNumId w:val="3"/>
  </w:num>
  <w:num w:numId="3" w16cid:durableId="2081440255">
    <w:abstractNumId w:val="1"/>
  </w:num>
  <w:num w:numId="4" w16cid:durableId="204821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B1"/>
    <w:rsid w:val="00053F24"/>
    <w:rsid w:val="000F72B1"/>
    <w:rsid w:val="001C04CD"/>
    <w:rsid w:val="00252514"/>
    <w:rsid w:val="00364FDF"/>
    <w:rsid w:val="00615C38"/>
    <w:rsid w:val="00722814"/>
    <w:rsid w:val="009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0ABF"/>
  <w15:chartTrackingRefBased/>
  <w15:docId w15:val="{774A0347-A6C5-4781-A7AA-92F03104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2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2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2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2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2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2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2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2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2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2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2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2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2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2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2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2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Wittmeyer</dc:creator>
  <cp:keywords/>
  <dc:description/>
  <cp:lastModifiedBy>Bob Wittmeyer</cp:lastModifiedBy>
  <cp:revision>1</cp:revision>
  <dcterms:created xsi:type="dcterms:W3CDTF">2025-07-01T12:54:00Z</dcterms:created>
  <dcterms:modified xsi:type="dcterms:W3CDTF">2025-07-01T13:26:00Z</dcterms:modified>
</cp:coreProperties>
</file>