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7966C4D5" w:rsidR="00581280" w:rsidRDefault="00F83AC5">
      <w:pPr>
        <w:spacing w:before="360"/>
        <w:jc w:val="center"/>
        <w:rPr>
          <w:b/>
          <w:szCs w:val="24"/>
        </w:rPr>
      </w:pPr>
      <w:r>
        <w:rPr>
          <w:b/>
          <w:szCs w:val="24"/>
        </w:rPr>
        <w:t>August</w:t>
      </w:r>
      <w:r w:rsidR="006164D6">
        <w:rPr>
          <w:b/>
          <w:szCs w:val="24"/>
        </w:rPr>
        <w:t xml:space="preserve"> 1</w:t>
      </w:r>
      <w:r w:rsidR="002A19BC">
        <w:rPr>
          <w:b/>
          <w:szCs w:val="24"/>
        </w:rPr>
        <w:t>, 20</w:t>
      </w:r>
      <w:r w:rsidR="0009147E">
        <w:rPr>
          <w:b/>
          <w:szCs w:val="24"/>
        </w:rPr>
        <w:t>2</w:t>
      </w:r>
      <w:r w:rsidR="00E656B6">
        <w:rPr>
          <w:b/>
          <w:szCs w:val="24"/>
        </w:rPr>
        <w:t>5</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22CB9C77"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971B54">
          <w:rPr>
            <w:webHidden/>
          </w:rPr>
          <w:t>8-1</w:t>
        </w:r>
        <w:r w:rsidR="00D734AD">
          <w:rPr>
            <w:webHidden/>
          </w:rPr>
          <w:fldChar w:fldCharType="end"/>
        </w:r>
      </w:hyperlink>
    </w:p>
    <w:p w14:paraId="7C4ADE84" w14:textId="5278D3BA" w:rsidR="00D734AD" w:rsidRPr="00E3633C" w:rsidRDefault="00D734AD">
      <w:pPr>
        <w:pStyle w:val="TOC2"/>
        <w:rPr>
          <w:rFonts w:eastAsiaTheme="minorEastAsia"/>
          <w:noProof/>
          <w:kern w:val="2"/>
          <w14:ligatures w14:val="standardContextual"/>
        </w:rPr>
      </w:pPr>
      <w:hyperlink w:anchor="_Toc162532134" w:history="1">
        <w:r w:rsidRPr="00E3633C">
          <w:rPr>
            <w:rStyle w:val="Hyperlink"/>
            <w:noProof/>
            <w:u w:val="none"/>
          </w:rPr>
          <w:t>8.1</w:t>
        </w:r>
        <w:r w:rsidRPr="00E3633C">
          <w:rPr>
            <w:rFonts w:eastAsiaTheme="minorEastAsia"/>
            <w:noProof/>
            <w:kern w:val="2"/>
            <w14:ligatures w14:val="standardContextual"/>
          </w:rPr>
          <w:tab/>
        </w:r>
        <w:r w:rsidRPr="00E3633C">
          <w:rPr>
            <w:rStyle w:val="Hyperlink"/>
            <w:noProof/>
            <w:u w:val="none"/>
          </w:rPr>
          <w:t>QSE and Resource Performance Monitoring</w:t>
        </w:r>
        <w:r w:rsidRPr="00E3633C">
          <w:rPr>
            <w:noProof/>
            <w:webHidden/>
          </w:rPr>
          <w:tab/>
        </w:r>
        <w:r w:rsidRPr="00E3633C">
          <w:rPr>
            <w:noProof/>
            <w:webHidden/>
          </w:rPr>
          <w:fldChar w:fldCharType="begin"/>
        </w:r>
        <w:r w:rsidRPr="00E3633C">
          <w:rPr>
            <w:noProof/>
            <w:webHidden/>
          </w:rPr>
          <w:instrText xml:space="preserve"> PAGEREF _Toc162532134 \h </w:instrText>
        </w:r>
        <w:r w:rsidRPr="00E3633C">
          <w:rPr>
            <w:noProof/>
            <w:webHidden/>
          </w:rPr>
        </w:r>
        <w:r w:rsidRPr="00E3633C">
          <w:rPr>
            <w:noProof/>
            <w:webHidden/>
          </w:rPr>
          <w:fldChar w:fldCharType="separate"/>
        </w:r>
        <w:r w:rsidR="00971B54">
          <w:rPr>
            <w:noProof/>
            <w:webHidden/>
          </w:rPr>
          <w:t>8-1</w:t>
        </w:r>
        <w:r w:rsidRPr="00E3633C">
          <w:rPr>
            <w:noProof/>
            <w:webHidden/>
          </w:rPr>
          <w:fldChar w:fldCharType="end"/>
        </w:r>
      </w:hyperlink>
    </w:p>
    <w:p w14:paraId="5F47641D" w14:textId="38BA3C1D" w:rsidR="00D734AD" w:rsidRPr="00E3633C" w:rsidRDefault="00D734AD">
      <w:pPr>
        <w:pStyle w:val="TOC3"/>
        <w:rPr>
          <w:rFonts w:eastAsiaTheme="minorEastAsia"/>
          <w:i w:val="0"/>
          <w:iCs w:val="0"/>
          <w:noProof/>
          <w:kern w:val="2"/>
          <w14:ligatures w14:val="standardContextual"/>
        </w:rPr>
      </w:pPr>
      <w:hyperlink w:anchor="_Toc162532135" w:history="1">
        <w:r w:rsidRPr="00E3633C">
          <w:rPr>
            <w:rStyle w:val="Hyperlink"/>
            <w:i w:val="0"/>
            <w:iCs w:val="0"/>
            <w:noProof/>
            <w:u w:val="none"/>
          </w:rPr>
          <w:t>8.1.1</w:t>
        </w:r>
        <w:r w:rsidRPr="00E3633C">
          <w:rPr>
            <w:rFonts w:eastAsiaTheme="minorEastAsia"/>
            <w:i w:val="0"/>
            <w:iCs w:val="0"/>
            <w:noProof/>
            <w:kern w:val="2"/>
            <w14:ligatures w14:val="standardContextual"/>
          </w:rPr>
          <w:tab/>
        </w:r>
        <w:r w:rsidRPr="00E3633C">
          <w:rPr>
            <w:rStyle w:val="Hyperlink"/>
            <w:i w:val="0"/>
            <w:iCs w:val="0"/>
            <w:noProof/>
            <w:u w:val="none"/>
          </w:rPr>
          <w:t>QSE Ancillary Service Performance Standards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_Toc162532135 \h </w:instrText>
        </w:r>
        <w:r w:rsidRPr="00E3633C">
          <w:rPr>
            <w:i w:val="0"/>
            <w:iCs w:val="0"/>
            <w:noProof/>
            <w:webHidden/>
          </w:rPr>
        </w:r>
        <w:r w:rsidRPr="00E3633C">
          <w:rPr>
            <w:i w:val="0"/>
            <w:iCs w:val="0"/>
            <w:noProof/>
            <w:webHidden/>
          </w:rPr>
          <w:fldChar w:fldCharType="separate"/>
        </w:r>
        <w:r w:rsidR="00971B54">
          <w:rPr>
            <w:i w:val="0"/>
            <w:iCs w:val="0"/>
            <w:noProof/>
            <w:webHidden/>
          </w:rPr>
          <w:t>8-2</w:t>
        </w:r>
        <w:r w:rsidRPr="00E3633C">
          <w:rPr>
            <w:i w:val="0"/>
            <w:iCs w:val="0"/>
            <w:noProof/>
            <w:webHidden/>
          </w:rPr>
          <w:fldChar w:fldCharType="end"/>
        </w:r>
      </w:hyperlink>
    </w:p>
    <w:p w14:paraId="50D8979B" w14:textId="356B4EF1" w:rsidR="00D734AD" w:rsidRPr="00E3633C" w:rsidRDefault="00D734AD">
      <w:pPr>
        <w:pStyle w:val="TOC4"/>
        <w:rPr>
          <w:rFonts w:eastAsiaTheme="minorEastAsia"/>
          <w:bCs w:val="0"/>
          <w:snapToGrid/>
          <w:kern w:val="2"/>
          <w:sz w:val="20"/>
          <w:szCs w:val="20"/>
          <w14:ligatures w14:val="standardContextual"/>
        </w:rPr>
      </w:pPr>
      <w:hyperlink w:anchor="_Toc162532136" w:history="1">
        <w:r w:rsidRPr="00E3633C">
          <w:rPr>
            <w:rStyle w:val="Hyperlink"/>
            <w:bCs w:val="0"/>
            <w:sz w:val="20"/>
            <w:szCs w:val="20"/>
            <w:u w:val="none"/>
          </w:rPr>
          <w:t>8.1.1.1</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Qualification and Testing</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_Toc162532136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8-3</w:t>
        </w:r>
        <w:r w:rsidRPr="00E3633C">
          <w:rPr>
            <w:bCs w:val="0"/>
            <w:webHidden/>
            <w:sz w:val="20"/>
            <w:szCs w:val="20"/>
          </w:rPr>
          <w:fldChar w:fldCharType="end"/>
        </w:r>
      </w:hyperlink>
    </w:p>
    <w:p w14:paraId="5FEE111A" w14:textId="01F25B47" w:rsidR="00D734AD" w:rsidRPr="00E3633C" w:rsidRDefault="00D734AD">
      <w:pPr>
        <w:pStyle w:val="TOC4"/>
        <w:rPr>
          <w:rFonts w:eastAsiaTheme="minorEastAsia"/>
          <w:bCs w:val="0"/>
          <w:snapToGrid/>
          <w:kern w:val="2"/>
          <w:sz w:val="20"/>
          <w:szCs w:val="20"/>
          <w14:ligatures w14:val="standardContextual"/>
        </w:rPr>
      </w:pPr>
      <w:hyperlink w:anchor="_Toc162532138" w:history="1">
        <w:r w:rsidRPr="00E3633C">
          <w:rPr>
            <w:rStyle w:val="Hyperlink"/>
            <w:bCs w:val="0"/>
            <w:sz w:val="20"/>
            <w:szCs w:val="20"/>
            <w:u w:val="none"/>
          </w:rPr>
          <w:t>8.1.1.2</w:t>
        </w:r>
        <w:r w:rsidRPr="00E3633C">
          <w:rPr>
            <w:rFonts w:eastAsiaTheme="minorEastAsia"/>
            <w:bCs w:val="0"/>
            <w:snapToGrid/>
            <w:kern w:val="2"/>
            <w:sz w:val="20"/>
            <w:szCs w:val="20"/>
            <w14:ligatures w14:val="standardContextual"/>
          </w:rPr>
          <w:tab/>
        </w:r>
        <w:r w:rsidRPr="00E3633C">
          <w:rPr>
            <w:rStyle w:val="Hyperlink"/>
            <w:bCs w:val="0"/>
            <w:sz w:val="20"/>
            <w:szCs w:val="20"/>
            <w:u w:val="none"/>
          </w:rPr>
          <w:t>General Capacity Testing Requirements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_Toc162532138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8-9</w:t>
        </w:r>
        <w:r w:rsidRPr="00E3633C">
          <w:rPr>
            <w:bCs w:val="0"/>
            <w:webHidden/>
            <w:sz w:val="20"/>
            <w:szCs w:val="20"/>
          </w:rPr>
          <w:fldChar w:fldCharType="end"/>
        </w:r>
      </w:hyperlink>
    </w:p>
    <w:p w14:paraId="4B12EA1C" w14:textId="2663524A" w:rsidR="00D734AD" w:rsidRPr="00E3633C" w:rsidRDefault="00D734AD" w:rsidP="00243776">
      <w:pPr>
        <w:pStyle w:val="TOC5"/>
        <w:rPr>
          <w:rFonts w:eastAsiaTheme="minorEastAsia"/>
          <w:i w:val="0"/>
          <w:kern w:val="2"/>
          <w:sz w:val="20"/>
          <w:szCs w:val="20"/>
          <w14:ligatures w14:val="standardContextual"/>
        </w:rPr>
      </w:pPr>
      <w:hyperlink w:anchor="_Toc162532139" w:history="1">
        <w:r w:rsidRPr="00E3633C">
          <w:rPr>
            <w:rStyle w:val="Hyperlink"/>
            <w:i w:val="0"/>
            <w:sz w:val="20"/>
            <w:szCs w:val="20"/>
            <w:u w:val="none"/>
          </w:rPr>
          <w:t>8.1.1.2.1</w:t>
        </w:r>
        <w:r w:rsidRPr="00E3633C">
          <w:rPr>
            <w:rFonts w:eastAsiaTheme="minorEastAsia"/>
            <w:i w:val="0"/>
            <w:kern w:val="2"/>
            <w:sz w:val="20"/>
            <w:szCs w:val="20"/>
            <w14:ligatures w14:val="standardContextual"/>
          </w:rPr>
          <w:tab/>
        </w:r>
        <w:r w:rsidRPr="00E3633C">
          <w:rPr>
            <w:rStyle w:val="Hyperlink"/>
            <w:i w:val="0"/>
            <w:sz w:val="20"/>
            <w:szCs w:val="20"/>
            <w:u w:val="none"/>
          </w:rPr>
          <w:t>Ancillary Service Technical Requirements and Qualification Criteria and Test Methods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_Toc162532139 \h </w:instrText>
        </w:r>
        <w:r w:rsidRPr="00E3633C">
          <w:rPr>
            <w:i w:val="0"/>
            <w:webHidden/>
            <w:sz w:val="20"/>
            <w:szCs w:val="20"/>
          </w:rPr>
        </w:r>
        <w:r w:rsidRPr="00E3633C">
          <w:rPr>
            <w:i w:val="0"/>
            <w:webHidden/>
            <w:sz w:val="20"/>
            <w:szCs w:val="20"/>
          </w:rPr>
          <w:fldChar w:fldCharType="separate"/>
        </w:r>
        <w:r w:rsidR="00971B54">
          <w:rPr>
            <w:i w:val="0"/>
            <w:webHidden/>
            <w:sz w:val="20"/>
            <w:szCs w:val="20"/>
          </w:rPr>
          <w:t>8-14</w:t>
        </w:r>
        <w:r w:rsidRPr="00E3633C">
          <w:rPr>
            <w:i w:val="0"/>
            <w:webHidden/>
            <w:sz w:val="20"/>
            <w:szCs w:val="20"/>
          </w:rPr>
          <w:fldChar w:fldCharType="end"/>
        </w:r>
      </w:hyperlink>
    </w:p>
    <w:p w14:paraId="2FAC21F1" w14:textId="67BFA5E0" w:rsidR="00D734AD" w:rsidRPr="00E3633C" w:rsidRDefault="00D734AD">
      <w:pPr>
        <w:pStyle w:val="TOC6"/>
        <w:rPr>
          <w:rFonts w:eastAsiaTheme="minorEastAsia"/>
          <w:noProof/>
          <w:kern w:val="2"/>
          <w:sz w:val="20"/>
          <w:szCs w:val="20"/>
          <w14:ligatures w14:val="standardContextual"/>
        </w:rPr>
      </w:pPr>
      <w:hyperlink w:anchor="_Toc162532140" w:history="1">
        <w:r w:rsidRPr="00E3633C">
          <w:rPr>
            <w:rStyle w:val="Hyperlink"/>
            <w:noProof/>
            <w:sz w:val="20"/>
            <w:szCs w:val="20"/>
            <w:u w:val="none"/>
          </w:rPr>
          <w:t>8.1.1.2.1.1</w:t>
        </w:r>
        <w:r w:rsidRPr="00E3633C">
          <w:rPr>
            <w:rFonts w:eastAsiaTheme="minorEastAsia"/>
            <w:noProof/>
            <w:kern w:val="2"/>
            <w:sz w:val="20"/>
            <w:szCs w:val="20"/>
            <w14:ligatures w14:val="standardContextual"/>
          </w:rPr>
          <w:tab/>
        </w:r>
        <w:r w:rsidRPr="00E3633C">
          <w:rPr>
            <w:rStyle w:val="Hyperlink"/>
            <w:noProof/>
            <w:sz w:val="20"/>
            <w:szCs w:val="20"/>
            <w:u w:val="none"/>
          </w:rPr>
          <w:t>Regulation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_Toc162532140 \h </w:instrText>
        </w:r>
        <w:r w:rsidRPr="00E3633C">
          <w:rPr>
            <w:noProof/>
            <w:webHidden/>
            <w:sz w:val="20"/>
            <w:szCs w:val="20"/>
          </w:rPr>
        </w:r>
        <w:r w:rsidRPr="00E3633C">
          <w:rPr>
            <w:noProof/>
            <w:webHidden/>
            <w:sz w:val="20"/>
            <w:szCs w:val="20"/>
          </w:rPr>
          <w:fldChar w:fldCharType="separate"/>
        </w:r>
        <w:r w:rsidR="00971B54">
          <w:rPr>
            <w:noProof/>
            <w:webHidden/>
            <w:sz w:val="20"/>
            <w:szCs w:val="20"/>
          </w:rPr>
          <w:t>8-14</w:t>
        </w:r>
        <w:r w:rsidRPr="00E3633C">
          <w:rPr>
            <w:noProof/>
            <w:webHidden/>
            <w:sz w:val="20"/>
            <w:szCs w:val="20"/>
          </w:rPr>
          <w:fldChar w:fldCharType="end"/>
        </w:r>
      </w:hyperlink>
    </w:p>
    <w:p w14:paraId="799EF85C" w14:textId="652BF656" w:rsidR="00D734AD" w:rsidRPr="00E3633C" w:rsidRDefault="00D734AD">
      <w:pPr>
        <w:pStyle w:val="TOC6"/>
        <w:rPr>
          <w:rFonts w:eastAsiaTheme="minorEastAsia"/>
          <w:noProof/>
          <w:kern w:val="2"/>
          <w:sz w:val="20"/>
          <w:szCs w:val="20"/>
          <w14:ligatures w14:val="standardContextual"/>
        </w:rPr>
      </w:pPr>
      <w:hyperlink w:anchor="_Toc162532141" w:history="1">
        <w:r w:rsidRPr="00E3633C">
          <w:rPr>
            <w:rStyle w:val="Hyperlink"/>
            <w:noProof/>
            <w:sz w:val="20"/>
            <w:szCs w:val="20"/>
            <w:u w:val="none"/>
          </w:rPr>
          <w:t>8.1.1.2.1.2</w:t>
        </w:r>
        <w:r w:rsidRPr="00E3633C">
          <w:rPr>
            <w:rFonts w:eastAsiaTheme="minorEastAsia"/>
            <w:noProof/>
            <w:kern w:val="2"/>
            <w:sz w:val="20"/>
            <w:szCs w:val="20"/>
            <w14:ligatures w14:val="standardContextual"/>
          </w:rPr>
          <w:tab/>
        </w:r>
        <w:r w:rsidRPr="00E3633C">
          <w:rPr>
            <w:rStyle w:val="Hyperlink"/>
            <w:noProof/>
            <w:sz w:val="20"/>
            <w:szCs w:val="20"/>
            <w:u w:val="none"/>
          </w:rPr>
          <w:t>Responsive Reserve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_Toc162532141 \h </w:instrText>
        </w:r>
        <w:r w:rsidRPr="00E3633C">
          <w:rPr>
            <w:noProof/>
            <w:webHidden/>
            <w:sz w:val="20"/>
            <w:szCs w:val="20"/>
          </w:rPr>
        </w:r>
        <w:r w:rsidRPr="00E3633C">
          <w:rPr>
            <w:noProof/>
            <w:webHidden/>
            <w:sz w:val="20"/>
            <w:szCs w:val="20"/>
          </w:rPr>
          <w:fldChar w:fldCharType="separate"/>
        </w:r>
        <w:r w:rsidR="00971B54">
          <w:rPr>
            <w:noProof/>
            <w:webHidden/>
            <w:sz w:val="20"/>
            <w:szCs w:val="20"/>
          </w:rPr>
          <w:t>8-18</w:t>
        </w:r>
        <w:r w:rsidRPr="00E3633C">
          <w:rPr>
            <w:noProof/>
            <w:webHidden/>
            <w:sz w:val="20"/>
            <w:szCs w:val="20"/>
          </w:rPr>
          <w:fldChar w:fldCharType="end"/>
        </w:r>
      </w:hyperlink>
    </w:p>
    <w:p w14:paraId="4D402FAB" w14:textId="70F5ACA1" w:rsidR="00D734AD" w:rsidRPr="00E3633C" w:rsidRDefault="00D734AD">
      <w:pPr>
        <w:pStyle w:val="TOC6"/>
        <w:rPr>
          <w:rFonts w:eastAsiaTheme="minorEastAsia"/>
          <w:noProof/>
          <w:kern w:val="2"/>
          <w:sz w:val="20"/>
          <w:szCs w:val="20"/>
          <w14:ligatures w14:val="standardContextual"/>
        </w:rPr>
      </w:pPr>
      <w:hyperlink w:anchor="_Toc162532143" w:history="1">
        <w:r w:rsidRPr="00E3633C">
          <w:rPr>
            <w:rStyle w:val="Hyperlink"/>
            <w:noProof/>
            <w:sz w:val="20"/>
            <w:szCs w:val="20"/>
            <w:u w:val="none"/>
          </w:rPr>
          <w:t>8.1.1.2.1.3</w:t>
        </w:r>
        <w:r w:rsidRPr="00E3633C">
          <w:rPr>
            <w:rFonts w:eastAsiaTheme="minorEastAsia"/>
            <w:noProof/>
            <w:kern w:val="2"/>
            <w:sz w:val="20"/>
            <w:szCs w:val="20"/>
            <w14:ligatures w14:val="standardContextual"/>
          </w:rPr>
          <w:tab/>
        </w:r>
        <w:r w:rsidRPr="00E3633C">
          <w:rPr>
            <w:rStyle w:val="Hyperlink"/>
            <w:noProof/>
            <w:sz w:val="20"/>
            <w:szCs w:val="20"/>
            <w:u w:val="none"/>
          </w:rPr>
          <w:t>Non-Spinning Reserve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_Toc162532143 \h </w:instrText>
        </w:r>
        <w:r w:rsidRPr="00E3633C">
          <w:rPr>
            <w:noProof/>
            <w:webHidden/>
            <w:sz w:val="20"/>
            <w:szCs w:val="20"/>
          </w:rPr>
        </w:r>
        <w:r w:rsidRPr="00E3633C">
          <w:rPr>
            <w:noProof/>
            <w:webHidden/>
            <w:sz w:val="20"/>
            <w:szCs w:val="20"/>
          </w:rPr>
          <w:fldChar w:fldCharType="separate"/>
        </w:r>
        <w:r w:rsidR="00971B54">
          <w:rPr>
            <w:noProof/>
            <w:webHidden/>
            <w:sz w:val="20"/>
            <w:szCs w:val="20"/>
          </w:rPr>
          <w:t>8-21</w:t>
        </w:r>
        <w:r w:rsidRPr="00E3633C">
          <w:rPr>
            <w:noProof/>
            <w:webHidden/>
            <w:sz w:val="20"/>
            <w:szCs w:val="20"/>
          </w:rPr>
          <w:fldChar w:fldCharType="end"/>
        </w:r>
      </w:hyperlink>
    </w:p>
    <w:p w14:paraId="4B8110C9" w14:textId="70DFB267" w:rsidR="00D734AD" w:rsidRPr="00E3633C" w:rsidRDefault="00D734AD">
      <w:pPr>
        <w:pStyle w:val="TOC6"/>
        <w:rPr>
          <w:rFonts w:eastAsiaTheme="minorEastAsia"/>
          <w:noProof/>
          <w:kern w:val="2"/>
          <w:sz w:val="20"/>
          <w:szCs w:val="20"/>
          <w14:ligatures w14:val="standardContextual"/>
        </w:rPr>
      </w:pPr>
      <w:hyperlink w:anchor="_Toc162532145" w:history="1">
        <w:r w:rsidRPr="00E3633C">
          <w:rPr>
            <w:rStyle w:val="Hyperlink"/>
            <w:noProof/>
            <w:sz w:val="20"/>
            <w:szCs w:val="20"/>
            <w:u w:val="none"/>
          </w:rPr>
          <w:t>8.1.1.2.1.4</w:t>
        </w:r>
        <w:r w:rsidRPr="00E3633C">
          <w:rPr>
            <w:rFonts w:eastAsiaTheme="minorEastAsia"/>
            <w:noProof/>
            <w:kern w:val="2"/>
            <w:sz w:val="20"/>
            <w:szCs w:val="20"/>
            <w14:ligatures w14:val="standardContextual"/>
          </w:rPr>
          <w:tab/>
        </w:r>
        <w:r w:rsidRPr="00E3633C">
          <w:rPr>
            <w:rStyle w:val="Hyperlink"/>
            <w:noProof/>
            <w:sz w:val="20"/>
            <w:szCs w:val="20"/>
            <w:u w:val="none"/>
          </w:rPr>
          <w:t>Voltage Support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_Toc162532145 \h </w:instrText>
        </w:r>
        <w:r w:rsidRPr="00E3633C">
          <w:rPr>
            <w:noProof/>
            <w:webHidden/>
            <w:sz w:val="20"/>
            <w:szCs w:val="20"/>
          </w:rPr>
        </w:r>
        <w:r w:rsidRPr="00E3633C">
          <w:rPr>
            <w:noProof/>
            <w:webHidden/>
            <w:sz w:val="20"/>
            <w:szCs w:val="20"/>
          </w:rPr>
          <w:fldChar w:fldCharType="separate"/>
        </w:r>
        <w:r w:rsidR="00971B54">
          <w:rPr>
            <w:noProof/>
            <w:webHidden/>
            <w:sz w:val="20"/>
            <w:szCs w:val="20"/>
          </w:rPr>
          <w:t>8-24</w:t>
        </w:r>
        <w:r w:rsidRPr="00E3633C">
          <w:rPr>
            <w:noProof/>
            <w:webHidden/>
            <w:sz w:val="20"/>
            <w:szCs w:val="20"/>
          </w:rPr>
          <w:fldChar w:fldCharType="end"/>
        </w:r>
      </w:hyperlink>
    </w:p>
    <w:p w14:paraId="316DCFD4" w14:textId="16194715" w:rsidR="00D734AD" w:rsidRPr="00E3633C" w:rsidRDefault="00D734AD">
      <w:pPr>
        <w:pStyle w:val="TOC6"/>
        <w:rPr>
          <w:rFonts w:eastAsiaTheme="minorEastAsia"/>
          <w:noProof/>
          <w:kern w:val="2"/>
          <w:sz w:val="20"/>
          <w:szCs w:val="20"/>
          <w14:ligatures w14:val="standardContextual"/>
        </w:rPr>
      </w:pPr>
      <w:hyperlink w:anchor="_Toc162532146" w:history="1">
        <w:r w:rsidRPr="00E3633C">
          <w:rPr>
            <w:rStyle w:val="Hyperlink"/>
            <w:noProof/>
            <w:sz w:val="20"/>
            <w:szCs w:val="20"/>
            <w:u w:val="none"/>
          </w:rPr>
          <w:t>8.1.1.2.1.5</w:t>
        </w:r>
        <w:r w:rsidRPr="00E3633C">
          <w:rPr>
            <w:rFonts w:eastAsiaTheme="minorEastAsia"/>
            <w:noProof/>
            <w:kern w:val="2"/>
            <w:sz w:val="20"/>
            <w:szCs w:val="20"/>
            <w14:ligatures w14:val="standardContextual"/>
          </w:rPr>
          <w:tab/>
        </w:r>
        <w:r w:rsidRPr="00E3633C">
          <w:rPr>
            <w:rStyle w:val="Hyperlink"/>
            <w:noProof/>
            <w:sz w:val="20"/>
            <w:szCs w:val="20"/>
            <w:u w:val="none"/>
          </w:rPr>
          <w:t>System Black Start Capability Qualification and Testing</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_Toc162532146 \h </w:instrText>
        </w:r>
        <w:r w:rsidRPr="00E3633C">
          <w:rPr>
            <w:noProof/>
            <w:webHidden/>
            <w:sz w:val="20"/>
            <w:szCs w:val="20"/>
          </w:rPr>
        </w:r>
        <w:r w:rsidRPr="00E3633C">
          <w:rPr>
            <w:noProof/>
            <w:webHidden/>
            <w:sz w:val="20"/>
            <w:szCs w:val="20"/>
          </w:rPr>
          <w:fldChar w:fldCharType="separate"/>
        </w:r>
        <w:r w:rsidR="00971B54">
          <w:rPr>
            <w:noProof/>
            <w:webHidden/>
            <w:sz w:val="20"/>
            <w:szCs w:val="20"/>
          </w:rPr>
          <w:t>8-24</w:t>
        </w:r>
        <w:r w:rsidRPr="00E3633C">
          <w:rPr>
            <w:noProof/>
            <w:webHidden/>
            <w:sz w:val="20"/>
            <w:szCs w:val="20"/>
          </w:rPr>
          <w:fldChar w:fldCharType="end"/>
        </w:r>
      </w:hyperlink>
    </w:p>
    <w:p w14:paraId="5CCAC591" w14:textId="11C76072" w:rsidR="00D734AD" w:rsidRPr="00E3633C" w:rsidRDefault="00D734AD">
      <w:pPr>
        <w:pStyle w:val="TOC6"/>
        <w:rPr>
          <w:rFonts w:eastAsiaTheme="minorEastAsia"/>
          <w:noProof/>
          <w:kern w:val="2"/>
          <w:sz w:val="20"/>
          <w:szCs w:val="20"/>
          <w14:ligatures w14:val="standardContextual"/>
        </w:rPr>
      </w:pPr>
      <w:hyperlink w:anchor="_Toc162532147" w:history="1">
        <w:r w:rsidRPr="00E3633C">
          <w:rPr>
            <w:rStyle w:val="Hyperlink"/>
            <w:noProof/>
            <w:sz w:val="20"/>
            <w:szCs w:val="20"/>
            <w:u w:val="none"/>
          </w:rPr>
          <w:t>8.1.1.2.1.6</w:t>
        </w:r>
        <w:r w:rsidRPr="00E3633C">
          <w:rPr>
            <w:rFonts w:eastAsiaTheme="minorEastAsia"/>
            <w:noProof/>
            <w:kern w:val="2"/>
            <w:sz w:val="20"/>
            <w:szCs w:val="20"/>
            <w14:ligatures w14:val="standardContextual"/>
          </w:rPr>
          <w:tab/>
        </w:r>
        <w:r w:rsidRPr="00E3633C">
          <w:rPr>
            <w:rStyle w:val="Hyperlink"/>
            <w:noProof/>
            <w:sz w:val="20"/>
            <w:szCs w:val="20"/>
            <w:u w:val="none"/>
          </w:rPr>
          <w:t>Firm Fuel Supply Service Resource Qualification, Testing, Decertification, and Recertification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_Toc162532147 \h </w:instrText>
        </w:r>
        <w:r w:rsidRPr="00E3633C">
          <w:rPr>
            <w:noProof/>
            <w:webHidden/>
            <w:sz w:val="20"/>
            <w:szCs w:val="20"/>
          </w:rPr>
        </w:r>
        <w:r w:rsidRPr="00E3633C">
          <w:rPr>
            <w:noProof/>
            <w:webHidden/>
            <w:sz w:val="20"/>
            <w:szCs w:val="20"/>
          </w:rPr>
          <w:fldChar w:fldCharType="separate"/>
        </w:r>
        <w:r w:rsidR="00971B54">
          <w:rPr>
            <w:noProof/>
            <w:webHidden/>
            <w:sz w:val="20"/>
            <w:szCs w:val="20"/>
          </w:rPr>
          <w:t>8-31</w:t>
        </w:r>
        <w:r w:rsidRPr="00E3633C">
          <w:rPr>
            <w:noProof/>
            <w:webHidden/>
            <w:sz w:val="20"/>
            <w:szCs w:val="20"/>
          </w:rPr>
          <w:fldChar w:fldCharType="end"/>
        </w:r>
      </w:hyperlink>
    </w:p>
    <w:p w14:paraId="6A0A2570" w14:textId="450CAA78" w:rsidR="00D734AD" w:rsidRPr="00E3633C" w:rsidRDefault="00D734AD">
      <w:pPr>
        <w:pStyle w:val="TOC6"/>
        <w:rPr>
          <w:rFonts w:eastAsiaTheme="minorEastAsia"/>
          <w:noProof/>
          <w:kern w:val="2"/>
          <w:sz w:val="20"/>
          <w:szCs w:val="20"/>
          <w14:ligatures w14:val="standardContextual"/>
        </w:rPr>
      </w:pPr>
      <w:hyperlink w:anchor="_Toc162532148" w:history="1">
        <w:r w:rsidRPr="00E3633C">
          <w:rPr>
            <w:rStyle w:val="Hyperlink"/>
            <w:noProof/>
            <w:sz w:val="20"/>
            <w:szCs w:val="20"/>
            <w:u w:val="none"/>
          </w:rPr>
          <w:t>8.1.1.2.1.7</w:t>
        </w:r>
        <w:r w:rsidRPr="00E3633C">
          <w:rPr>
            <w:rFonts w:eastAsiaTheme="minorEastAsia"/>
            <w:noProof/>
            <w:kern w:val="2"/>
            <w:sz w:val="20"/>
            <w:szCs w:val="20"/>
            <w14:ligatures w14:val="standardContextual"/>
          </w:rPr>
          <w:tab/>
        </w:r>
        <w:r w:rsidRPr="00E3633C">
          <w:rPr>
            <w:rStyle w:val="Hyperlink"/>
            <w:noProof/>
            <w:sz w:val="20"/>
            <w:szCs w:val="20"/>
            <w:u w:val="none"/>
          </w:rPr>
          <w:t>ERCOT Contingency Reserve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_Toc162532148 \h </w:instrText>
        </w:r>
        <w:r w:rsidRPr="00E3633C">
          <w:rPr>
            <w:noProof/>
            <w:webHidden/>
            <w:sz w:val="20"/>
            <w:szCs w:val="20"/>
          </w:rPr>
        </w:r>
        <w:r w:rsidRPr="00E3633C">
          <w:rPr>
            <w:noProof/>
            <w:webHidden/>
            <w:sz w:val="20"/>
            <w:szCs w:val="20"/>
          </w:rPr>
          <w:fldChar w:fldCharType="separate"/>
        </w:r>
        <w:r w:rsidR="00971B54">
          <w:rPr>
            <w:noProof/>
            <w:webHidden/>
            <w:sz w:val="20"/>
            <w:szCs w:val="20"/>
          </w:rPr>
          <w:t>8-40</w:t>
        </w:r>
        <w:r w:rsidRPr="00E3633C">
          <w:rPr>
            <w:noProof/>
            <w:webHidden/>
            <w:sz w:val="20"/>
            <w:szCs w:val="20"/>
          </w:rPr>
          <w:fldChar w:fldCharType="end"/>
        </w:r>
      </w:hyperlink>
    </w:p>
    <w:p w14:paraId="38B40BA0" w14:textId="5CA92269" w:rsidR="00D734AD" w:rsidRPr="00E3633C" w:rsidRDefault="00D734AD">
      <w:pPr>
        <w:pStyle w:val="TOC4"/>
        <w:rPr>
          <w:rFonts w:eastAsiaTheme="minorEastAsia"/>
          <w:bCs w:val="0"/>
          <w:snapToGrid/>
          <w:kern w:val="2"/>
          <w:sz w:val="20"/>
          <w:szCs w:val="20"/>
          <w14:ligatures w14:val="standardContextual"/>
        </w:rPr>
      </w:pPr>
      <w:hyperlink w:anchor="_Toc162532150" w:history="1">
        <w:r w:rsidRPr="00E3633C">
          <w:rPr>
            <w:rStyle w:val="Hyperlink"/>
            <w:bCs w:val="0"/>
            <w:sz w:val="20"/>
            <w:szCs w:val="20"/>
            <w:u w:val="none"/>
          </w:rPr>
          <w:t>8.1.1.3</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Capacity Compliance Criteria</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_Toc162532150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8-43</w:t>
        </w:r>
        <w:r w:rsidRPr="00E3633C">
          <w:rPr>
            <w:bCs w:val="0"/>
            <w:webHidden/>
            <w:sz w:val="20"/>
            <w:szCs w:val="20"/>
          </w:rPr>
          <w:fldChar w:fldCharType="end"/>
        </w:r>
      </w:hyperlink>
    </w:p>
    <w:p w14:paraId="6E2EC6F9" w14:textId="4DB18EC9" w:rsidR="00D734AD" w:rsidRPr="00E3633C" w:rsidRDefault="00D734AD" w:rsidP="00243776">
      <w:pPr>
        <w:pStyle w:val="TOC5"/>
        <w:rPr>
          <w:rFonts w:eastAsiaTheme="minorEastAsia"/>
          <w:i w:val="0"/>
          <w:kern w:val="2"/>
          <w:sz w:val="20"/>
          <w:szCs w:val="20"/>
          <w14:ligatures w14:val="standardContextual"/>
        </w:rPr>
      </w:pPr>
      <w:hyperlink w:anchor="_Toc162532151" w:history="1">
        <w:r w:rsidRPr="00E3633C">
          <w:rPr>
            <w:rStyle w:val="Hyperlink"/>
            <w:i w:val="0"/>
            <w:sz w:val="20"/>
            <w:szCs w:val="20"/>
            <w:u w:val="none"/>
          </w:rPr>
          <w:t>8.1.1.3.1</w:t>
        </w:r>
        <w:r w:rsidRPr="00E3633C">
          <w:rPr>
            <w:rFonts w:eastAsiaTheme="minorEastAsia"/>
            <w:i w:val="0"/>
            <w:kern w:val="2"/>
            <w:sz w:val="20"/>
            <w:szCs w:val="20"/>
            <w14:ligatures w14:val="standardContextual"/>
          </w:rPr>
          <w:tab/>
        </w:r>
        <w:r w:rsidRPr="00E3633C">
          <w:rPr>
            <w:rStyle w:val="Hyperlink"/>
            <w:i w:val="0"/>
            <w:sz w:val="20"/>
            <w:szCs w:val="20"/>
            <w:u w:val="none"/>
          </w:rPr>
          <w:t>Regulation Service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_Toc162532151 \h </w:instrText>
        </w:r>
        <w:r w:rsidRPr="00E3633C">
          <w:rPr>
            <w:i w:val="0"/>
            <w:webHidden/>
            <w:sz w:val="20"/>
            <w:szCs w:val="20"/>
          </w:rPr>
        </w:r>
        <w:r w:rsidRPr="00E3633C">
          <w:rPr>
            <w:i w:val="0"/>
            <w:webHidden/>
            <w:sz w:val="20"/>
            <w:szCs w:val="20"/>
          </w:rPr>
          <w:fldChar w:fldCharType="separate"/>
        </w:r>
        <w:r w:rsidR="00971B54">
          <w:rPr>
            <w:i w:val="0"/>
            <w:webHidden/>
            <w:sz w:val="20"/>
            <w:szCs w:val="20"/>
          </w:rPr>
          <w:t>8-45</w:t>
        </w:r>
        <w:r w:rsidRPr="00E3633C">
          <w:rPr>
            <w:i w:val="0"/>
            <w:webHidden/>
            <w:sz w:val="20"/>
            <w:szCs w:val="20"/>
          </w:rPr>
          <w:fldChar w:fldCharType="end"/>
        </w:r>
      </w:hyperlink>
    </w:p>
    <w:p w14:paraId="13943419" w14:textId="6ABD1CF9" w:rsidR="00D734AD" w:rsidRPr="00E3633C" w:rsidRDefault="00D734AD" w:rsidP="00243776">
      <w:pPr>
        <w:pStyle w:val="TOC5"/>
        <w:rPr>
          <w:rFonts w:eastAsiaTheme="minorEastAsia"/>
          <w:i w:val="0"/>
          <w:kern w:val="2"/>
          <w:sz w:val="20"/>
          <w:szCs w:val="20"/>
          <w14:ligatures w14:val="standardContextual"/>
        </w:rPr>
      </w:pPr>
      <w:hyperlink w:anchor="_Toc162532152" w:history="1">
        <w:r w:rsidRPr="00E3633C">
          <w:rPr>
            <w:rStyle w:val="Hyperlink"/>
            <w:i w:val="0"/>
            <w:sz w:val="20"/>
            <w:szCs w:val="20"/>
            <w:u w:val="none"/>
          </w:rPr>
          <w:t>8.1.1.3.2</w:t>
        </w:r>
        <w:r w:rsidRPr="00E3633C">
          <w:rPr>
            <w:rFonts w:eastAsiaTheme="minorEastAsia"/>
            <w:i w:val="0"/>
            <w:kern w:val="2"/>
            <w:sz w:val="20"/>
            <w:szCs w:val="20"/>
            <w14:ligatures w14:val="standardContextual"/>
          </w:rPr>
          <w:tab/>
        </w:r>
        <w:r w:rsidRPr="00E3633C">
          <w:rPr>
            <w:rStyle w:val="Hyperlink"/>
            <w:i w:val="0"/>
            <w:sz w:val="20"/>
            <w:szCs w:val="20"/>
            <w:u w:val="none"/>
          </w:rPr>
          <w:t>Responsive Reserve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_Toc162532152 \h </w:instrText>
        </w:r>
        <w:r w:rsidRPr="00E3633C">
          <w:rPr>
            <w:i w:val="0"/>
            <w:webHidden/>
            <w:sz w:val="20"/>
            <w:szCs w:val="20"/>
          </w:rPr>
        </w:r>
        <w:r w:rsidRPr="00E3633C">
          <w:rPr>
            <w:i w:val="0"/>
            <w:webHidden/>
            <w:sz w:val="20"/>
            <w:szCs w:val="20"/>
          </w:rPr>
          <w:fldChar w:fldCharType="separate"/>
        </w:r>
        <w:r w:rsidR="00971B54">
          <w:rPr>
            <w:i w:val="0"/>
            <w:webHidden/>
            <w:sz w:val="20"/>
            <w:szCs w:val="20"/>
          </w:rPr>
          <w:t>8-46</w:t>
        </w:r>
        <w:r w:rsidRPr="00E3633C">
          <w:rPr>
            <w:i w:val="0"/>
            <w:webHidden/>
            <w:sz w:val="20"/>
            <w:szCs w:val="20"/>
          </w:rPr>
          <w:fldChar w:fldCharType="end"/>
        </w:r>
      </w:hyperlink>
    </w:p>
    <w:p w14:paraId="77D0F1B8" w14:textId="2510D094" w:rsidR="00D734AD" w:rsidRPr="00E3633C" w:rsidRDefault="00D734AD" w:rsidP="00243776">
      <w:pPr>
        <w:pStyle w:val="TOC5"/>
        <w:rPr>
          <w:rFonts w:eastAsiaTheme="minorEastAsia"/>
          <w:i w:val="0"/>
          <w:kern w:val="2"/>
          <w:sz w:val="20"/>
          <w:szCs w:val="20"/>
          <w14:ligatures w14:val="standardContextual"/>
        </w:rPr>
      </w:pPr>
      <w:hyperlink w:anchor="_Toc162532154" w:history="1">
        <w:r w:rsidRPr="00E3633C">
          <w:rPr>
            <w:rStyle w:val="Hyperlink"/>
            <w:i w:val="0"/>
            <w:sz w:val="20"/>
            <w:szCs w:val="20"/>
            <w:u w:val="none"/>
          </w:rPr>
          <w:t>8.1.1.3.3</w:t>
        </w:r>
        <w:r w:rsidRPr="00E3633C">
          <w:rPr>
            <w:rFonts w:eastAsiaTheme="minorEastAsia"/>
            <w:i w:val="0"/>
            <w:kern w:val="2"/>
            <w:sz w:val="20"/>
            <w:szCs w:val="20"/>
            <w14:ligatures w14:val="standardContextual"/>
          </w:rPr>
          <w:tab/>
        </w:r>
        <w:r w:rsidRPr="00E3633C">
          <w:rPr>
            <w:rStyle w:val="Hyperlink"/>
            <w:i w:val="0"/>
            <w:sz w:val="20"/>
            <w:szCs w:val="20"/>
            <w:u w:val="none"/>
          </w:rPr>
          <w:t>Non-Spinning Reserve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_Toc162532154 \h </w:instrText>
        </w:r>
        <w:r w:rsidRPr="00E3633C">
          <w:rPr>
            <w:i w:val="0"/>
            <w:webHidden/>
            <w:sz w:val="20"/>
            <w:szCs w:val="20"/>
          </w:rPr>
        </w:r>
        <w:r w:rsidRPr="00E3633C">
          <w:rPr>
            <w:i w:val="0"/>
            <w:webHidden/>
            <w:sz w:val="20"/>
            <w:szCs w:val="20"/>
          </w:rPr>
          <w:fldChar w:fldCharType="separate"/>
        </w:r>
        <w:r w:rsidR="00971B54">
          <w:rPr>
            <w:i w:val="0"/>
            <w:webHidden/>
            <w:sz w:val="20"/>
            <w:szCs w:val="20"/>
          </w:rPr>
          <w:t>8-47</w:t>
        </w:r>
        <w:r w:rsidRPr="00E3633C">
          <w:rPr>
            <w:i w:val="0"/>
            <w:webHidden/>
            <w:sz w:val="20"/>
            <w:szCs w:val="20"/>
          </w:rPr>
          <w:fldChar w:fldCharType="end"/>
        </w:r>
      </w:hyperlink>
    </w:p>
    <w:p w14:paraId="25D62418" w14:textId="3C869900" w:rsidR="00D734AD" w:rsidRPr="00E3633C" w:rsidRDefault="00D734AD" w:rsidP="00243776">
      <w:pPr>
        <w:pStyle w:val="TOC5"/>
        <w:rPr>
          <w:rFonts w:eastAsiaTheme="minorEastAsia"/>
          <w:i w:val="0"/>
          <w:kern w:val="2"/>
          <w:sz w:val="20"/>
          <w:szCs w:val="20"/>
          <w14:ligatures w14:val="standardContextual"/>
        </w:rPr>
      </w:pPr>
      <w:hyperlink w:anchor="_Toc162532155" w:history="1">
        <w:r w:rsidRPr="00E3633C">
          <w:rPr>
            <w:rStyle w:val="Hyperlink"/>
            <w:i w:val="0"/>
            <w:sz w:val="20"/>
            <w:szCs w:val="20"/>
            <w:u w:val="none"/>
          </w:rPr>
          <w:t>8.1.1.3.4</w:t>
        </w:r>
        <w:r w:rsidRPr="00E3633C">
          <w:rPr>
            <w:rFonts w:eastAsiaTheme="minorEastAsia"/>
            <w:i w:val="0"/>
            <w:kern w:val="2"/>
            <w:sz w:val="20"/>
            <w:szCs w:val="20"/>
            <w14:ligatures w14:val="standardContextual"/>
          </w:rPr>
          <w:tab/>
        </w:r>
        <w:r w:rsidRPr="00E3633C">
          <w:rPr>
            <w:rStyle w:val="Hyperlink"/>
            <w:i w:val="0"/>
            <w:sz w:val="20"/>
            <w:szCs w:val="20"/>
            <w:u w:val="none"/>
          </w:rPr>
          <w:t>ERCOT Contingency Reserve Service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_Toc162532155 \h </w:instrText>
        </w:r>
        <w:r w:rsidRPr="00E3633C">
          <w:rPr>
            <w:i w:val="0"/>
            <w:webHidden/>
            <w:sz w:val="20"/>
            <w:szCs w:val="20"/>
          </w:rPr>
        </w:r>
        <w:r w:rsidRPr="00E3633C">
          <w:rPr>
            <w:i w:val="0"/>
            <w:webHidden/>
            <w:sz w:val="20"/>
            <w:szCs w:val="20"/>
          </w:rPr>
          <w:fldChar w:fldCharType="separate"/>
        </w:r>
        <w:r w:rsidR="00971B54">
          <w:rPr>
            <w:i w:val="0"/>
            <w:webHidden/>
            <w:sz w:val="20"/>
            <w:szCs w:val="20"/>
          </w:rPr>
          <w:t>8-48</w:t>
        </w:r>
        <w:r w:rsidRPr="00E3633C">
          <w:rPr>
            <w:i w:val="0"/>
            <w:webHidden/>
            <w:sz w:val="20"/>
            <w:szCs w:val="20"/>
          </w:rPr>
          <w:fldChar w:fldCharType="end"/>
        </w:r>
      </w:hyperlink>
    </w:p>
    <w:p w14:paraId="086DC844" w14:textId="47B60E6D" w:rsidR="00D734AD" w:rsidRPr="00E3633C" w:rsidRDefault="00D734AD">
      <w:pPr>
        <w:pStyle w:val="TOC4"/>
        <w:rPr>
          <w:rFonts w:eastAsiaTheme="minorEastAsia"/>
          <w:bCs w:val="0"/>
          <w:snapToGrid/>
          <w:kern w:val="2"/>
          <w:sz w:val="20"/>
          <w:szCs w:val="20"/>
          <w14:ligatures w14:val="standardContextual"/>
        </w:rPr>
      </w:pPr>
      <w:hyperlink w:anchor="_Toc162532157" w:history="1">
        <w:r w:rsidRPr="00E3633C">
          <w:rPr>
            <w:rStyle w:val="Hyperlink"/>
            <w:bCs w:val="0"/>
            <w:sz w:val="20"/>
            <w:szCs w:val="20"/>
            <w:u w:val="none"/>
          </w:rPr>
          <w:t>8.1.1.4</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and Energy Deployment Compliance Criteria</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_Toc162532157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8-49</w:t>
        </w:r>
        <w:r w:rsidRPr="00E3633C">
          <w:rPr>
            <w:bCs w:val="0"/>
            <w:webHidden/>
            <w:sz w:val="20"/>
            <w:szCs w:val="20"/>
          </w:rPr>
          <w:fldChar w:fldCharType="end"/>
        </w:r>
      </w:hyperlink>
    </w:p>
    <w:p w14:paraId="76A890AC" w14:textId="417B01D0" w:rsidR="00D734AD" w:rsidRPr="00E3633C" w:rsidRDefault="00D734AD" w:rsidP="00243776">
      <w:pPr>
        <w:pStyle w:val="TOC5"/>
        <w:rPr>
          <w:rFonts w:eastAsiaTheme="minorEastAsia"/>
          <w:i w:val="0"/>
          <w:kern w:val="2"/>
          <w:sz w:val="20"/>
          <w:szCs w:val="20"/>
          <w14:ligatures w14:val="standardContextual"/>
        </w:rPr>
      </w:pPr>
      <w:hyperlink w:anchor="_Toc162532158" w:history="1">
        <w:r w:rsidRPr="00E3633C">
          <w:rPr>
            <w:rStyle w:val="Hyperlink"/>
            <w:i w:val="0"/>
            <w:sz w:val="20"/>
            <w:szCs w:val="20"/>
            <w:u w:val="none"/>
          </w:rPr>
          <w:t>8.1.1.4.1</w:t>
        </w:r>
        <w:r w:rsidRPr="00E3633C">
          <w:rPr>
            <w:rFonts w:eastAsiaTheme="minorEastAsia"/>
            <w:i w:val="0"/>
            <w:kern w:val="2"/>
            <w:sz w:val="20"/>
            <w:szCs w:val="20"/>
            <w14:ligatures w14:val="standardContextual"/>
          </w:rPr>
          <w:tab/>
        </w:r>
        <w:r w:rsidRPr="00E3633C">
          <w:rPr>
            <w:rStyle w:val="Hyperlink"/>
            <w:i w:val="0"/>
            <w:sz w:val="20"/>
            <w:szCs w:val="20"/>
            <w:u w:val="none"/>
          </w:rPr>
          <w:t>Regulation Service and Generation Resource/Controllable Load Resource Energy Deployment Performance, and Ancillary Service Capacity Performance Metrics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_Toc162532158 \h </w:instrText>
        </w:r>
        <w:r w:rsidRPr="00E3633C">
          <w:rPr>
            <w:i w:val="0"/>
            <w:webHidden/>
            <w:sz w:val="20"/>
            <w:szCs w:val="20"/>
          </w:rPr>
        </w:r>
        <w:r w:rsidRPr="00E3633C">
          <w:rPr>
            <w:i w:val="0"/>
            <w:webHidden/>
            <w:sz w:val="20"/>
            <w:szCs w:val="20"/>
          </w:rPr>
          <w:fldChar w:fldCharType="separate"/>
        </w:r>
        <w:r w:rsidR="00971B54">
          <w:rPr>
            <w:i w:val="0"/>
            <w:webHidden/>
            <w:sz w:val="20"/>
            <w:szCs w:val="20"/>
          </w:rPr>
          <w:t>8-49</w:t>
        </w:r>
        <w:r w:rsidRPr="00E3633C">
          <w:rPr>
            <w:i w:val="0"/>
            <w:webHidden/>
            <w:sz w:val="20"/>
            <w:szCs w:val="20"/>
          </w:rPr>
          <w:fldChar w:fldCharType="end"/>
        </w:r>
      </w:hyperlink>
    </w:p>
    <w:p w14:paraId="447B6495" w14:textId="2C36C0D0" w:rsidR="00D734AD" w:rsidRPr="00E3633C" w:rsidRDefault="00D734AD" w:rsidP="00243776">
      <w:pPr>
        <w:pStyle w:val="TOC5"/>
        <w:rPr>
          <w:rFonts w:eastAsiaTheme="minorEastAsia"/>
          <w:i w:val="0"/>
          <w:kern w:val="2"/>
          <w:sz w:val="20"/>
          <w:szCs w:val="20"/>
          <w14:ligatures w14:val="standardContextual"/>
        </w:rPr>
      </w:pPr>
      <w:hyperlink w:anchor="_Toc162532160" w:history="1">
        <w:r w:rsidRPr="00E3633C">
          <w:rPr>
            <w:rStyle w:val="Hyperlink"/>
            <w:i w:val="0"/>
            <w:sz w:val="20"/>
            <w:szCs w:val="20"/>
            <w:u w:val="none"/>
          </w:rPr>
          <w:t>8.1.1.4.2</w:t>
        </w:r>
        <w:r w:rsidRPr="00E3633C">
          <w:rPr>
            <w:rFonts w:eastAsiaTheme="minorEastAsia"/>
            <w:i w:val="0"/>
            <w:kern w:val="2"/>
            <w:sz w:val="20"/>
            <w:szCs w:val="20"/>
            <w14:ligatures w14:val="standardContextual"/>
          </w:rPr>
          <w:tab/>
        </w:r>
        <w:r w:rsidRPr="00E3633C">
          <w:rPr>
            <w:rStyle w:val="Hyperlink"/>
            <w:i w:val="0"/>
            <w:sz w:val="20"/>
            <w:szCs w:val="20"/>
            <w:u w:val="none"/>
          </w:rPr>
          <w:t>Responsive Reserve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_Toc162532160 \h </w:instrText>
        </w:r>
        <w:r w:rsidRPr="00E3633C">
          <w:rPr>
            <w:i w:val="0"/>
            <w:webHidden/>
            <w:sz w:val="20"/>
            <w:szCs w:val="20"/>
          </w:rPr>
        </w:r>
        <w:r w:rsidRPr="00E3633C">
          <w:rPr>
            <w:i w:val="0"/>
            <w:webHidden/>
            <w:sz w:val="20"/>
            <w:szCs w:val="20"/>
          </w:rPr>
          <w:fldChar w:fldCharType="separate"/>
        </w:r>
        <w:r w:rsidR="00971B54">
          <w:rPr>
            <w:i w:val="0"/>
            <w:webHidden/>
            <w:sz w:val="20"/>
            <w:szCs w:val="20"/>
          </w:rPr>
          <w:t>8-67</w:t>
        </w:r>
        <w:r w:rsidRPr="00E3633C">
          <w:rPr>
            <w:i w:val="0"/>
            <w:webHidden/>
            <w:sz w:val="20"/>
            <w:szCs w:val="20"/>
          </w:rPr>
          <w:fldChar w:fldCharType="end"/>
        </w:r>
      </w:hyperlink>
    </w:p>
    <w:p w14:paraId="2754902D" w14:textId="48BF09AC" w:rsidR="00D734AD" w:rsidRPr="00E3633C" w:rsidRDefault="00D734AD" w:rsidP="00243776">
      <w:pPr>
        <w:pStyle w:val="TOC5"/>
        <w:rPr>
          <w:rFonts w:eastAsiaTheme="minorEastAsia"/>
          <w:i w:val="0"/>
          <w:kern w:val="2"/>
          <w:sz w:val="20"/>
          <w:szCs w:val="20"/>
          <w14:ligatures w14:val="standardContextual"/>
        </w:rPr>
      </w:pPr>
      <w:hyperlink w:anchor="_Toc162532162" w:history="1">
        <w:r w:rsidRPr="00E3633C">
          <w:rPr>
            <w:rStyle w:val="Hyperlink"/>
            <w:i w:val="0"/>
            <w:sz w:val="20"/>
            <w:szCs w:val="20"/>
            <w:u w:val="none"/>
          </w:rPr>
          <w:t>8.1.1.4.3</w:t>
        </w:r>
        <w:r w:rsidRPr="00E3633C">
          <w:rPr>
            <w:rFonts w:eastAsiaTheme="minorEastAsia"/>
            <w:i w:val="0"/>
            <w:kern w:val="2"/>
            <w:sz w:val="20"/>
            <w:szCs w:val="20"/>
            <w14:ligatures w14:val="standardContextual"/>
          </w:rPr>
          <w:tab/>
        </w:r>
        <w:r w:rsidRPr="00E3633C">
          <w:rPr>
            <w:rStyle w:val="Hyperlink"/>
            <w:i w:val="0"/>
            <w:sz w:val="20"/>
            <w:szCs w:val="20"/>
            <w:u w:val="none"/>
          </w:rPr>
          <w:t>Non-Spinning Reserve Service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_Toc162532162 \h </w:instrText>
        </w:r>
        <w:r w:rsidRPr="00E3633C">
          <w:rPr>
            <w:i w:val="0"/>
            <w:webHidden/>
            <w:sz w:val="20"/>
            <w:szCs w:val="20"/>
          </w:rPr>
        </w:r>
        <w:r w:rsidRPr="00E3633C">
          <w:rPr>
            <w:i w:val="0"/>
            <w:webHidden/>
            <w:sz w:val="20"/>
            <w:szCs w:val="20"/>
          </w:rPr>
          <w:fldChar w:fldCharType="separate"/>
        </w:r>
        <w:r w:rsidR="00971B54">
          <w:rPr>
            <w:i w:val="0"/>
            <w:webHidden/>
            <w:sz w:val="20"/>
            <w:szCs w:val="20"/>
          </w:rPr>
          <w:t>8-71</w:t>
        </w:r>
        <w:r w:rsidRPr="00E3633C">
          <w:rPr>
            <w:i w:val="0"/>
            <w:webHidden/>
            <w:sz w:val="20"/>
            <w:szCs w:val="20"/>
          </w:rPr>
          <w:fldChar w:fldCharType="end"/>
        </w:r>
      </w:hyperlink>
    </w:p>
    <w:p w14:paraId="1632D0BF" w14:textId="6C547DFF" w:rsidR="00D734AD" w:rsidRPr="00E3633C" w:rsidRDefault="00D734AD" w:rsidP="00243776">
      <w:pPr>
        <w:pStyle w:val="TOC5"/>
        <w:rPr>
          <w:rFonts w:eastAsiaTheme="minorEastAsia"/>
          <w:i w:val="0"/>
          <w:kern w:val="2"/>
          <w:sz w:val="20"/>
          <w:szCs w:val="20"/>
          <w14:ligatures w14:val="standardContextual"/>
        </w:rPr>
      </w:pPr>
      <w:hyperlink w:anchor="_Toc162532164" w:history="1">
        <w:r w:rsidRPr="00E3633C">
          <w:rPr>
            <w:rStyle w:val="Hyperlink"/>
            <w:i w:val="0"/>
            <w:sz w:val="20"/>
            <w:szCs w:val="20"/>
            <w:u w:val="none"/>
          </w:rPr>
          <w:t>8.1.1.4.4</w:t>
        </w:r>
        <w:r w:rsidRPr="00E3633C">
          <w:rPr>
            <w:rFonts w:eastAsiaTheme="minorEastAsia"/>
            <w:i w:val="0"/>
            <w:kern w:val="2"/>
            <w:sz w:val="20"/>
            <w:szCs w:val="20"/>
            <w14:ligatures w14:val="standardContextual"/>
          </w:rPr>
          <w:tab/>
        </w:r>
        <w:r w:rsidRPr="00E3633C">
          <w:rPr>
            <w:rStyle w:val="Hyperlink"/>
            <w:i w:val="0"/>
            <w:sz w:val="20"/>
            <w:szCs w:val="20"/>
            <w:u w:val="none"/>
          </w:rPr>
          <w:t>ERCOT Contingency Reserve Service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_Toc162532164 \h </w:instrText>
        </w:r>
        <w:r w:rsidRPr="00E3633C">
          <w:rPr>
            <w:i w:val="0"/>
            <w:webHidden/>
            <w:sz w:val="20"/>
            <w:szCs w:val="20"/>
          </w:rPr>
        </w:r>
        <w:r w:rsidRPr="00E3633C">
          <w:rPr>
            <w:i w:val="0"/>
            <w:webHidden/>
            <w:sz w:val="20"/>
            <w:szCs w:val="20"/>
          </w:rPr>
          <w:fldChar w:fldCharType="separate"/>
        </w:r>
        <w:r w:rsidR="00971B54">
          <w:rPr>
            <w:i w:val="0"/>
            <w:webHidden/>
            <w:sz w:val="20"/>
            <w:szCs w:val="20"/>
          </w:rPr>
          <w:t>8-75</w:t>
        </w:r>
        <w:r w:rsidRPr="00E3633C">
          <w:rPr>
            <w:i w:val="0"/>
            <w:webHidden/>
            <w:sz w:val="20"/>
            <w:szCs w:val="20"/>
          </w:rPr>
          <w:fldChar w:fldCharType="end"/>
        </w:r>
      </w:hyperlink>
    </w:p>
    <w:p w14:paraId="3E41F967" w14:textId="7E3205B8" w:rsidR="00D734AD" w:rsidRPr="00E3633C" w:rsidRDefault="00D734AD">
      <w:pPr>
        <w:pStyle w:val="TOC3"/>
        <w:rPr>
          <w:rFonts w:eastAsiaTheme="minorEastAsia"/>
          <w:i w:val="0"/>
          <w:iCs w:val="0"/>
          <w:noProof/>
          <w:kern w:val="2"/>
          <w14:ligatures w14:val="standardContextual"/>
        </w:rPr>
      </w:pPr>
      <w:hyperlink w:anchor="_Toc162532166" w:history="1">
        <w:r w:rsidRPr="00E3633C">
          <w:rPr>
            <w:rStyle w:val="Hyperlink"/>
            <w:i w:val="0"/>
            <w:iCs w:val="0"/>
            <w:noProof/>
            <w:u w:val="none"/>
          </w:rPr>
          <w:t>8.1.2</w:t>
        </w:r>
        <w:r w:rsidRPr="00E3633C">
          <w:rPr>
            <w:rFonts w:eastAsiaTheme="minorEastAsia"/>
            <w:i w:val="0"/>
            <w:iCs w:val="0"/>
            <w:noProof/>
            <w:kern w:val="2"/>
            <w14:ligatures w14:val="standardContextual"/>
          </w:rPr>
          <w:tab/>
        </w:r>
        <w:r w:rsidRPr="00E3633C">
          <w:rPr>
            <w:rStyle w:val="Hyperlink"/>
            <w:i w:val="0"/>
            <w:iCs w:val="0"/>
            <w:noProof/>
            <w:u w:val="none"/>
          </w:rPr>
          <w:t>Current Operating Plan (COP) Performance Requirements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_Toc162532166 \h </w:instrText>
        </w:r>
        <w:r w:rsidRPr="00E3633C">
          <w:rPr>
            <w:i w:val="0"/>
            <w:iCs w:val="0"/>
            <w:noProof/>
            <w:webHidden/>
          </w:rPr>
        </w:r>
        <w:r w:rsidRPr="00E3633C">
          <w:rPr>
            <w:i w:val="0"/>
            <w:iCs w:val="0"/>
            <w:noProof/>
            <w:webHidden/>
          </w:rPr>
          <w:fldChar w:fldCharType="separate"/>
        </w:r>
        <w:r w:rsidR="00971B54">
          <w:rPr>
            <w:i w:val="0"/>
            <w:iCs w:val="0"/>
            <w:noProof/>
            <w:webHidden/>
          </w:rPr>
          <w:t>8-78</w:t>
        </w:r>
        <w:r w:rsidRPr="00E3633C">
          <w:rPr>
            <w:i w:val="0"/>
            <w:iCs w:val="0"/>
            <w:noProof/>
            <w:webHidden/>
          </w:rPr>
          <w:fldChar w:fldCharType="end"/>
        </w:r>
      </w:hyperlink>
    </w:p>
    <w:p w14:paraId="0409C767" w14:textId="77EA6977" w:rsidR="00D734AD" w:rsidRPr="00E3633C" w:rsidRDefault="00D734AD">
      <w:pPr>
        <w:pStyle w:val="TOC3"/>
        <w:rPr>
          <w:rFonts w:eastAsiaTheme="minorEastAsia"/>
          <w:i w:val="0"/>
          <w:iCs w:val="0"/>
          <w:noProof/>
          <w:kern w:val="2"/>
          <w14:ligatures w14:val="standardContextual"/>
        </w:rPr>
      </w:pPr>
      <w:hyperlink w:anchor="_Toc162532167" w:history="1">
        <w:r w:rsidRPr="00E3633C">
          <w:rPr>
            <w:rStyle w:val="Hyperlink"/>
            <w:i w:val="0"/>
            <w:iCs w:val="0"/>
            <w:noProof/>
            <w:u w:val="none"/>
          </w:rPr>
          <w:t>8.1.3</w:t>
        </w:r>
        <w:r w:rsidRPr="00E3633C">
          <w:rPr>
            <w:rFonts w:eastAsiaTheme="minorEastAsia"/>
            <w:i w:val="0"/>
            <w:iCs w:val="0"/>
            <w:noProof/>
            <w:kern w:val="2"/>
            <w14:ligatures w14:val="standardContextual"/>
          </w:rPr>
          <w:tab/>
        </w:r>
        <w:r w:rsidRPr="00E3633C">
          <w:rPr>
            <w:rStyle w:val="Hyperlink"/>
            <w:i w:val="0"/>
            <w:iCs w:val="0"/>
            <w:noProof/>
            <w:u w:val="none"/>
          </w:rPr>
          <w:t>Emergency Response Service Performance and Testing</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_Toc162532167 \h </w:instrText>
        </w:r>
        <w:r w:rsidRPr="00E3633C">
          <w:rPr>
            <w:i w:val="0"/>
            <w:iCs w:val="0"/>
            <w:noProof/>
            <w:webHidden/>
          </w:rPr>
        </w:r>
        <w:r w:rsidRPr="00E3633C">
          <w:rPr>
            <w:i w:val="0"/>
            <w:iCs w:val="0"/>
            <w:noProof/>
            <w:webHidden/>
          </w:rPr>
          <w:fldChar w:fldCharType="separate"/>
        </w:r>
        <w:r w:rsidR="00971B54">
          <w:rPr>
            <w:i w:val="0"/>
            <w:iCs w:val="0"/>
            <w:noProof/>
            <w:webHidden/>
          </w:rPr>
          <w:t>8-79</w:t>
        </w:r>
        <w:r w:rsidRPr="00E3633C">
          <w:rPr>
            <w:i w:val="0"/>
            <w:iCs w:val="0"/>
            <w:noProof/>
            <w:webHidden/>
          </w:rPr>
          <w:fldChar w:fldCharType="end"/>
        </w:r>
      </w:hyperlink>
    </w:p>
    <w:p w14:paraId="06336BE0" w14:textId="6963C67F" w:rsidR="00D734AD" w:rsidRPr="00E3633C" w:rsidRDefault="00D734AD">
      <w:pPr>
        <w:pStyle w:val="TOC4"/>
        <w:rPr>
          <w:rFonts w:eastAsiaTheme="minorEastAsia"/>
          <w:bCs w:val="0"/>
          <w:snapToGrid/>
          <w:kern w:val="2"/>
          <w:sz w:val="20"/>
          <w:szCs w:val="20"/>
          <w14:ligatures w14:val="standardContextual"/>
        </w:rPr>
      </w:pPr>
      <w:hyperlink w:anchor="_Toc162532168" w:history="1">
        <w:r w:rsidRPr="00E3633C">
          <w:rPr>
            <w:rStyle w:val="Hyperlink"/>
            <w:bCs w:val="0"/>
            <w:sz w:val="20"/>
            <w:szCs w:val="20"/>
            <w:u w:val="none"/>
          </w:rPr>
          <w:t>8.1.3.1</w:t>
        </w:r>
        <w:r w:rsidRPr="00E3633C">
          <w:rPr>
            <w:rFonts w:eastAsiaTheme="minorEastAsia"/>
            <w:bCs w:val="0"/>
            <w:snapToGrid/>
            <w:kern w:val="2"/>
            <w:sz w:val="20"/>
            <w:szCs w:val="20"/>
            <w14:ligatures w14:val="standardContextual"/>
          </w:rPr>
          <w:tab/>
        </w:r>
        <w:r w:rsidRPr="00E3633C">
          <w:rPr>
            <w:rStyle w:val="Hyperlink"/>
            <w:bCs w:val="0"/>
            <w:sz w:val="20"/>
            <w:szCs w:val="20"/>
            <w:u w:val="none"/>
          </w:rPr>
          <w:t>Performance Criteria for Emergency Response Service Resources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_Toc162532168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8-79</w:t>
        </w:r>
        <w:r w:rsidRPr="00E3633C">
          <w:rPr>
            <w:bCs w:val="0"/>
            <w:webHidden/>
            <w:sz w:val="20"/>
            <w:szCs w:val="20"/>
          </w:rPr>
          <w:fldChar w:fldCharType="end"/>
        </w:r>
      </w:hyperlink>
    </w:p>
    <w:p w14:paraId="7DBE1F5A" w14:textId="016D6FCD" w:rsidR="00D734AD" w:rsidRPr="00E3633C" w:rsidRDefault="00D734AD" w:rsidP="00243776">
      <w:pPr>
        <w:pStyle w:val="TOC5"/>
        <w:rPr>
          <w:rFonts w:eastAsiaTheme="minorEastAsia"/>
          <w:i w:val="0"/>
          <w:kern w:val="2"/>
          <w:sz w:val="20"/>
          <w:szCs w:val="20"/>
          <w14:ligatures w14:val="standardContextual"/>
        </w:rPr>
      </w:pPr>
      <w:hyperlink w:anchor="_Toc162532169" w:history="1">
        <w:r w:rsidRPr="00E3633C">
          <w:rPr>
            <w:rStyle w:val="Hyperlink"/>
            <w:i w:val="0"/>
            <w:sz w:val="20"/>
            <w:szCs w:val="20"/>
            <w:u w:val="none"/>
          </w:rPr>
          <w:t>8.1.3.1.1</w:t>
        </w:r>
        <w:r w:rsidRPr="00E3633C">
          <w:rPr>
            <w:rFonts w:eastAsiaTheme="minorEastAsia"/>
            <w:i w:val="0"/>
            <w:kern w:val="2"/>
            <w:sz w:val="20"/>
            <w:szCs w:val="20"/>
            <w14:ligatures w14:val="standardContextual"/>
          </w:rPr>
          <w:tab/>
        </w:r>
        <w:r w:rsidRPr="00E3633C">
          <w:rPr>
            <w:rStyle w:val="Hyperlink"/>
            <w:i w:val="0"/>
            <w:sz w:val="20"/>
            <w:szCs w:val="20"/>
            <w:u w:val="none"/>
          </w:rPr>
          <w:t>Baselines for Emergency Response Service Loads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_Toc162532169 \h </w:instrText>
        </w:r>
        <w:r w:rsidRPr="00E3633C">
          <w:rPr>
            <w:i w:val="0"/>
            <w:webHidden/>
            <w:sz w:val="20"/>
            <w:szCs w:val="20"/>
          </w:rPr>
        </w:r>
        <w:r w:rsidRPr="00E3633C">
          <w:rPr>
            <w:i w:val="0"/>
            <w:webHidden/>
            <w:sz w:val="20"/>
            <w:szCs w:val="20"/>
          </w:rPr>
          <w:fldChar w:fldCharType="separate"/>
        </w:r>
        <w:r w:rsidR="00971B54">
          <w:rPr>
            <w:i w:val="0"/>
            <w:webHidden/>
            <w:sz w:val="20"/>
            <w:szCs w:val="20"/>
          </w:rPr>
          <w:t>8-80</w:t>
        </w:r>
        <w:r w:rsidRPr="00E3633C">
          <w:rPr>
            <w:i w:val="0"/>
            <w:webHidden/>
            <w:sz w:val="20"/>
            <w:szCs w:val="20"/>
          </w:rPr>
          <w:fldChar w:fldCharType="end"/>
        </w:r>
      </w:hyperlink>
    </w:p>
    <w:p w14:paraId="01C5BBA1" w14:textId="6C3615B1" w:rsidR="00D734AD" w:rsidRPr="00E3633C" w:rsidRDefault="00D734AD" w:rsidP="00243776">
      <w:pPr>
        <w:pStyle w:val="TOC5"/>
        <w:rPr>
          <w:rFonts w:eastAsiaTheme="minorEastAsia"/>
          <w:i w:val="0"/>
          <w:kern w:val="2"/>
          <w:sz w:val="20"/>
          <w:szCs w:val="20"/>
          <w14:ligatures w14:val="standardContextual"/>
        </w:rPr>
      </w:pPr>
      <w:hyperlink w:anchor="_Toc162532170" w:history="1">
        <w:r w:rsidRPr="00E3633C">
          <w:rPr>
            <w:rStyle w:val="Hyperlink"/>
            <w:i w:val="0"/>
            <w:sz w:val="20"/>
            <w:szCs w:val="20"/>
            <w:u w:val="none"/>
          </w:rPr>
          <w:t>8.1.3.1.2</w:t>
        </w:r>
        <w:r w:rsidRPr="00E3633C">
          <w:rPr>
            <w:rFonts w:eastAsiaTheme="minorEastAsia"/>
            <w:i w:val="0"/>
            <w:kern w:val="2"/>
            <w:sz w:val="20"/>
            <w:szCs w:val="20"/>
            <w14:ligatures w14:val="standardContextual"/>
          </w:rPr>
          <w:tab/>
        </w:r>
        <w:r w:rsidRPr="00E3633C">
          <w:rPr>
            <w:rStyle w:val="Hyperlink"/>
            <w:i w:val="0"/>
            <w:sz w:val="20"/>
            <w:szCs w:val="20"/>
            <w:u w:val="none"/>
          </w:rPr>
          <w:t>Performance Evaluation for Emergency Response Service Generators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_Toc162532170 \h </w:instrText>
        </w:r>
        <w:r w:rsidRPr="00E3633C">
          <w:rPr>
            <w:i w:val="0"/>
            <w:webHidden/>
            <w:sz w:val="20"/>
            <w:szCs w:val="20"/>
          </w:rPr>
        </w:r>
        <w:r w:rsidRPr="00E3633C">
          <w:rPr>
            <w:i w:val="0"/>
            <w:webHidden/>
            <w:sz w:val="20"/>
            <w:szCs w:val="20"/>
          </w:rPr>
          <w:fldChar w:fldCharType="separate"/>
        </w:r>
        <w:r w:rsidR="00971B54">
          <w:rPr>
            <w:i w:val="0"/>
            <w:webHidden/>
            <w:sz w:val="20"/>
            <w:szCs w:val="20"/>
          </w:rPr>
          <w:t>8-82</w:t>
        </w:r>
        <w:r w:rsidRPr="00E3633C">
          <w:rPr>
            <w:i w:val="0"/>
            <w:webHidden/>
            <w:sz w:val="20"/>
            <w:szCs w:val="20"/>
          </w:rPr>
          <w:fldChar w:fldCharType="end"/>
        </w:r>
      </w:hyperlink>
    </w:p>
    <w:p w14:paraId="19BBD3C0" w14:textId="6D737ABD" w:rsidR="00D734AD" w:rsidRPr="00E3633C" w:rsidRDefault="00D734AD" w:rsidP="00243776">
      <w:pPr>
        <w:pStyle w:val="TOC5"/>
        <w:rPr>
          <w:rFonts w:eastAsiaTheme="minorEastAsia"/>
          <w:i w:val="0"/>
          <w:kern w:val="2"/>
          <w:sz w:val="20"/>
          <w:szCs w:val="20"/>
          <w14:ligatures w14:val="standardContextual"/>
        </w:rPr>
      </w:pPr>
      <w:hyperlink w:anchor="_Toc162532171" w:history="1">
        <w:r w:rsidRPr="00E3633C">
          <w:rPr>
            <w:rStyle w:val="Hyperlink"/>
            <w:i w:val="0"/>
            <w:sz w:val="20"/>
            <w:szCs w:val="20"/>
            <w:u w:val="none"/>
          </w:rPr>
          <w:t>8.1.3.1.3</w:t>
        </w:r>
        <w:r w:rsidRPr="00E3633C">
          <w:rPr>
            <w:rFonts w:eastAsiaTheme="minorEastAsia"/>
            <w:i w:val="0"/>
            <w:kern w:val="2"/>
            <w:sz w:val="20"/>
            <w:szCs w:val="20"/>
            <w14:ligatures w14:val="standardContextual"/>
          </w:rPr>
          <w:tab/>
        </w:r>
        <w:r w:rsidRPr="00E3633C">
          <w:rPr>
            <w:rStyle w:val="Hyperlink"/>
            <w:i w:val="0"/>
            <w:sz w:val="20"/>
            <w:szCs w:val="20"/>
            <w:u w:val="none"/>
          </w:rPr>
          <w:t>Availability Criteria for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_Toc162532171 \h </w:instrText>
        </w:r>
        <w:r w:rsidRPr="00E3633C">
          <w:rPr>
            <w:i w:val="0"/>
            <w:webHidden/>
            <w:sz w:val="20"/>
            <w:szCs w:val="20"/>
          </w:rPr>
        </w:r>
        <w:r w:rsidRPr="00E3633C">
          <w:rPr>
            <w:i w:val="0"/>
            <w:webHidden/>
            <w:sz w:val="20"/>
            <w:szCs w:val="20"/>
          </w:rPr>
          <w:fldChar w:fldCharType="separate"/>
        </w:r>
        <w:r w:rsidR="00971B54">
          <w:rPr>
            <w:i w:val="0"/>
            <w:webHidden/>
            <w:sz w:val="20"/>
            <w:szCs w:val="20"/>
          </w:rPr>
          <w:t>8-84</w:t>
        </w:r>
        <w:r w:rsidRPr="00E3633C">
          <w:rPr>
            <w:i w:val="0"/>
            <w:webHidden/>
            <w:sz w:val="20"/>
            <w:szCs w:val="20"/>
          </w:rPr>
          <w:fldChar w:fldCharType="end"/>
        </w:r>
      </w:hyperlink>
    </w:p>
    <w:p w14:paraId="55B7326F" w14:textId="5FCB9E65" w:rsidR="00D734AD" w:rsidRPr="00E3633C" w:rsidRDefault="00D734AD">
      <w:pPr>
        <w:pStyle w:val="TOC6"/>
        <w:rPr>
          <w:rFonts w:eastAsiaTheme="minorEastAsia"/>
          <w:noProof/>
          <w:kern w:val="2"/>
          <w:sz w:val="20"/>
          <w:szCs w:val="20"/>
          <w14:ligatures w14:val="standardContextual"/>
        </w:rPr>
      </w:pPr>
      <w:hyperlink w:anchor="_Toc162532172" w:history="1">
        <w:r w:rsidRPr="00E3633C">
          <w:rPr>
            <w:rStyle w:val="Hyperlink"/>
            <w:noProof/>
            <w:sz w:val="20"/>
            <w:szCs w:val="20"/>
            <w:u w:val="none"/>
          </w:rPr>
          <w:t>8.1.3.1.3.1</w:t>
        </w:r>
        <w:r w:rsidRPr="00E3633C">
          <w:rPr>
            <w:rFonts w:eastAsiaTheme="minorEastAsia"/>
            <w:noProof/>
            <w:kern w:val="2"/>
            <w:sz w:val="20"/>
            <w:szCs w:val="20"/>
            <w14:ligatures w14:val="standardContextual"/>
          </w:rPr>
          <w:tab/>
        </w:r>
        <w:r w:rsidRPr="00E3633C">
          <w:rPr>
            <w:rStyle w:val="Hyperlink"/>
            <w:noProof/>
            <w:sz w:val="20"/>
            <w:szCs w:val="20"/>
            <w:u w:val="none"/>
          </w:rPr>
          <w:t>Time Period Availability Calculations for Emergency Response Service Loads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_Toc162532172 \h </w:instrText>
        </w:r>
        <w:r w:rsidRPr="00E3633C">
          <w:rPr>
            <w:noProof/>
            <w:webHidden/>
            <w:sz w:val="20"/>
            <w:szCs w:val="20"/>
          </w:rPr>
        </w:r>
        <w:r w:rsidRPr="00E3633C">
          <w:rPr>
            <w:noProof/>
            <w:webHidden/>
            <w:sz w:val="20"/>
            <w:szCs w:val="20"/>
          </w:rPr>
          <w:fldChar w:fldCharType="separate"/>
        </w:r>
        <w:r w:rsidR="00971B54">
          <w:rPr>
            <w:noProof/>
            <w:webHidden/>
            <w:sz w:val="20"/>
            <w:szCs w:val="20"/>
          </w:rPr>
          <w:t>8-84</w:t>
        </w:r>
        <w:r w:rsidRPr="00E3633C">
          <w:rPr>
            <w:noProof/>
            <w:webHidden/>
            <w:sz w:val="20"/>
            <w:szCs w:val="20"/>
          </w:rPr>
          <w:fldChar w:fldCharType="end"/>
        </w:r>
      </w:hyperlink>
    </w:p>
    <w:p w14:paraId="7016BA51" w14:textId="49BD9A81" w:rsidR="00D734AD" w:rsidRPr="00E3633C" w:rsidRDefault="00D734AD">
      <w:pPr>
        <w:pStyle w:val="TOC6"/>
        <w:rPr>
          <w:rFonts w:eastAsiaTheme="minorEastAsia"/>
          <w:noProof/>
          <w:kern w:val="2"/>
          <w:sz w:val="20"/>
          <w:szCs w:val="20"/>
          <w14:ligatures w14:val="standardContextual"/>
        </w:rPr>
      </w:pPr>
      <w:hyperlink w:anchor="_Toc162532173" w:history="1">
        <w:r w:rsidRPr="00E3633C">
          <w:rPr>
            <w:rStyle w:val="Hyperlink"/>
            <w:noProof/>
            <w:sz w:val="20"/>
            <w:szCs w:val="20"/>
            <w:u w:val="none"/>
          </w:rPr>
          <w:t>8.1.3.1.3.2</w:t>
        </w:r>
        <w:r w:rsidRPr="00E3633C">
          <w:rPr>
            <w:rFonts w:eastAsiaTheme="minorEastAsia"/>
            <w:noProof/>
            <w:kern w:val="2"/>
            <w:sz w:val="20"/>
            <w:szCs w:val="20"/>
            <w14:ligatures w14:val="standardContextual"/>
          </w:rPr>
          <w:tab/>
        </w:r>
        <w:r w:rsidRPr="00E3633C">
          <w:rPr>
            <w:rStyle w:val="Hyperlink"/>
            <w:noProof/>
            <w:sz w:val="20"/>
            <w:szCs w:val="20"/>
            <w:u w:val="none"/>
          </w:rPr>
          <w:t>Time Period Availability Calculations for Emergency Response Service Generators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_Toc162532173 \h </w:instrText>
        </w:r>
        <w:r w:rsidRPr="00E3633C">
          <w:rPr>
            <w:noProof/>
            <w:webHidden/>
            <w:sz w:val="20"/>
            <w:szCs w:val="20"/>
          </w:rPr>
        </w:r>
        <w:r w:rsidRPr="00E3633C">
          <w:rPr>
            <w:noProof/>
            <w:webHidden/>
            <w:sz w:val="20"/>
            <w:szCs w:val="20"/>
          </w:rPr>
          <w:fldChar w:fldCharType="separate"/>
        </w:r>
        <w:r w:rsidR="00971B54">
          <w:rPr>
            <w:noProof/>
            <w:webHidden/>
            <w:sz w:val="20"/>
            <w:szCs w:val="20"/>
          </w:rPr>
          <w:t>8-86</w:t>
        </w:r>
        <w:r w:rsidRPr="00E3633C">
          <w:rPr>
            <w:noProof/>
            <w:webHidden/>
            <w:sz w:val="20"/>
            <w:szCs w:val="20"/>
          </w:rPr>
          <w:fldChar w:fldCharType="end"/>
        </w:r>
      </w:hyperlink>
    </w:p>
    <w:p w14:paraId="32F6A824" w14:textId="200B05A5" w:rsidR="00D734AD" w:rsidRPr="00E3633C" w:rsidRDefault="00D734AD">
      <w:pPr>
        <w:pStyle w:val="TOC6"/>
        <w:rPr>
          <w:rFonts w:eastAsiaTheme="minorEastAsia"/>
          <w:noProof/>
          <w:kern w:val="2"/>
          <w:sz w:val="20"/>
          <w:szCs w:val="20"/>
          <w14:ligatures w14:val="standardContextual"/>
        </w:rPr>
      </w:pPr>
      <w:hyperlink w:anchor="_Toc162532174" w:history="1">
        <w:r w:rsidRPr="00E3633C">
          <w:rPr>
            <w:rStyle w:val="Hyperlink"/>
            <w:noProof/>
            <w:sz w:val="20"/>
            <w:szCs w:val="20"/>
            <w:u w:val="none"/>
          </w:rPr>
          <w:t>8.1.3.1.3.3</w:t>
        </w:r>
        <w:r w:rsidRPr="00E3633C">
          <w:rPr>
            <w:rFonts w:eastAsiaTheme="minorEastAsia"/>
            <w:noProof/>
            <w:kern w:val="2"/>
            <w:sz w:val="20"/>
            <w:szCs w:val="20"/>
            <w14:ligatures w14:val="standardContextual"/>
          </w:rPr>
          <w:tab/>
        </w:r>
        <w:r w:rsidRPr="00E3633C">
          <w:rPr>
            <w:rStyle w:val="Hyperlink"/>
            <w:noProof/>
            <w:sz w:val="20"/>
            <w:szCs w:val="20"/>
            <w:u w:val="none"/>
          </w:rPr>
          <w:t>Contract Period Availability Calculations for Emergency Response Service Resources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_Toc162532174 \h </w:instrText>
        </w:r>
        <w:r w:rsidRPr="00E3633C">
          <w:rPr>
            <w:noProof/>
            <w:webHidden/>
            <w:sz w:val="20"/>
            <w:szCs w:val="20"/>
          </w:rPr>
        </w:r>
        <w:r w:rsidRPr="00E3633C">
          <w:rPr>
            <w:noProof/>
            <w:webHidden/>
            <w:sz w:val="20"/>
            <w:szCs w:val="20"/>
          </w:rPr>
          <w:fldChar w:fldCharType="separate"/>
        </w:r>
        <w:r w:rsidR="00971B54">
          <w:rPr>
            <w:noProof/>
            <w:webHidden/>
            <w:sz w:val="20"/>
            <w:szCs w:val="20"/>
          </w:rPr>
          <w:t>8-88</w:t>
        </w:r>
        <w:r w:rsidRPr="00E3633C">
          <w:rPr>
            <w:noProof/>
            <w:webHidden/>
            <w:sz w:val="20"/>
            <w:szCs w:val="20"/>
          </w:rPr>
          <w:fldChar w:fldCharType="end"/>
        </w:r>
      </w:hyperlink>
    </w:p>
    <w:p w14:paraId="3B9D4A84" w14:textId="49CDBF90" w:rsidR="00D734AD" w:rsidRPr="00E3633C" w:rsidRDefault="00D734AD" w:rsidP="00243776">
      <w:pPr>
        <w:pStyle w:val="TOC5"/>
        <w:rPr>
          <w:rFonts w:eastAsiaTheme="minorEastAsia"/>
          <w:i w:val="0"/>
          <w:kern w:val="2"/>
          <w:sz w:val="20"/>
          <w:szCs w:val="20"/>
          <w14:ligatures w14:val="standardContextual"/>
        </w:rPr>
      </w:pPr>
      <w:hyperlink w:anchor="_Toc162532175" w:history="1">
        <w:r w:rsidRPr="00E3633C">
          <w:rPr>
            <w:rStyle w:val="Hyperlink"/>
            <w:i w:val="0"/>
            <w:sz w:val="20"/>
            <w:szCs w:val="20"/>
            <w:u w:val="none"/>
          </w:rPr>
          <w:t>8.1.3.1.4</w:t>
        </w:r>
        <w:r w:rsidRPr="00E3633C">
          <w:rPr>
            <w:rFonts w:eastAsiaTheme="minorEastAsia"/>
            <w:i w:val="0"/>
            <w:kern w:val="2"/>
            <w:sz w:val="20"/>
            <w:szCs w:val="20"/>
            <w14:ligatures w14:val="standardContextual"/>
          </w:rPr>
          <w:tab/>
        </w:r>
        <w:r w:rsidRPr="00E3633C">
          <w:rPr>
            <w:rStyle w:val="Hyperlink"/>
            <w:i w:val="0"/>
            <w:sz w:val="20"/>
            <w:szCs w:val="20"/>
            <w:u w:val="none"/>
          </w:rPr>
          <w:t>Event Performance Criteria for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_Toc162532175 \h </w:instrText>
        </w:r>
        <w:r w:rsidRPr="00E3633C">
          <w:rPr>
            <w:i w:val="0"/>
            <w:webHidden/>
            <w:sz w:val="20"/>
            <w:szCs w:val="20"/>
          </w:rPr>
        </w:r>
        <w:r w:rsidRPr="00E3633C">
          <w:rPr>
            <w:i w:val="0"/>
            <w:webHidden/>
            <w:sz w:val="20"/>
            <w:szCs w:val="20"/>
          </w:rPr>
          <w:fldChar w:fldCharType="separate"/>
        </w:r>
        <w:r w:rsidR="00971B54">
          <w:rPr>
            <w:i w:val="0"/>
            <w:webHidden/>
            <w:sz w:val="20"/>
            <w:szCs w:val="20"/>
          </w:rPr>
          <w:t>8-90</w:t>
        </w:r>
        <w:r w:rsidRPr="00E3633C">
          <w:rPr>
            <w:i w:val="0"/>
            <w:webHidden/>
            <w:sz w:val="20"/>
            <w:szCs w:val="20"/>
          </w:rPr>
          <w:fldChar w:fldCharType="end"/>
        </w:r>
      </w:hyperlink>
    </w:p>
    <w:p w14:paraId="1C4070D6" w14:textId="656C83A5" w:rsidR="00D734AD" w:rsidRPr="00E3633C" w:rsidRDefault="00D734AD">
      <w:pPr>
        <w:pStyle w:val="TOC4"/>
        <w:rPr>
          <w:rFonts w:eastAsiaTheme="minorEastAsia"/>
          <w:bCs w:val="0"/>
          <w:snapToGrid/>
          <w:kern w:val="2"/>
          <w:sz w:val="20"/>
          <w:szCs w:val="20"/>
          <w14:ligatures w14:val="standardContextual"/>
        </w:rPr>
      </w:pPr>
      <w:hyperlink w:anchor="_Toc162532176" w:history="1">
        <w:r w:rsidRPr="00E3633C">
          <w:rPr>
            <w:rStyle w:val="Hyperlink"/>
            <w:bCs w:val="0"/>
            <w:sz w:val="20"/>
            <w:szCs w:val="20"/>
            <w:u w:val="none"/>
          </w:rPr>
          <w:t>8.1.3.2</w:t>
        </w:r>
        <w:r w:rsidRPr="00E3633C">
          <w:rPr>
            <w:rFonts w:eastAsiaTheme="minorEastAsia"/>
            <w:bCs w:val="0"/>
            <w:snapToGrid/>
            <w:kern w:val="2"/>
            <w:sz w:val="20"/>
            <w:szCs w:val="20"/>
            <w14:ligatures w14:val="standardContextual"/>
          </w:rPr>
          <w:tab/>
        </w:r>
        <w:r w:rsidRPr="00E3633C">
          <w:rPr>
            <w:rStyle w:val="Hyperlink"/>
            <w:bCs w:val="0"/>
            <w:sz w:val="20"/>
            <w:szCs w:val="20"/>
            <w:u w:val="none"/>
          </w:rPr>
          <w:t>Testing of Emergency Response Service Resources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_Toc162532176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8-93</w:t>
        </w:r>
        <w:r w:rsidRPr="00E3633C">
          <w:rPr>
            <w:bCs w:val="0"/>
            <w:webHidden/>
            <w:sz w:val="20"/>
            <w:szCs w:val="20"/>
          </w:rPr>
          <w:fldChar w:fldCharType="end"/>
        </w:r>
      </w:hyperlink>
    </w:p>
    <w:p w14:paraId="6F359523" w14:textId="6E035B50" w:rsidR="00D734AD" w:rsidRPr="00E3633C" w:rsidRDefault="00D734AD">
      <w:pPr>
        <w:pStyle w:val="TOC4"/>
        <w:rPr>
          <w:rFonts w:eastAsiaTheme="minorEastAsia"/>
          <w:bCs w:val="0"/>
          <w:snapToGrid/>
          <w:kern w:val="2"/>
          <w:sz w:val="20"/>
          <w:szCs w:val="20"/>
          <w14:ligatures w14:val="standardContextual"/>
        </w:rPr>
      </w:pPr>
      <w:hyperlink w:anchor="_Toc162532177" w:history="1">
        <w:r w:rsidRPr="00E3633C">
          <w:rPr>
            <w:rStyle w:val="Hyperlink"/>
            <w:bCs w:val="0"/>
            <w:sz w:val="20"/>
            <w:szCs w:val="20"/>
            <w:u w:val="none"/>
          </w:rPr>
          <w:t>8.1.3.3</w:t>
        </w:r>
        <w:r w:rsidRPr="00E3633C">
          <w:rPr>
            <w:rFonts w:eastAsiaTheme="minorEastAsia"/>
            <w:bCs w:val="0"/>
            <w:snapToGrid/>
            <w:kern w:val="2"/>
            <w:sz w:val="20"/>
            <w:szCs w:val="20"/>
            <w14:ligatures w14:val="standardContextual"/>
          </w:rPr>
          <w:tab/>
        </w:r>
        <w:r w:rsidRPr="00E3633C">
          <w:rPr>
            <w:rStyle w:val="Hyperlink"/>
            <w:bCs w:val="0"/>
            <w:sz w:val="20"/>
            <w:szCs w:val="20"/>
            <w:u w:val="none"/>
          </w:rPr>
          <w:t>Payment Reductions and Suspension of Qualification of Emergency Response Service Resources and/or their Qualified Scheduling Entities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_Toc162532177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8-97</w:t>
        </w:r>
        <w:r w:rsidRPr="00E3633C">
          <w:rPr>
            <w:bCs w:val="0"/>
            <w:webHidden/>
            <w:sz w:val="20"/>
            <w:szCs w:val="20"/>
          </w:rPr>
          <w:fldChar w:fldCharType="end"/>
        </w:r>
      </w:hyperlink>
    </w:p>
    <w:p w14:paraId="75A73FEB" w14:textId="23F6B1B7" w:rsidR="00D734AD" w:rsidRPr="00E3633C" w:rsidRDefault="00D734AD" w:rsidP="00243776">
      <w:pPr>
        <w:pStyle w:val="TOC5"/>
        <w:rPr>
          <w:rFonts w:eastAsiaTheme="minorEastAsia"/>
          <w:i w:val="0"/>
          <w:kern w:val="2"/>
          <w:sz w:val="20"/>
          <w:szCs w:val="20"/>
          <w14:ligatures w14:val="standardContextual"/>
        </w:rPr>
      </w:pPr>
      <w:hyperlink w:anchor="_Toc162532178" w:history="1">
        <w:r w:rsidRPr="00E3633C">
          <w:rPr>
            <w:rStyle w:val="Hyperlink"/>
            <w:i w:val="0"/>
            <w:sz w:val="20"/>
            <w:szCs w:val="20"/>
            <w:u w:val="none"/>
          </w:rPr>
          <w:t>8.1.3.3.1</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Suspension of Qualification of Non-Weather-Sensitive Emergency Response Service Resources and/or their Qualified Scheduling Entities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_Toc162532178 \h </w:instrText>
        </w:r>
        <w:r w:rsidRPr="00E3633C">
          <w:rPr>
            <w:i w:val="0"/>
            <w:webHidden/>
            <w:sz w:val="20"/>
            <w:szCs w:val="20"/>
          </w:rPr>
        </w:r>
        <w:r w:rsidRPr="00E3633C">
          <w:rPr>
            <w:i w:val="0"/>
            <w:webHidden/>
            <w:sz w:val="20"/>
            <w:szCs w:val="20"/>
          </w:rPr>
          <w:fldChar w:fldCharType="separate"/>
        </w:r>
        <w:r w:rsidR="00971B54">
          <w:rPr>
            <w:i w:val="0"/>
            <w:webHidden/>
            <w:sz w:val="20"/>
            <w:szCs w:val="20"/>
          </w:rPr>
          <w:t>8-97</w:t>
        </w:r>
        <w:r w:rsidRPr="00E3633C">
          <w:rPr>
            <w:i w:val="0"/>
            <w:webHidden/>
            <w:sz w:val="20"/>
            <w:szCs w:val="20"/>
          </w:rPr>
          <w:fldChar w:fldCharType="end"/>
        </w:r>
      </w:hyperlink>
    </w:p>
    <w:p w14:paraId="2C4C2344" w14:textId="299FB9E6" w:rsidR="00D734AD" w:rsidRPr="00E3633C" w:rsidRDefault="00D734AD" w:rsidP="00243776">
      <w:pPr>
        <w:pStyle w:val="TOC5"/>
        <w:rPr>
          <w:rFonts w:eastAsiaTheme="minorEastAsia"/>
          <w:i w:val="0"/>
          <w:kern w:val="2"/>
          <w:sz w:val="20"/>
          <w:szCs w:val="20"/>
          <w14:ligatures w14:val="standardContextual"/>
        </w:rPr>
      </w:pPr>
      <w:hyperlink w:anchor="_Toc162532179" w:history="1">
        <w:r w:rsidRPr="00E3633C">
          <w:rPr>
            <w:rStyle w:val="Hyperlink"/>
            <w:i w:val="0"/>
            <w:snapToGrid w:val="0"/>
            <w:sz w:val="20"/>
            <w:szCs w:val="20"/>
            <w:u w:val="none"/>
          </w:rPr>
          <w:t>8.1.3.3.2</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Payment Reduction and Suspension of Qualification of Weather-Sensitive Emergency Response Service Loads and/or their Qualified Scheduling Entities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_Toc162532179 \h </w:instrText>
        </w:r>
        <w:r w:rsidRPr="00E3633C">
          <w:rPr>
            <w:i w:val="0"/>
            <w:webHidden/>
            <w:sz w:val="20"/>
            <w:szCs w:val="20"/>
          </w:rPr>
        </w:r>
        <w:r w:rsidRPr="00E3633C">
          <w:rPr>
            <w:i w:val="0"/>
            <w:webHidden/>
            <w:sz w:val="20"/>
            <w:szCs w:val="20"/>
          </w:rPr>
          <w:fldChar w:fldCharType="separate"/>
        </w:r>
        <w:r w:rsidR="00971B54">
          <w:rPr>
            <w:i w:val="0"/>
            <w:webHidden/>
            <w:sz w:val="20"/>
            <w:szCs w:val="20"/>
          </w:rPr>
          <w:t>8-102</w:t>
        </w:r>
        <w:r w:rsidRPr="00E3633C">
          <w:rPr>
            <w:i w:val="0"/>
            <w:webHidden/>
            <w:sz w:val="20"/>
            <w:szCs w:val="20"/>
          </w:rPr>
          <w:fldChar w:fldCharType="end"/>
        </w:r>
      </w:hyperlink>
    </w:p>
    <w:p w14:paraId="7FF1BC25" w14:textId="386B8F26" w:rsidR="00D734AD" w:rsidRPr="00E3633C" w:rsidRDefault="00D734AD" w:rsidP="00243776">
      <w:pPr>
        <w:pStyle w:val="TOC5"/>
        <w:rPr>
          <w:rFonts w:eastAsiaTheme="minorEastAsia"/>
          <w:i w:val="0"/>
          <w:kern w:val="2"/>
          <w:sz w:val="20"/>
          <w:szCs w:val="20"/>
          <w14:ligatures w14:val="standardContextual"/>
        </w:rPr>
      </w:pPr>
      <w:hyperlink w:anchor="_Toc162532180" w:history="1">
        <w:r w:rsidRPr="00E3633C">
          <w:rPr>
            <w:rStyle w:val="Hyperlink"/>
            <w:i w:val="0"/>
            <w:snapToGrid w:val="0"/>
            <w:sz w:val="20"/>
            <w:szCs w:val="20"/>
            <w:u w:val="none"/>
          </w:rPr>
          <w:t>8.1.3.3.3</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Performance Criteria for Qualified Scheduling Entities Representing Non-Weather-Sensitive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_Toc162532180 \h </w:instrText>
        </w:r>
        <w:r w:rsidRPr="00E3633C">
          <w:rPr>
            <w:i w:val="0"/>
            <w:webHidden/>
            <w:sz w:val="20"/>
            <w:szCs w:val="20"/>
          </w:rPr>
        </w:r>
        <w:r w:rsidRPr="00E3633C">
          <w:rPr>
            <w:i w:val="0"/>
            <w:webHidden/>
            <w:sz w:val="20"/>
            <w:szCs w:val="20"/>
          </w:rPr>
          <w:fldChar w:fldCharType="separate"/>
        </w:r>
        <w:r w:rsidR="00971B54">
          <w:rPr>
            <w:i w:val="0"/>
            <w:webHidden/>
            <w:sz w:val="20"/>
            <w:szCs w:val="20"/>
          </w:rPr>
          <w:t>8-104</w:t>
        </w:r>
        <w:r w:rsidRPr="00E3633C">
          <w:rPr>
            <w:i w:val="0"/>
            <w:webHidden/>
            <w:sz w:val="20"/>
            <w:szCs w:val="20"/>
          </w:rPr>
          <w:fldChar w:fldCharType="end"/>
        </w:r>
      </w:hyperlink>
    </w:p>
    <w:p w14:paraId="77CBCC7A" w14:textId="1D6BB85D" w:rsidR="00D734AD" w:rsidRPr="00E3633C" w:rsidRDefault="00D734AD" w:rsidP="00243776">
      <w:pPr>
        <w:pStyle w:val="TOC5"/>
        <w:rPr>
          <w:rFonts w:eastAsiaTheme="minorEastAsia"/>
          <w:i w:val="0"/>
          <w:kern w:val="2"/>
          <w:sz w:val="20"/>
          <w:szCs w:val="20"/>
          <w14:ligatures w14:val="standardContextual"/>
        </w:rPr>
      </w:pPr>
      <w:hyperlink w:anchor="_Toc162532181" w:history="1">
        <w:r w:rsidRPr="00E3633C">
          <w:rPr>
            <w:rStyle w:val="Hyperlink"/>
            <w:i w:val="0"/>
            <w:sz w:val="20"/>
            <w:szCs w:val="20"/>
            <w:u w:val="none"/>
          </w:rPr>
          <w:t>8.1.3.3.4</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Performance</w:t>
        </w:r>
        <w:r w:rsidRPr="00E3633C">
          <w:rPr>
            <w:rStyle w:val="Hyperlink"/>
            <w:i w:val="0"/>
            <w:sz w:val="20"/>
            <w:szCs w:val="20"/>
            <w:u w:val="none"/>
          </w:rPr>
          <w:t xml:space="preserve"> Criteria for Qualified Scheduling Entities Representing Weather-Sensitive Emergency Response Service Loads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_Toc162532181 \h </w:instrText>
        </w:r>
        <w:r w:rsidRPr="00E3633C">
          <w:rPr>
            <w:i w:val="0"/>
            <w:webHidden/>
            <w:sz w:val="20"/>
            <w:szCs w:val="20"/>
          </w:rPr>
        </w:r>
        <w:r w:rsidRPr="00E3633C">
          <w:rPr>
            <w:i w:val="0"/>
            <w:webHidden/>
            <w:sz w:val="20"/>
            <w:szCs w:val="20"/>
          </w:rPr>
          <w:fldChar w:fldCharType="separate"/>
        </w:r>
        <w:r w:rsidR="00971B54">
          <w:rPr>
            <w:i w:val="0"/>
            <w:webHidden/>
            <w:sz w:val="20"/>
            <w:szCs w:val="20"/>
          </w:rPr>
          <w:t>8-107</w:t>
        </w:r>
        <w:r w:rsidRPr="00E3633C">
          <w:rPr>
            <w:i w:val="0"/>
            <w:webHidden/>
            <w:sz w:val="20"/>
            <w:szCs w:val="20"/>
          </w:rPr>
          <w:fldChar w:fldCharType="end"/>
        </w:r>
      </w:hyperlink>
    </w:p>
    <w:p w14:paraId="60705A08" w14:textId="0B019FA3" w:rsidR="00D734AD" w:rsidRPr="00E3633C" w:rsidRDefault="00D734AD">
      <w:pPr>
        <w:pStyle w:val="TOC4"/>
        <w:rPr>
          <w:rFonts w:eastAsiaTheme="minorEastAsia"/>
          <w:bCs w:val="0"/>
          <w:snapToGrid/>
          <w:kern w:val="2"/>
          <w:sz w:val="20"/>
          <w:szCs w:val="20"/>
          <w14:ligatures w14:val="standardContextual"/>
        </w:rPr>
      </w:pPr>
      <w:hyperlink w:anchor="_Toc162532182" w:history="1">
        <w:r w:rsidRPr="00E3633C">
          <w:rPr>
            <w:rStyle w:val="Hyperlink"/>
            <w:bCs w:val="0"/>
            <w:sz w:val="20"/>
            <w:szCs w:val="20"/>
            <w:u w:val="none"/>
          </w:rPr>
          <w:t>8.1.3.4</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Data Collection for Emergency Response Service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_Toc162532182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8-108</w:t>
        </w:r>
        <w:r w:rsidRPr="00E3633C">
          <w:rPr>
            <w:bCs w:val="0"/>
            <w:webHidden/>
            <w:sz w:val="20"/>
            <w:szCs w:val="20"/>
          </w:rPr>
          <w:fldChar w:fldCharType="end"/>
        </w:r>
      </w:hyperlink>
    </w:p>
    <w:p w14:paraId="513ACC88" w14:textId="7273934A" w:rsidR="00D734AD" w:rsidRPr="00E3633C" w:rsidRDefault="00D734AD">
      <w:pPr>
        <w:pStyle w:val="TOC2"/>
        <w:rPr>
          <w:rFonts w:eastAsiaTheme="minorEastAsia"/>
          <w:noProof/>
          <w:kern w:val="2"/>
          <w14:ligatures w14:val="standardContextual"/>
        </w:rPr>
      </w:pPr>
      <w:hyperlink w:anchor="_Toc162532183" w:history="1">
        <w:r w:rsidRPr="00E3633C">
          <w:rPr>
            <w:rStyle w:val="Hyperlink"/>
            <w:noProof/>
            <w:u w:val="none"/>
          </w:rPr>
          <w:t>8.2</w:t>
        </w:r>
        <w:r w:rsidRPr="00E3633C">
          <w:rPr>
            <w:rFonts w:eastAsiaTheme="minorEastAsia"/>
            <w:noProof/>
            <w:kern w:val="2"/>
            <w14:ligatures w14:val="standardContextual"/>
          </w:rPr>
          <w:tab/>
        </w:r>
        <w:r w:rsidRPr="00E3633C">
          <w:rPr>
            <w:rStyle w:val="Hyperlink"/>
            <w:noProof/>
            <w:u w:val="none"/>
          </w:rPr>
          <w:t>ERCOT Performance Monitoring</w:t>
        </w:r>
        <w:r w:rsidRPr="00E3633C">
          <w:rPr>
            <w:noProof/>
            <w:webHidden/>
          </w:rPr>
          <w:tab/>
        </w:r>
        <w:r w:rsidRPr="00E3633C">
          <w:rPr>
            <w:noProof/>
            <w:webHidden/>
          </w:rPr>
          <w:fldChar w:fldCharType="begin"/>
        </w:r>
        <w:r w:rsidRPr="00E3633C">
          <w:rPr>
            <w:noProof/>
            <w:webHidden/>
          </w:rPr>
          <w:instrText xml:space="preserve"> PAGEREF _Toc162532183 \h </w:instrText>
        </w:r>
        <w:r w:rsidRPr="00E3633C">
          <w:rPr>
            <w:noProof/>
            <w:webHidden/>
          </w:rPr>
        </w:r>
        <w:r w:rsidRPr="00E3633C">
          <w:rPr>
            <w:noProof/>
            <w:webHidden/>
          </w:rPr>
          <w:fldChar w:fldCharType="separate"/>
        </w:r>
        <w:r w:rsidR="00971B54">
          <w:rPr>
            <w:noProof/>
            <w:webHidden/>
          </w:rPr>
          <w:t>8-108</w:t>
        </w:r>
        <w:r w:rsidRPr="00E3633C">
          <w:rPr>
            <w:noProof/>
            <w:webHidden/>
          </w:rPr>
          <w:fldChar w:fldCharType="end"/>
        </w:r>
      </w:hyperlink>
    </w:p>
    <w:p w14:paraId="57C55F43" w14:textId="1411B028" w:rsidR="00D734AD" w:rsidRPr="00E3633C" w:rsidRDefault="00D734AD">
      <w:pPr>
        <w:pStyle w:val="TOC2"/>
        <w:rPr>
          <w:rFonts w:eastAsiaTheme="minorEastAsia"/>
          <w:noProof/>
          <w:kern w:val="2"/>
          <w14:ligatures w14:val="standardContextual"/>
        </w:rPr>
      </w:pPr>
      <w:hyperlink w:anchor="_Toc162532184" w:history="1">
        <w:r w:rsidRPr="00E3633C">
          <w:rPr>
            <w:rStyle w:val="Hyperlink"/>
            <w:noProof/>
            <w:u w:val="none"/>
          </w:rPr>
          <w:t>8.3</w:t>
        </w:r>
        <w:r w:rsidRPr="00E3633C">
          <w:rPr>
            <w:rFonts w:eastAsiaTheme="minorEastAsia"/>
            <w:noProof/>
            <w:kern w:val="2"/>
            <w14:ligatures w14:val="standardContextual"/>
          </w:rPr>
          <w:tab/>
        </w:r>
        <w:r w:rsidRPr="00E3633C">
          <w:rPr>
            <w:rStyle w:val="Hyperlink"/>
            <w:noProof/>
            <w:u w:val="none"/>
          </w:rPr>
          <w:t>TSP Performance Monitoring and Compliance</w:t>
        </w:r>
        <w:r w:rsidRPr="00E3633C">
          <w:rPr>
            <w:noProof/>
            <w:webHidden/>
          </w:rPr>
          <w:tab/>
        </w:r>
        <w:r w:rsidRPr="00E3633C">
          <w:rPr>
            <w:noProof/>
            <w:webHidden/>
          </w:rPr>
          <w:fldChar w:fldCharType="begin"/>
        </w:r>
        <w:r w:rsidRPr="00E3633C">
          <w:rPr>
            <w:noProof/>
            <w:webHidden/>
          </w:rPr>
          <w:instrText xml:space="preserve"> PAGEREF _Toc162532184 \h </w:instrText>
        </w:r>
        <w:r w:rsidRPr="00E3633C">
          <w:rPr>
            <w:noProof/>
            <w:webHidden/>
          </w:rPr>
        </w:r>
        <w:r w:rsidRPr="00E3633C">
          <w:rPr>
            <w:noProof/>
            <w:webHidden/>
          </w:rPr>
          <w:fldChar w:fldCharType="separate"/>
        </w:r>
        <w:r w:rsidR="00971B54">
          <w:rPr>
            <w:noProof/>
            <w:webHidden/>
          </w:rPr>
          <w:t>8-110</w:t>
        </w:r>
        <w:r w:rsidRPr="00E3633C">
          <w:rPr>
            <w:noProof/>
            <w:webHidden/>
          </w:rPr>
          <w:fldChar w:fldCharType="end"/>
        </w:r>
      </w:hyperlink>
    </w:p>
    <w:p w14:paraId="49E46FB8" w14:textId="170A429A" w:rsidR="00D734AD" w:rsidRPr="00E3633C" w:rsidRDefault="00D734AD">
      <w:pPr>
        <w:pStyle w:val="TOC2"/>
        <w:rPr>
          <w:rFonts w:eastAsiaTheme="minorEastAsia"/>
          <w:noProof/>
          <w:kern w:val="2"/>
          <w14:ligatures w14:val="standardContextual"/>
        </w:rPr>
      </w:pPr>
      <w:hyperlink w:anchor="_Toc162532185" w:history="1">
        <w:r w:rsidRPr="00E3633C">
          <w:rPr>
            <w:rStyle w:val="Hyperlink"/>
            <w:noProof/>
            <w:u w:val="none"/>
          </w:rPr>
          <w:t>8.4</w:t>
        </w:r>
        <w:r w:rsidRPr="00E3633C">
          <w:rPr>
            <w:rFonts w:eastAsiaTheme="minorEastAsia"/>
            <w:noProof/>
            <w:kern w:val="2"/>
            <w14:ligatures w14:val="standardContextual"/>
          </w:rPr>
          <w:tab/>
        </w:r>
        <w:r w:rsidRPr="00E3633C">
          <w:rPr>
            <w:rStyle w:val="Hyperlink"/>
            <w:noProof/>
            <w:u w:val="none"/>
          </w:rPr>
          <w:t>ERCOT Response to Market Non-Performance</w:t>
        </w:r>
        <w:r w:rsidRPr="00E3633C">
          <w:rPr>
            <w:noProof/>
            <w:webHidden/>
          </w:rPr>
          <w:tab/>
        </w:r>
        <w:r w:rsidRPr="00E3633C">
          <w:rPr>
            <w:noProof/>
            <w:webHidden/>
          </w:rPr>
          <w:fldChar w:fldCharType="begin"/>
        </w:r>
        <w:r w:rsidRPr="00E3633C">
          <w:rPr>
            <w:noProof/>
            <w:webHidden/>
          </w:rPr>
          <w:instrText xml:space="preserve"> PAGEREF _Toc162532185 \h </w:instrText>
        </w:r>
        <w:r w:rsidRPr="00E3633C">
          <w:rPr>
            <w:noProof/>
            <w:webHidden/>
          </w:rPr>
        </w:r>
        <w:r w:rsidRPr="00E3633C">
          <w:rPr>
            <w:noProof/>
            <w:webHidden/>
          </w:rPr>
          <w:fldChar w:fldCharType="separate"/>
        </w:r>
        <w:r w:rsidR="00971B54">
          <w:rPr>
            <w:noProof/>
            <w:webHidden/>
          </w:rPr>
          <w:t>8-111</w:t>
        </w:r>
        <w:r w:rsidRPr="00E3633C">
          <w:rPr>
            <w:noProof/>
            <w:webHidden/>
          </w:rPr>
          <w:fldChar w:fldCharType="end"/>
        </w:r>
      </w:hyperlink>
    </w:p>
    <w:p w14:paraId="5B9ED2A3" w14:textId="001ED399" w:rsidR="00D734AD" w:rsidRPr="00E3633C" w:rsidRDefault="00D734AD">
      <w:pPr>
        <w:pStyle w:val="TOC2"/>
        <w:rPr>
          <w:rFonts w:eastAsiaTheme="minorEastAsia"/>
          <w:noProof/>
          <w:kern w:val="2"/>
          <w14:ligatures w14:val="standardContextual"/>
        </w:rPr>
      </w:pPr>
      <w:hyperlink w:anchor="_Toc162532186" w:history="1">
        <w:r w:rsidRPr="00E3633C">
          <w:rPr>
            <w:rStyle w:val="Hyperlink"/>
            <w:noProof/>
            <w:u w:val="none"/>
          </w:rPr>
          <w:t>8.5</w:t>
        </w:r>
        <w:r w:rsidRPr="00E3633C">
          <w:rPr>
            <w:rFonts w:eastAsiaTheme="minorEastAsia"/>
            <w:noProof/>
            <w:kern w:val="2"/>
            <w14:ligatures w14:val="standardContextual"/>
          </w:rPr>
          <w:tab/>
        </w:r>
        <w:r w:rsidRPr="00E3633C">
          <w:rPr>
            <w:rStyle w:val="Hyperlink"/>
            <w:noProof/>
            <w:u w:val="none"/>
          </w:rPr>
          <w:t>Primary Frequency Response Requirements and Monitoring</w:t>
        </w:r>
        <w:r w:rsidRPr="00E3633C">
          <w:rPr>
            <w:noProof/>
            <w:webHidden/>
          </w:rPr>
          <w:tab/>
        </w:r>
        <w:r w:rsidRPr="00E3633C">
          <w:rPr>
            <w:noProof/>
            <w:webHidden/>
          </w:rPr>
          <w:fldChar w:fldCharType="begin"/>
        </w:r>
        <w:r w:rsidRPr="00E3633C">
          <w:rPr>
            <w:noProof/>
            <w:webHidden/>
          </w:rPr>
          <w:instrText xml:space="preserve"> PAGEREF _Toc162532186 \h </w:instrText>
        </w:r>
        <w:r w:rsidRPr="00E3633C">
          <w:rPr>
            <w:noProof/>
            <w:webHidden/>
          </w:rPr>
        </w:r>
        <w:r w:rsidRPr="00E3633C">
          <w:rPr>
            <w:noProof/>
            <w:webHidden/>
          </w:rPr>
          <w:fldChar w:fldCharType="separate"/>
        </w:r>
        <w:r w:rsidR="00971B54">
          <w:rPr>
            <w:noProof/>
            <w:webHidden/>
          </w:rPr>
          <w:t>8-111</w:t>
        </w:r>
        <w:r w:rsidRPr="00E3633C">
          <w:rPr>
            <w:noProof/>
            <w:webHidden/>
          </w:rPr>
          <w:fldChar w:fldCharType="end"/>
        </w:r>
      </w:hyperlink>
    </w:p>
    <w:p w14:paraId="7703AD86" w14:textId="00028A5E" w:rsidR="00D734AD" w:rsidRPr="00E3633C" w:rsidRDefault="00D734AD">
      <w:pPr>
        <w:pStyle w:val="TOC3"/>
        <w:rPr>
          <w:rFonts w:eastAsiaTheme="minorEastAsia"/>
          <w:i w:val="0"/>
          <w:iCs w:val="0"/>
          <w:noProof/>
          <w:kern w:val="2"/>
          <w14:ligatures w14:val="standardContextual"/>
        </w:rPr>
      </w:pPr>
      <w:hyperlink w:anchor="_Toc162532187" w:history="1">
        <w:r w:rsidRPr="00E3633C">
          <w:rPr>
            <w:rStyle w:val="Hyperlink"/>
            <w:i w:val="0"/>
            <w:iCs w:val="0"/>
            <w:noProof/>
            <w:u w:val="none"/>
          </w:rPr>
          <w:t>8.5.1</w:t>
        </w:r>
        <w:r w:rsidRPr="00E3633C">
          <w:rPr>
            <w:rFonts w:eastAsiaTheme="minorEastAsia"/>
            <w:i w:val="0"/>
            <w:iCs w:val="0"/>
            <w:noProof/>
            <w:kern w:val="2"/>
            <w14:ligatures w14:val="standardContextual"/>
          </w:rPr>
          <w:tab/>
        </w:r>
        <w:r w:rsidRPr="00E3633C">
          <w:rPr>
            <w:rStyle w:val="Hyperlink"/>
            <w:i w:val="0"/>
            <w:iCs w:val="0"/>
            <w:noProof/>
            <w:u w:val="none"/>
          </w:rPr>
          <w:t>Generation Resource, Energy Storage Resource, and QSE Participation</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_Toc162532187 \h </w:instrText>
        </w:r>
        <w:r w:rsidRPr="00E3633C">
          <w:rPr>
            <w:i w:val="0"/>
            <w:iCs w:val="0"/>
            <w:noProof/>
            <w:webHidden/>
          </w:rPr>
        </w:r>
        <w:r w:rsidRPr="00E3633C">
          <w:rPr>
            <w:i w:val="0"/>
            <w:iCs w:val="0"/>
            <w:noProof/>
            <w:webHidden/>
          </w:rPr>
          <w:fldChar w:fldCharType="separate"/>
        </w:r>
        <w:r w:rsidR="00971B54">
          <w:rPr>
            <w:i w:val="0"/>
            <w:iCs w:val="0"/>
            <w:noProof/>
            <w:webHidden/>
          </w:rPr>
          <w:t>8-111</w:t>
        </w:r>
        <w:r w:rsidRPr="00E3633C">
          <w:rPr>
            <w:i w:val="0"/>
            <w:iCs w:val="0"/>
            <w:noProof/>
            <w:webHidden/>
          </w:rPr>
          <w:fldChar w:fldCharType="end"/>
        </w:r>
      </w:hyperlink>
    </w:p>
    <w:p w14:paraId="6324E69D" w14:textId="4E77DED9" w:rsidR="00D734AD" w:rsidRPr="00E3633C" w:rsidRDefault="00D734AD">
      <w:pPr>
        <w:pStyle w:val="TOC4"/>
        <w:rPr>
          <w:rFonts w:eastAsiaTheme="minorEastAsia"/>
          <w:bCs w:val="0"/>
          <w:snapToGrid/>
          <w:kern w:val="2"/>
          <w:sz w:val="20"/>
          <w:szCs w:val="20"/>
          <w14:ligatures w14:val="standardContextual"/>
        </w:rPr>
      </w:pPr>
      <w:hyperlink w:anchor="_Toc162532188" w:history="1">
        <w:r w:rsidRPr="00E3633C">
          <w:rPr>
            <w:rStyle w:val="Hyperlink"/>
            <w:bCs w:val="0"/>
            <w:sz w:val="20"/>
            <w:szCs w:val="20"/>
            <w:u w:val="none"/>
          </w:rPr>
          <w:t>8.5.1.1</w:t>
        </w:r>
        <w:r w:rsidRPr="00E3633C">
          <w:rPr>
            <w:rFonts w:eastAsiaTheme="minorEastAsia"/>
            <w:bCs w:val="0"/>
            <w:snapToGrid/>
            <w:kern w:val="2"/>
            <w:sz w:val="20"/>
            <w:szCs w:val="20"/>
            <w14:ligatures w14:val="standardContextual"/>
          </w:rPr>
          <w:tab/>
        </w:r>
        <w:r w:rsidRPr="00E3633C">
          <w:rPr>
            <w:rStyle w:val="Hyperlink"/>
            <w:bCs w:val="0"/>
            <w:sz w:val="20"/>
            <w:szCs w:val="20"/>
            <w:u w:val="none"/>
          </w:rPr>
          <w:t>Governor in Service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_Toc162532188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8-111</w:t>
        </w:r>
        <w:r w:rsidRPr="00E3633C">
          <w:rPr>
            <w:bCs w:val="0"/>
            <w:webHidden/>
            <w:sz w:val="20"/>
            <w:szCs w:val="20"/>
          </w:rPr>
          <w:fldChar w:fldCharType="end"/>
        </w:r>
      </w:hyperlink>
    </w:p>
    <w:p w14:paraId="19AFF578" w14:textId="7061D1E4" w:rsidR="00D734AD" w:rsidRPr="00E3633C" w:rsidRDefault="00D734AD">
      <w:pPr>
        <w:pStyle w:val="TOC4"/>
        <w:rPr>
          <w:rFonts w:eastAsiaTheme="minorEastAsia"/>
          <w:bCs w:val="0"/>
          <w:snapToGrid/>
          <w:kern w:val="2"/>
          <w:sz w:val="20"/>
          <w:szCs w:val="20"/>
          <w14:ligatures w14:val="standardContextual"/>
        </w:rPr>
      </w:pPr>
      <w:hyperlink w:anchor="_Toc162532189" w:history="1">
        <w:r w:rsidRPr="00E3633C">
          <w:rPr>
            <w:rStyle w:val="Hyperlink"/>
            <w:bCs w:val="0"/>
            <w:sz w:val="20"/>
            <w:szCs w:val="20"/>
            <w:u w:val="none"/>
          </w:rPr>
          <w:t>8.5.1.2</w:t>
        </w:r>
        <w:r w:rsidRPr="00E3633C">
          <w:rPr>
            <w:rFonts w:eastAsiaTheme="minorEastAsia"/>
            <w:bCs w:val="0"/>
            <w:snapToGrid/>
            <w:kern w:val="2"/>
            <w:sz w:val="20"/>
            <w:szCs w:val="20"/>
            <w14:ligatures w14:val="standardContextual"/>
          </w:rPr>
          <w:tab/>
        </w:r>
        <w:r w:rsidRPr="00E3633C">
          <w:rPr>
            <w:rStyle w:val="Hyperlink"/>
            <w:bCs w:val="0"/>
            <w:sz w:val="20"/>
            <w:szCs w:val="20"/>
            <w:u w:val="none"/>
          </w:rPr>
          <w:t>Reporting</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_Toc162532189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8-112</w:t>
        </w:r>
        <w:r w:rsidRPr="00E3633C">
          <w:rPr>
            <w:bCs w:val="0"/>
            <w:webHidden/>
            <w:sz w:val="20"/>
            <w:szCs w:val="20"/>
          </w:rPr>
          <w:fldChar w:fldCharType="end"/>
        </w:r>
      </w:hyperlink>
    </w:p>
    <w:p w14:paraId="0E68CDAB" w14:textId="69BE94B2" w:rsidR="00D734AD" w:rsidRPr="00E3633C" w:rsidRDefault="00D734AD">
      <w:pPr>
        <w:pStyle w:val="TOC4"/>
        <w:rPr>
          <w:rFonts w:eastAsiaTheme="minorEastAsia"/>
          <w:bCs w:val="0"/>
          <w:snapToGrid/>
          <w:kern w:val="2"/>
          <w:sz w:val="20"/>
          <w:szCs w:val="20"/>
          <w14:ligatures w14:val="standardContextual"/>
        </w:rPr>
      </w:pPr>
      <w:hyperlink w:anchor="_Toc162532190" w:history="1">
        <w:r w:rsidRPr="00E3633C">
          <w:rPr>
            <w:rStyle w:val="Hyperlink"/>
            <w:bCs w:val="0"/>
            <w:sz w:val="20"/>
            <w:szCs w:val="20"/>
            <w:u w:val="none"/>
          </w:rPr>
          <w:t xml:space="preserve">8.5.1.3 </w:t>
        </w:r>
        <w:r w:rsidRPr="00E3633C">
          <w:rPr>
            <w:rFonts w:eastAsiaTheme="minorEastAsia"/>
            <w:bCs w:val="0"/>
            <w:snapToGrid/>
            <w:kern w:val="2"/>
            <w:sz w:val="20"/>
            <w:szCs w:val="20"/>
            <w14:ligatures w14:val="standardContextual"/>
          </w:rPr>
          <w:tab/>
        </w:r>
        <w:r w:rsidRPr="00E3633C">
          <w:rPr>
            <w:rStyle w:val="Hyperlink"/>
            <w:bCs w:val="0"/>
            <w:sz w:val="20"/>
            <w:szCs w:val="20"/>
            <w:u w:val="none"/>
          </w:rPr>
          <w:t>Wind-powered Generation Resource (WGR) Primary Frequency Response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_Toc162532190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8-113</w:t>
        </w:r>
        <w:r w:rsidRPr="00E3633C">
          <w:rPr>
            <w:bCs w:val="0"/>
            <w:webHidden/>
            <w:sz w:val="20"/>
            <w:szCs w:val="20"/>
          </w:rPr>
          <w:fldChar w:fldCharType="end"/>
        </w:r>
      </w:hyperlink>
    </w:p>
    <w:p w14:paraId="65A6E120" w14:textId="1BF5C5FC" w:rsidR="00D734AD" w:rsidRPr="00E3633C" w:rsidRDefault="00D734AD">
      <w:pPr>
        <w:pStyle w:val="TOC3"/>
        <w:rPr>
          <w:rFonts w:eastAsiaTheme="minorEastAsia"/>
          <w:i w:val="0"/>
          <w:iCs w:val="0"/>
          <w:noProof/>
          <w:kern w:val="2"/>
          <w14:ligatures w14:val="standardContextual"/>
        </w:rPr>
      </w:pPr>
      <w:hyperlink w:anchor="_Toc162532191" w:history="1">
        <w:r w:rsidRPr="00E3633C">
          <w:rPr>
            <w:rStyle w:val="Hyperlink"/>
            <w:i w:val="0"/>
            <w:iCs w:val="0"/>
            <w:noProof/>
            <w:u w:val="none"/>
          </w:rPr>
          <w:t>8.5.2</w:t>
        </w:r>
        <w:r w:rsidRPr="00E3633C">
          <w:rPr>
            <w:rFonts w:eastAsiaTheme="minorEastAsia"/>
            <w:i w:val="0"/>
            <w:iCs w:val="0"/>
            <w:noProof/>
            <w:kern w:val="2"/>
            <w14:ligatures w14:val="standardContextual"/>
          </w:rPr>
          <w:tab/>
        </w:r>
        <w:r w:rsidRPr="00E3633C">
          <w:rPr>
            <w:rStyle w:val="Hyperlink"/>
            <w:i w:val="0"/>
            <w:iCs w:val="0"/>
            <w:noProof/>
            <w:u w:val="none"/>
          </w:rPr>
          <w:t>Primary Frequency Response Measurements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_Toc162532191 \h </w:instrText>
        </w:r>
        <w:r w:rsidRPr="00E3633C">
          <w:rPr>
            <w:i w:val="0"/>
            <w:iCs w:val="0"/>
            <w:noProof/>
            <w:webHidden/>
          </w:rPr>
        </w:r>
        <w:r w:rsidRPr="00E3633C">
          <w:rPr>
            <w:i w:val="0"/>
            <w:iCs w:val="0"/>
            <w:noProof/>
            <w:webHidden/>
          </w:rPr>
          <w:fldChar w:fldCharType="separate"/>
        </w:r>
        <w:r w:rsidR="00971B54">
          <w:rPr>
            <w:i w:val="0"/>
            <w:iCs w:val="0"/>
            <w:noProof/>
            <w:webHidden/>
          </w:rPr>
          <w:t>8-114</w:t>
        </w:r>
        <w:r w:rsidRPr="00E3633C">
          <w:rPr>
            <w:i w:val="0"/>
            <w:iCs w:val="0"/>
            <w:noProof/>
            <w:webHidden/>
          </w:rPr>
          <w:fldChar w:fldCharType="end"/>
        </w:r>
      </w:hyperlink>
    </w:p>
    <w:p w14:paraId="4E1777D1" w14:textId="43AF22A6" w:rsidR="00D734AD" w:rsidRPr="00E3633C" w:rsidRDefault="00D734AD">
      <w:pPr>
        <w:pStyle w:val="TOC4"/>
        <w:rPr>
          <w:rFonts w:eastAsiaTheme="minorEastAsia"/>
          <w:bCs w:val="0"/>
          <w:snapToGrid/>
          <w:kern w:val="2"/>
          <w:sz w:val="20"/>
          <w:szCs w:val="20"/>
          <w14:ligatures w14:val="standardContextual"/>
        </w:rPr>
      </w:pPr>
      <w:hyperlink w:anchor="_Toc162532192" w:history="1">
        <w:r w:rsidRPr="00E3633C">
          <w:rPr>
            <w:rStyle w:val="Hyperlink"/>
            <w:bCs w:val="0"/>
            <w:sz w:val="20"/>
            <w:szCs w:val="20"/>
            <w:u w:val="none"/>
          </w:rPr>
          <w:t>8.5.2.1</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Required Primary Frequency Response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_Toc162532192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8-115</w:t>
        </w:r>
        <w:r w:rsidRPr="00E3633C">
          <w:rPr>
            <w:bCs w:val="0"/>
            <w:webHidden/>
            <w:sz w:val="20"/>
            <w:szCs w:val="20"/>
          </w:rPr>
          <w:fldChar w:fldCharType="end"/>
        </w:r>
      </w:hyperlink>
    </w:p>
    <w:p w14:paraId="755C7C0B" w14:textId="274B2312" w:rsidR="00D734AD" w:rsidRPr="00E3633C" w:rsidRDefault="00D734AD">
      <w:pPr>
        <w:pStyle w:val="TOC4"/>
        <w:rPr>
          <w:rFonts w:eastAsiaTheme="minorEastAsia"/>
          <w:bCs w:val="0"/>
          <w:snapToGrid/>
          <w:kern w:val="2"/>
          <w:sz w:val="20"/>
          <w:szCs w:val="20"/>
          <w14:ligatures w14:val="standardContextual"/>
        </w:rPr>
      </w:pPr>
      <w:hyperlink w:anchor="_Toc162532193" w:history="1">
        <w:r w:rsidRPr="00E3633C">
          <w:rPr>
            <w:rStyle w:val="Hyperlink"/>
            <w:bCs w:val="0"/>
            <w:sz w:val="20"/>
            <w:szCs w:val="20"/>
            <w:u w:val="none"/>
          </w:rPr>
          <w:t>8.5.2.2</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Data Collection</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_Toc162532193 \h </w:instrText>
        </w:r>
        <w:r w:rsidRPr="00E3633C">
          <w:rPr>
            <w:bCs w:val="0"/>
            <w:webHidden/>
            <w:sz w:val="20"/>
            <w:szCs w:val="20"/>
          </w:rPr>
        </w:r>
        <w:r w:rsidRPr="00E3633C">
          <w:rPr>
            <w:bCs w:val="0"/>
            <w:webHidden/>
            <w:sz w:val="20"/>
            <w:szCs w:val="20"/>
          </w:rPr>
          <w:fldChar w:fldCharType="separate"/>
        </w:r>
        <w:r w:rsidR="00971B54">
          <w:rPr>
            <w:bCs w:val="0"/>
            <w:webHidden/>
            <w:sz w:val="20"/>
            <w:szCs w:val="20"/>
          </w:rPr>
          <w:t>8-116</w:t>
        </w:r>
        <w:r w:rsidRPr="00E3633C">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C9F797D" w:rsidR="00B9373D" w:rsidRDefault="000963FF" w:rsidP="00B6092E">
      <w:pPr>
        <w:pStyle w:val="List2"/>
      </w:pPr>
      <w:r>
        <w:t>(i)</w:t>
      </w:r>
      <w:r>
        <w:tab/>
        <w:t>Telemetry performance</w:t>
      </w:r>
      <w:r w:rsidR="00CF26C5">
        <w:t>;</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C0646" w14:paraId="29710FF7" w14:textId="77777777" w:rsidTr="0039253B">
        <w:tc>
          <w:tcPr>
            <w:tcW w:w="9350" w:type="dxa"/>
            <w:shd w:val="clear" w:color="auto" w:fill="E0E0E0"/>
          </w:tcPr>
          <w:p w14:paraId="2229C06D" w14:textId="298C0597" w:rsidR="009C0646" w:rsidRDefault="009C0646" w:rsidP="0039253B">
            <w:pPr>
              <w:pStyle w:val="Instructions"/>
              <w:spacing w:before="120"/>
              <w:ind w:left="0" w:firstLine="0"/>
            </w:pPr>
            <w:r>
              <w:t>[NPRR1246:  Replace item (d) above with the following upon system implementation of the Real-Time Co-Optimization (RTC) project:]</w:t>
            </w:r>
          </w:p>
          <w:p w14:paraId="36C7C8D9" w14:textId="7A32180A" w:rsidR="009C0646" w:rsidRPr="009C0646" w:rsidRDefault="009C0646" w:rsidP="009C0646">
            <w:pPr>
              <w:spacing w:after="240"/>
              <w:ind w:left="1440" w:hanging="720"/>
            </w:pPr>
            <w:r w:rsidRPr="00E1424A">
              <w:t>(d)</w:t>
            </w:r>
            <w:r w:rsidRPr="00E1424A">
              <w:tab/>
              <w:t>Supplying and validating data for generator models, as requested by ERCOT, for Generation Resources</w:t>
            </w:r>
            <w:r>
              <w:t xml:space="preserve"> and Energy Storage Resources (ESRs)</w:t>
            </w:r>
            <w:r w:rsidRPr="00E1424A">
              <w:t>;</w:t>
            </w:r>
          </w:p>
        </w:tc>
      </w:tr>
    </w:tbl>
    <w:p w14:paraId="64921BBE" w14:textId="5E3331A0" w:rsidR="00581280" w:rsidRDefault="000963FF" w:rsidP="009F07E5">
      <w:pPr>
        <w:pStyle w:val="List"/>
        <w:spacing w:before="240"/>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4F13DF84" w14:textId="77777777" w:rsidTr="00F26542">
        <w:tc>
          <w:tcPr>
            <w:tcW w:w="9576" w:type="dxa"/>
            <w:shd w:val="clear" w:color="auto" w:fill="E0E0E0"/>
          </w:tcPr>
          <w:p w14:paraId="0B610DD2" w14:textId="0B7825AB" w:rsidR="00E656B6" w:rsidRDefault="00E656B6" w:rsidP="00F26542">
            <w:pPr>
              <w:pStyle w:val="Instructions"/>
              <w:spacing w:before="120"/>
              <w:ind w:left="0" w:firstLine="0"/>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[NPRR1239:  Replace paragraph (3) above with the following upon system implementation:]</w:t>
            </w:r>
          </w:p>
          <w:p w14:paraId="2DC5C244" w14:textId="77777777" w:rsidR="00E656B6" w:rsidRPr="00E62DE9" w:rsidRDefault="00E656B6" w:rsidP="00E656B6">
            <w:pPr>
              <w:spacing w:after="240"/>
              <w:ind w:left="720" w:hanging="720"/>
              <w:rPr>
                <w:iCs/>
              </w:rPr>
            </w:pPr>
            <w:r w:rsidRPr="00E62DE9">
              <w:rPr>
                <w:iCs/>
              </w:rPr>
              <w:t>(3)</w:t>
            </w:r>
            <w:r w:rsidRPr="00E62DE9">
              <w:rPr>
                <w:iCs/>
              </w:rPr>
              <w:tab/>
              <w:t>ERCOT shall monitor and post the following categories of performance:</w:t>
            </w:r>
          </w:p>
          <w:p w14:paraId="16BA6D9E" w14:textId="77777777" w:rsidR="00E656B6" w:rsidRPr="00E62DE9" w:rsidRDefault="00E656B6" w:rsidP="00E656B6">
            <w:pPr>
              <w:spacing w:after="240"/>
              <w:ind w:left="1440" w:hanging="720"/>
            </w:pPr>
            <w:r w:rsidRPr="00E62DE9">
              <w:t>(a)</w:t>
            </w:r>
            <w:r w:rsidRPr="00E62DE9">
              <w:tab/>
              <w:t>Real-Time data, for QSEs:</w:t>
            </w:r>
          </w:p>
          <w:p w14:paraId="090C01BF" w14:textId="74F863FA" w:rsidR="00E656B6" w:rsidRPr="00E62DE9" w:rsidRDefault="00E656B6" w:rsidP="00E656B6">
            <w:pPr>
              <w:spacing w:after="240"/>
              <w:ind w:left="2160" w:hanging="720"/>
            </w:pPr>
            <w:r w:rsidRPr="00E62DE9">
              <w:t>(i)</w:t>
            </w:r>
            <w:r w:rsidRPr="00E62DE9">
              <w:tab/>
              <w:t>Telemetry performance</w:t>
            </w:r>
            <w:r w:rsidR="00EB3F9E">
              <w:t>;</w:t>
            </w:r>
          </w:p>
          <w:p w14:paraId="2CABAA78" w14:textId="77777777" w:rsidR="00E656B6" w:rsidRPr="00E62DE9" w:rsidRDefault="00E656B6" w:rsidP="00E656B6">
            <w:pPr>
              <w:spacing w:after="240"/>
              <w:ind w:left="1440" w:hanging="720"/>
            </w:pPr>
            <w:r w:rsidRPr="00E62DE9">
              <w:t>(b)</w:t>
            </w:r>
            <w:r w:rsidRPr="00E62DE9">
              <w:tab/>
              <w:t>Regulation control performance, for QSEs and as applicable, Resource-specific performance (see also Section 8.1.1, QSE Ancillary Service Performance Standards);</w:t>
            </w:r>
          </w:p>
          <w:p w14:paraId="50B78C45" w14:textId="77777777" w:rsidR="00E656B6" w:rsidRPr="00E62DE9" w:rsidRDefault="00E656B6" w:rsidP="00E656B6">
            <w:pPr>
              <w:spacing w:after="240"/>
              <w:ind w:left="1440" w:hanging="720"/>
            </w:pPr>
            <w:r w:rsidRPr="00E62DE9">
              <w:t>(c)</w:t>
            </w:r>
            <w:r w:rsidRPr="00E62DE9">
              <w:tab/>
              <w:t>Hydro responsive testing for Generation Resources</w:t>
            </w:r>
            <w:r>
              <w:t>, on the ERCOT website</w:t>
            </w:r>
            <w:r w:rsidRPr="00E62DE9">
              <w:t>;</w:t>
            </w:r>
          </w:p>
          <w:p w14:paraId="2C8D0244" w14:textId="77777777" w:rsidR="00E656B6" w:rsidRPr="00E62DE9" w:rsidRDefault="00E656B6" w:rsidP="00E656B6">
            <w:pPr>
              <w:spacing w:after="240"/>
              <w:ind w:left="1440" w:hanging="720"/>
            </w:pPr>
            <w:r w:rsidRPr="00E62DE9">
              <w:lastRenderedPageBreak/>
              <w:t>(d)</w:t>
            </w:r>
            <w:r w:rsidRPr="00E62DE9">
              <w:tab/>
              <w:t>Supplying and validating data for generator models, as requested by ERCOT, for Generation Resources;</w:t>
            </w:r>
          </w:p>
          <w:p w14:paraId="389CC451" w14:textId="77777777" w:rsidR="00E656B6" w:rsidRPr="00E62DE9" w:rsidRDefault="00E656B6" w:rsidP="00E656B6">
            <w:pPr>
              <w:spacing w:after="240"/>
              <w:ind w:left="1440" w:hanging="720"/>
            </w:pPr>
            <w:r w:rsidRPr="00E62DE9">
              <w:t>(e)</w:t>
            </w:r>
            <w:r w:rsidRPr="00E62DE9">
              <w:tab/>
              <w:t>Outage scheduling and coordination, for QSEs and Resources;</w:t>
            </w:r>
          </w:p>
          <w:p w14:paraId="71243A8E" w14:textId="77777777" w:rsidR="00E656B6" w:rsidRPr="00E62DE9" w:rsidRDefault="00E656B6" w:rsidP="00E656B6">
            <w:pPr>
              <w:spacing w:after="240"/>
              <w:ind w:left="1440" w:hanging="720"/>
            </w:pPr>
            <w:r w:rsidRPr="00E62DE9">
              <w:t>(f)</w:t>
            </w:r>
            <w:r w:rsidRPr="00E62DE9">
              <w:tab/>
              <w:t>Resource-specific Responsive Reserve (RRS) performance for QSEs and Resources</w:t>
            </w:r>
            <w:r>
              <w:t>, on the ERCOT website</w:t>
            </w:r>
            <w:r w:rsidRPr="00E62DE9">
              <w:t>;</w:t>
            </w:r>
          </w:p>
          <w:p w14:paraId="15E73F57" w14:textId="77777777" w:rsidR="00E656B6" w:rsidRPr="00E62DE9" w:rsidRDefault="00E656B6" w:rsidP="00E656B6">
            <w:pPr>
              <w:spacing w:after="240"/>
              <w:ind w:left="1440" w:hanging="720"/>
            </w:pPr>
            <w:r w:rsidRPr="00E62DE9">
              <w:t>(g)</w:t>
            </w:r>
            <w:r w:rsidRPr="00E62DE9">
              <w:tab/>
              <w:t>Resource-specific Non-Spinning Reserve (Non-Spin) performance, for QSEs and Resources</w:t>
            </w:r>
            <w:r>
              <w:t>, on the ERCOT website</w:t>
            </w:r>
            <w:r w:rsidRPr="00E62DE9">
              <w:t>;</w:t>
            </w:r>
          </w:p>
          <w:p w14:paraId="6375B9DB" w14:textId="153356A5" w:rsidR="00E656B6" w:rsidRPr="00E62DE9" w:rsidRDefault="00E656B6" w:rsidP="00E656B6">
            <w:pPr>
              <w:spacing w:after="240"/>
              <w:ind w:left="1440" w:hanging="720"/>
            </w:pPr>
            <w:r w:rsidRPr="00E62DE9">
              <w:t>(h)</w:t>
            </w:r>
            <w:r w:rsidRPr="00E62DE9">
              <w:tab/>
              <w:t>Resource-specific ERCOT Contingency Reserve Service (ECRS) performance for QSEs and Resources</w:t>
            </w:r>
            <w:r>
              <w:t>, on the ERCOT website</w:t>
            </w:r>
            <w:r w:rsidRPr="00E62DE9">
              <w:t>;</w:t>
            </w:r>
          </w:p>
          <w:p w14:paraId="3667EAD0" w14:textId="77777777" w:rsidR="00E656B6" w:rsidRPr="00E62DE9" w:rsidRDefault="00E656B6" w:rsidP="00E656B6">
            <w:pPr>
              <w:spacing w:after="240"/>
              <w:ind w:left="1440" w:hanging="720"/>
            </w:pPr>
            <w:r w:rsidRPr="00E62DE9">
              <w:t>(i)</w:t>
            </w:r>
            <w:r w:rsidRPr="00E62DE9">
              <w:tab/>
              <w:t>Outage reporting, by QSEs for Resources;</w:t>
            </w:r>
          </w:p>
          <w:p w14:paraId="4BA808C0" w14:textId="77777777" w:rsidR="00E656B6" w:rsidRPr="00E62DE9" w:rsidRDefault="00E656B6" w:rsidP="00E656B6">
            <w:pPr>
              <w:spacing w:after="240"/>
              <w:ind w:left="1440" w:hanging="720"/>
            </w:pPr>
            <w:r w:rsidRPr="00E62DE9">
              <w:t>(j)</w:t>
            </w:r>
            <w:r w:rsidRPr="00E62DE9">
              <w:tab/>
              <w:t>Current Operating Plan (COP) metrics, for QSEs</w:t>
            </w:r>
            <w:r>
              <w:t>, on the ERCOT website</w:t>
            </w:r>
            <w:r w:rsidRPr="00E62DE9">
              <w:t>; and</w:t>
            </w:r>
          </w:p>
          <w:p w14:paraId="255BD555" w14:textId="0C14A700" w:rsidR="00E656B6" w:rsidRPr="00AA21E9" w:rsidRDefault="00E656B6" w:rsidP="00E656B6">
            <w:pPr>
              <w:spacing w:after="240"/>
              <w:ind w:left="1440" w:hanging="720"/>
            </w:pPr>
            <w:r w:rsidRPr="00E62DE9">
              <w:t>(k)</w:t>
            </w:r>
            <w:r w:rsidRPr="00E62DE9">
              <w:tab/>
              <w:t>Day-Ahead Reliability Unit Commitment (DRUC) and Hourly Reliability Unit Commitment (HRUC) commitment performance by QSEs and Generation Resources</w:t>
            </w:r>
            <w:r>
              <w:t>, on the ERCOT website</w:t>
            </w:r>
            <w:r w:rsidRPr="00E62DE9">
              <w:t>.</w:t>
            </w:r>
          </w:p>
        </w:tc>
      </w:tr>
    </w:tbl>
    <w:p w14:paraId="3030517B" w14:textId="77777777" w:rsidR="005B7489" w:rsidRDefault="005B7489" w:rsidP="00270D0F">
      <w:pPr>
        <w:pStyle w:val="H3"/>
        <w:spacing w:before="480"/>
      </w:pPr>
      <w:r>
        <w:lastRenderedPageBreak/>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098B43AE" w:rsidR="00415ECA" w:rsidRDefault="00415ECA" w:rsidP="00D73591">
      <w:pPr>
        <w:pStyle w:val="BodyText"/>
      </w:pPr>
      <w:r>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058766B7" w:rsidR="00D6032B" w:rsidRDefault="00D6032B" w:rsidP="00D6032B">
            <w:pPr>
              <w:pStyle w:val="Instructions"/>
              <w:spacing w:before="120"/>
              <w:ind w:left="0" w:firstLine="0"/>
            </w:pPr>
            <w:r>
              <w:t>[</w:t>
            </w:r>
            <w:r w:rsidR="00AB14DC">
              <w:t>NPRR963</w:t>
            </w:r>
            <w:r w:rsidR="000F6B66">
              <w:t>,</w:t>
            </w:r>
            <w:r w:rsidR="00AB14DC">
              <w:t xml:space="preserve"> NPRR1011</w:t>
            </w:r>
            <w:r w:rsidR="000F6B66">
              <w:t>, and NPRR1188</w:t>
            </w:r>
            <w:r>
              <w:t>:  Replace applicable portions of Section 8.1.1.1 above with the following upon system implementation</w:t>
            </w:r>
            <w:r w:rsidR="00AB14DC">
              <w:t xml:space="preserve"> for NPRR963</w:t>
            </w:r>
            <w:r w:rsidR="000F6B66">
              <w:t xml:space="preserve"> or NPRR1188</w:t>
            </w:r>
            <w:r w:rsidR="00AB14DC">
              <w:t>;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367C26C4"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000F6B66" w:rsidRPr="00812ECB">
              <w:t>, Controllable Load Resource Energy Deployment Performance (CLREDP),</w:t>
            </w:r>
            <w:r w:rsidRPr="00E10CD4">
              <w:rPr>
                <w:iCs w:val="0"/>
              </w:rPr>
              <w:t xml:space="preserve">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17B60E6"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w:t>
            </w:r>
            <w:r w:rsidR="00111835">
              <w:rPr>
                <w:iCs/>
              </w:rPr>
              <w:t xml:space="preserve"> (CLRs)</w:t>
            </w:r>
            <w:r w:rsidRPr="0003648D">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53E7EE17" w:rsidR="00AB14DC" w:rsidRDefault="00AB14DC" w:rsidP="00D73591">
            <w:pPr>
              <w:pStyle w:val="BodyText"/>
            </w:pPr>
            <w:r w:rsidRPr="0003648D">
              <w:rPr>
                <w:iCs w:val="0"/>
              </w:rPr>
              <w:lastRenderedPageBreak/>
              <w:t>(9)</w:t>
            </w:r>
            <w:r w:rsidRPr="0003648D">
              <w:rPr>
                <w:iCs w:val="0"/>
              </w:rPr>
              <w:tab/>
              <w:t xml:space="preserve">ERCOT may revoke the Ancillary Service qualification of any Load Resource, excluding </w:t>
            </w:r>
            <w:r w:rsidR="00111835">
              <w:rPr>
                <w:iCs w:val="0"/>
              </w:rPr>
              <w:t>CLRs</w:t>
            </w:r>
            <w:r w:rsidRPr="0003648D">
              <w:rPr>
                <w:iCs w:val="0"/>
              </w:rPr>
              <w:t xml:space="preserve">,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w:t>
            </w:r>
            <w:r w:rsidRPr="0003648D">
              <w:rPr>
                <w:iCs/>
              </w:rPr>
              <w:lastRenderedPageBreak/>
              <w:t xml:space="preserve">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lastRenderedPageBreak/>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lastRenderedPageBreak/>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 xml:space="preserve">using a high-set under-frequency relay shall test the correct operation of the under-frequency relay or the output from the solid-state switch, whichever </w:t>
      </w:r>
      <w:r>
        <w:lastRenderedPageBreak/>
        <w:t>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lastRenderedPageBreak/>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w:t>
      </w:r>
      <w:r w:rsidR="00C450F5" w:rsidRPr="00967686">
        <w:lastRenderedPageBreak/>
        <w:t xml:space="preserve">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lastRenderedPageBreak/>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w:t>
      </w:r>
      <w:r>
        <w:lastRenderedPageBreak/>
        <w:t xml:space="preserve">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lastRenderedPageBreak/>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725FBC26"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F83AC5">
              <w:t>,</w:t>
            </w:r>
            <w:r w:rsidR="00E649F8">
              <w:t xml:space="preserve"> NPRR1014</w:t>
            </w:r>
            <w:r w:rsidR="00F83AC5">
              <w:t>, and NPRR1282</w:t>
            </w:r>
            <w:r>
              <w:t xml:space="preserve">:  Replace </w:t>
            </w:r>
            <w:r w:rsidR="00E649F8">
              <w:t xml:space="preserve">applicable portions of </w:t>
            </w:r>
            <w:r>
              <w:t xml:space="preserve">paragraph (6) above with the following </w:t>
            </w:r>
            <w:r w:rsidR="00E649F8">
              <w:t>upon system implementation of the Real-Time Co-Optimization (RTC) project for NPRR1011</w:t>
            </w:r>
            <w:r w:rsidR="00F83AC5">
              <w:t xml:space="preserve"> and NPRR1282</w:t>
            </w:r>
            <w:r w:rsidR="00E649F8">
              <w:t xml:space="preserve">; or </w:t>
            </w:r>
            <w:r>
              <w:t xml:space="preserve">upon system implementation </w:t>
            </w:r>
            <w:r w:rsidR="00E649F8">
              <w:t>for NPRR1014</w:t>
            </w:r>
            <w:r>
              <w:t>:]</w:t>
            </w:r>
          </w:p>
          <w:p w14:paraId="7ECA20F8" w14:textId="02B0781B" w:rsidR="002C6E23" w:rsidRPr="00F947D2" w:rsidRDefault="002C6E23" w:rsidP="002C6E23">
            <w:pPr>
              <w:spacing w:after="240"/>
              <w:ind w:left="720" w:hanging="720"/>
              <w:rPr>
                <w:iCs/>
              </w:rPr>
            </w:pPr>
            <w:r>
              <w:rPr>
                <w:iCs/>
              </w:rPr>
              <w:t>(5)</w:t>
            </w:r>
            <w:r>
              <w:rPr>
                <w:iCs/>
              </w:rPr>
              <w:tab/>
              <w:t xml:space="preserve">The maximum quantity of Reg-Up or Reg-Down that an individual Resource is qualified to provide is limited to the amount of Ancillary Service that can be sustained by the Resource for at least </w:t>
            </w:r>
            <w:r w:rsidR="00F83AC5">
              <w:rPr>
                <w:iCs/>
              </w:rPr>
              <w:t>30</w:t>
            </w:r>
            <w:r>
              <w:rPr>
                <w:iCs/>
              </w:rPr>
              <w:t xml:space="preserve"> minutes.</w:t>
            </w:r>
          </w:p>
        </w:tc>
      </w:tr>
    </w:tbl>
    <w:p w14:paraId="0FC3423F" w14:textId="2EAAFA55" w:rsidR="00581280" w:rsidRDefault="000963FF" w:rsidP="00D73591">
      <w:pPr>
        <w:pStyle w:val="H6"/>
        <w:spacing w:before="480"/>
      </w:pPr>
      <w:bookmarkStart w:id="83" w:name="_Toc162532141"/>
      <w:bookmarkStart w:id="84" w:name="_Hlk135907388"/>
      <w:r>
        <w:lastRenderedPageBreak/>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016D78D8" w:rsidR="00C450F5" w:rsidRPr="0003648D" w:rsidRDefault="00C450F5" w:rsidP="00C450F5">
      <w:pPr>
        <w:spacing w:after="240"/>
        <w:ind w:left="1440" w:hanging="720"/>
      </w:pPr>
      <w:r>
        <w:t>(c)</w:t>
      </w:r>
      <w:r>
        <w:tab/>
      </w:r>
      <w:r w:rsidRPr="0003648D">
        <w:t>Generation Resources operating in the synchronous condenser fast-response mode</w:t>
      </w:r>
      <w:r>
        <w:t>;</w:t>
      </w:r>
    </w:p>
    <w:p w14:paraId="0440A3FB" w14:textId="2FE34B4D" w:rsidR="00C86704" w:rsidRDefault="00C450F5" w:rsidP="00C450F5">
      <w:pPr>
        <w:spacing w:after="240"/>
        <w:ind w:left="1440" w:hanging="720"/>
        <w:rPr>
          <w:iCs/>
        </w:rPr>
      </w:pPr>
      <w:r w:rsidRPr="0003648D">
        <w:t>(</w:t>
      </w:r>
      <w:r w:rsidR="00C86704">
        <w:t>d</w:t>
      </w:r>
      <w:r w:rsidRPr="0003648D">
        <w:t>)</w:t>
      </w:r>
      <w:r w:rsidRPr="0003648D">
        <w:tab/>
      </w:r>
      <w:r w:rsidRPr="0003648D">
        <w:rPr>
          <w:iCs/>
        </w:rPr>
        <w:t>Load Resources controlled by high-set under-frequency relays</w:t>
      </w:r>
      <w:r w:rsidR="00C86704">
        <w:rPr>
          <w:iCs/>
        </w:rPr>
        <w:t>; and</w:t>
      </w:r>
    </w:p>
    <w:p w14:paraId="40785E1C" w14:textId="6A491EA1" w:rsidR="00C450F5" w:rsidRPr="0003648D" w:rsidRDefault="00C86704" w:rsidP="00C86704">
      <w:pPr>
        <w:spacing w:after="240"/>
        <w:ind w:left="1440" w:hanging="720"/>
      </w:pPr>
      <w:r>
        <w:rPr>
          <w:iCs/>
        </w:rPr>
        <w:t>(e)</w:t>
      </w:r>
      <w:r>
        <w:rPr>
          <w:iCs/>
        </w:rPr>
        <w:tab/>
        <w:t>Controllable Load Resources (CLRs)</w:t>
      </w:r>
      <w:r w:rsidR="00C450F5" w:rsidRPr="0003648D">
        <w:rPr>
          <w:iCs/>
        </w:rPr>
        <w:t>.</w:t>
      </w:r>
    </w:p>
    <w:p w14:paraId="64BF269F" w14:textId="7BEB1153"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w:t>
      </w:r>
      <w:r w:rsidR="00C86704">
        <w:t xml:space="preserve"> or CLRs</w:t>
      </w:r>
      <w:r w:rsidRPr="0003648D">
        <w:t xml:space="preserve"> is limited by the ERCOT-calculated maximum MW amount of </w:t>
      </w:r>
      <w:r>
        <w:t>RRS</w:t>
      </w:r>
      <w:r w:rsidRPr="0003648D">
        <w:t xml:space="preserve"> for the Generation Resource </w:t>
      </w:r>
      <w:r w:rsidR="00C86704">
        <w:t>or CLR</w:t>
      </w:r>
      <w:r w:rsidR="00C86704" w:rsidRPr="0003648D">
        <w:t xml:space="preserve"> </w:t>
      </w:r>
      <w:r w:rsidRPr="0003648D">
        <w:t xml:space="preserve">subject to its verified droop performance as described in the </w:t>
      </w:r>
      <w:r>
        <w:t xml:space="preserve">Nodal </w:t>
      </w:r>
      <w:r w:rsidRPr="0003648D">
        <w:t>Operating Guide</w:t>
      </w:r>
      <w:r>
        <w:t xml:space="preserve">.  </w:t>
      </w:r>
      <w:r w:rsidRPr="00AA35D6">
        <w:t xml:space="preserve">The default value for any newly qualified </w:t>
      </w:r>
      <w:r>
        <w:t xml:space="preserve">Generation Resource </w:t>
      </w:r>
      <w:r w:rsidR="00C86704">
        <w:t xml:space="preserve">or CLR </w:t>
      </w:r>
      <w:r>
        <w:t>shall be 20% of its HSL.  A Private Use Network with a registered Resource may use the gross HSL for qualification and establishing a limit on the amount of RRS capacity that the Resource within the Private Use Network can provide</w:t>
      </w:r>
      <w:r w:rsidRPr="0003648D">
        <w:t>.</w:t>
      </w:r>
    </w:p>
    <w:p w14:paraId="5F3F290B" w14:textId="77777777" w:rsidR="00C86704" w:rsidRPr="0003648D" w:rsidRDefault="00C86704" w:rsidP="00C86704">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1439826C" w14:textId="32C28FB0" w:rsidR="00C450F5" w:rsidRPr="0003648D" w:rsidRDefault="00C450F5" w:rsidP="00C450F5">
      <w:pPr>
        <w:pStyle w:val="BodyText"/>
      </w:pPr>
      <w:r w:rsidRPr="0003648D">
        <w:t>(</w:t>
      </w:r>
      <w:r w:rsidR="00C86704">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7D4D28D8" w14:textId="2B12AD93" w:rsidR="00C450F5" w:rsidRPr="0003648D" w:rsidRDefault="00C450F5" w:rsidP="00C450F5">
      <w:pPr>
        <w:pStyle w:val="BodyText"/>
        <w:tabs>
          <w:tab w:val="left" w:pos="990"/>
        </w:tabs>
      </w:pPr>
      <w:r w:rsidRPr="0003648D">
        <w:t>(</w:t>
      </w:r>
      <w:r w:rsidR="00B46015">
        <w:t>5</w:t>
      </w:r>
      <w:r w:rsidRPr="0003648D">
        <w:t>)</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1A5BD368" w:rsidR="00C450F5" w:rsidRDefault="00C450F5" w:rsidP="00C450F5">
      <w:pPr>
        <w:pStyle w:val="BodyText"/>
        <w:tabs>
          <w:tab w:val="left" w:pos="990"/>
        </w:tabs>
      </w:pPr>
      <w:r w:rsidRPr="0003648D">
        <w:t>(</w:t>
      </w:r>
      <w:r w:rsidR="00B46015">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2A6CC7E0" w:rsidR="00C450F5" w:rsidRPr="00C72272" w:rsidRDefault="00C450F5" w:rsidP="00C450F5">
      <w:pPr>
        <w:spacing w:after="240"/>
        <w:ind w:left="720" w:hanging="720"/>
      </w:pPr>
      <w:r>
        <w:t>(</w:t>
      </w:r>
      <w:r w:rsidR="00B46015">
        <w:t>7</w:t>
      </w:r>
      <w:r w:rsidRPr="0003648D">
        <w:t>)</w:t>
      </w:r>
      <w:r w:rsidRPr="0003648D">
        <w:tab/>
        <w:t xml:space="preserve">Generation Resources </w:t>
      </w:r>
      <w:r>
        <w:t>providing RRS shall have their G</w:t>
      </w:r>
      <w:r w:rsidRPr="0003648D">
        <w:t>overnors in service.</w:t>
      </w:r>
    </w:p>
    <w:p w14:paraId="4F69BC01" w14:textId="310206A4" w:rsidR="00C450F5" w:rsidRPr="0003648D" w:rsidRDefault="00C450F5" w:rsidP="00C450F5">
      <w:pPr>
        <w:pStyle w:val="BodyText"/>
        <w:tabs>
          <w:tab w:val="left" w:pos="990"/>
        </w:tabs>
      </w:pPr>
      <w:r w:rsidRPr="0003648D">
        <w:t>(</w:t>
      </w:r>
      <w:r w:rsidR="00B46015">
        <w:t>8</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18F58AB8" w:rsidR="00C450F5" w:rsidRDefault="00C450F5" w:rsidP="00C450F5">
      <w:pPr>
        <w:pStyle w:val="BodyText"/>
        <w:tabs>
          <w:tab w:val="left" w:pos="990"/>
        </w:tabs>
      </w:pPr>
      <w:r w:rsidRPr="0003648D">
        <w:t>(</w:t>
      </w:r>
      <w:r w:rsidR="00B46015">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p w14:paraId="458803A6" w14:textId="77777777" w:rsidR="00B46015" w:rsidRDefault="00B46015" w:rsidP="00B46015">
      <w:pPr>
        <w:pStyle w:val="BodyText"/>
        <w:tabs>
          <w:tab w:val="left" w:pos="990"/>
        </w:tabs>
      </w:pPr>
      <w:r>
        <w:lastRenderedPageBreak/>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0E00D7BE" w14:textId="77777777" w:rsidR="00B46015" w:rsidRDefault="00B46015" w:rsidP="00B46015">
      <w:pPr>
        <w:pStyle w:val="List"/>
        <w:tabs>
          <w:tab w:val="left" w:pos="1440"/>
        </w:tabs>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51613EBB" w14:textId="77777777" w:rsidR="00B46015" w:rsidRDefault="00B46015" w:rsidP="00B46015">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1AB07A4E" w14:textId="1A5359A3" w:rsidR="00B46015" w:rsidRDefault="00B46015" w:rsidP="00B46015">
      <w:pPr>
        <w:pStyle w:val="List"/>
      </w:pPr>
      <w:r>
        <w:t>(c)</w:t>
      </w:r>
      <w:r>
        <w:tab/>
        <w:t>For C</w:t>
      </w:r>
      <w:r w:rsidR="009404EC">
        <w:t>LR</w:t>
      </w:r>
      <w:r>
        <w:t>s desiring qualification to provide RRS, ERCOT shall send a signal to the Resource’s QSE to deploy RRS indicating the MW amount.  ERCOT shall measure the test Resource’s response as described under Section 8.1.1.4.2.  ERCOT shall evaluate the response of the C</w:t>
      </w:r>
      <w:r w:rsidR="009404EC">
        <w:t>LR</w:t>
      </w:r>
      <w:r>
        <w:t xml:space="preserve"> given the current operating conditions of the system and determine the C</w:t>
      </w:r>
      <w:r w:rsidR="009404EC">
        <w:t>LR</w:t>
      </w:r>
      <w:r>
        <w:t xml:space="preserve">’s qualification to provide RRS.  </w:t>
      </w:r>
    </w:p>
    <w:p w14:paraId="7F50CB2A" w14:textId="247D73AF" w:rsidR="00B46015" w:rsidRDefault="00B46015" w:rsidP="00B46015">
      <w:pPr>
        <w:pStyle w:val="List"/>
      </w:pPr>
      <w:r>
        <w:t>(d)</w:t>
      </w:r>
      <w:r>
        <w:tab/>
        <w:t xml:space="preserve">For Load Resources, excluding </w:t>
      </w:r>
      <w:r w:rsidR="009404EC">
        <w:t>CLRs</w:t>
      </w:r>
      <w:r>
        <w:t>, desiring qualification to provide RRS, ERCOT shall deploy RRS indicating the MW amount.  ERCOT shall measure the test Resource’s response as described under Section 8.1.1.4.2.</w:t>
      </w:r>
    </w:p>
    <w:p w14:paraId="37A78251" w14:textId="109302C4" w:rsidR="00B46015" w:rsidRPr="0003648D" w:rsidRDefault="00B46015" w:rsidP="00B46015">
      <w:pPr>
        <w:pStyle w:val="List"/>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15A2F535"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F83AC5">
              <w:t>,</w:t>
            </w:r>
            <w:r w:rsidR="00CD6111">
              <w:t xml:space="preserve"> NPRR1014</w:t>
            </w:r>
            <w:r w:rsidR="00F83AC5">
              <w:t>, and NPRR1282</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rsidR="00F83AC5">
              <w:t xml:space="preserve"> and NPR1282</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lastRenderedPageBreak/>
              <w:t>(c)</w:t>
            </w:r>
            <w:r w:rsidRPr="00A359A3">
              <w:tab/>
              <w:t>Generation Resources operating in the synchronous condenser fast-response mode;</w:t>
            </w:r>
          </w:p>
          <w:p w14:paraId="196E122C" w14:textId="4F545D69"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w:t>
            </w:r>
          </w:p>
          <w:p w14:paraId="354F3C52" w14:textId="7396C8F4" w:rsidR="00B46015" w:rsidRDefault="00B46015" w:rsidP="00B46015">
            <w:pPr>
              <w:spacing w:after="240"/>
              <w:ind w:left="1440" w:hanging="720"/>
              <w:rPr>
                <w:iCs/>
              </w:rPr>
            </w:pPr>
            <w:r>
              <w:rPr>
                <w:iCs/>
              </w:rPr>
              <w:t>(e)</w:t>
            </w:r>
            <w:r w:rsidRPr="00E10C0F">
              <w:tab/>
            </w:r>
            <w:r>
              <w:rPr>
                <w:iCs/>
              </w:rPr>
              <w:t>Controllable Load Resources (CLRs); and</w:t>
            </w:r>
          </w:p>
          <w:p w14:paraId="09333EE9" w14:textId="230B00A9" w:rsidR="00452059" w:rsidRPr="00A359A3" w:rsidRDefault="00CD6111" w:rsidP="00CD6111">
            <w:pPr>
              <w:spacing w:after="240"/>
              <w:ind w:left="1440" w:hanging="720"/>
            </w:pPr>
            <w:r w:rsidRPr="00A552C3">
              <w:rPr>
                <w:iCs/>
              </w:rPr>
              <w:t>(</w:t>
            </w:r>
            <w:r w:rsidR="00B46015">
              <w:rPr>
                <w:iCs/>
              </w:rPr>
              <w:t>f</w:t>
            </w:r>
            <w:r w:rsidRPr="00A552C3">
              <w:rPr>
                <w:iCs/>
              </w:rPr>
              <w:t>)</w:t>
            </w:r>
            <w:r w:rsidRPr="00A552C3">
              <w:tab/>
              <w:t>Energy Storage Resources (ESRs)</w:t>
            </w:r>
            <w:r w:rsidR="00452059" w:rsidRPr="00A359A3">
              <w:rPr>
                <w:iCs/>
              </w:rPr>
              <w:t>.</w:t>
            </w:r>
          </w:p>
          <w:p w14:paraId="0E0132F6" w14:textId="7662B111" w:rsidR="00452059" w:rsidRPr="00A359A3" w:rsidRDefault="00452059" w:rsidP="00CD6111">
            <w:pPr>
              <w:spacing w:after="240"/>
              <w:ind w:left="720" w:hanging="720"/>
            </w:pPr>
            <w:r w:rsidRPr="00A359A3">
              <w:t>(2)</w:t>
            </w:r>
            <w:r w:rsidRPr="00A359A3">
              <w:tab/>
              <w:t>The amount of RRS provided by individual Generation Resources</w:t>
            </w:r>
            <w:r w:rsidR="00B46015">
              <w:t>, CLRs,</w:t>
            </w:r>
            <w:r w:rsidR="00CD6111">
              <w:t xml:space="preserve"> or ESRs</w:t>
            </w:r>
            <w:r w:rsidRPr="00A359A3">
              <w:t xml:space="preserve"> is limited by the ERCOT-calculated maximum MW amount of RRS for the Generation Resource</w:t>
            </w:r>
            <w:r w:rsidR="00B46015">
              <w:t>, CLR,</w:t>
            </w:r>
            <w:r w:rsidRPr="00A359A3">
              <w:t xml:space="preserve"> </w:t>
            </w:r>
            <w:r w:rsidR="00CD6111">
              <w:t xml:space="preserve">or ESR </w:t>
            </w:r>
            <w:r w:rsidRPr="00A359A3">
              <w:t>subject to its verified droop performance as described in the Nodal Operating Guide.  The default value for any newly qualified Generation Resource</w:t>
            </w:r>
            <w:r w:rsidR="00B46015">
              <w:t>, CLR,</w:t>
            </w:r>
            <w:r w:rsidRPr="00A359A3">
              <w:t xml:space="preserv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40380068" w14:textId="77777777" w:rsidR="00B46015" w:rsidRPr="00A359A3" w:rsidRDefault="00B46015" w:rsidP="00B46015">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5F0CB153" w14:textId="6CCD2394" w:rsidR="00452059" w:rsidRPr="00A359A3" w:rsidRDefault="00452059" w:rsidP="00452059">
            <w:pPr>
              <w:spacing w:after="240"/>
              <w:ind w:left="720" w:hanging="720"/>
            </w:pPr>
            <w:r w:rsidRPr="00A359A3">
              <w:t>(</w:t>
            </w:r>
            <w:r w:rsidR="00B46015">
              <w:t>4</w:t>
            </w:r>
            <w:r w:rsidRPr="00A359A3">
              <w:t>)</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262C5F76" w:rsidR="00452059" w:rsidRPr="00A359A3" w:rsidRDefault="00452059" w:rsidP="00CD6111">
            <w:pPr>
              <w:tabs>
                <w:tab w:val="left" w:pos="990"/>
              </w:tabs>
              <w:spacing w:after="240"/>
              <w:ind w:left="720" w:hanging="720"/>
            </w:pPr>
            <w:r w:rsidRPr="00A359A3">
              <w:t>(</w:t>
            </w:r>
            <w:r w:rsidR="00B46015">
              <w:t>5</w:t>
            </w:r>
            <w:r w:rsidRPr="00A359A3">
              <w:t>)</w:t>
            </w:r>
            <w:r w:rsidRPr="00A359A3">
              <w:tab/>
              <w:t xml:space="preserve">Resources capable of FFR providing RRS must provide a telemetered output signal, including breaker status and status of the frequency detection device. </w:t>
            </w:r>
          </w:p>
          <w:p w14:paraId="46FE305A" w14:textId="05C60C09" w:rsidR="00452059" w:rsidRPr="00A359A3" w:rsidRDefault="00452059" w:rsidP="00452059">
            <w:pPr>
              <w:tabs>
                <w:tab w:val="left" w:pos="990"/>
              </w:tabs>
              <w:spacing w:before="120" w:after="120"/>
              <w:ind w:left="720" w:hanging="720"/>
            </w:pPr>
            <w:r w:rsidRPr="00A359A3">
              <w:t>(</w:t>
            </w:r>
            <w:r w:rsidR="0009733B">
              <w:t>6</w:t>
            </w:r>
            <w:r w:rsidRPr="00A359A3">
              <w:t>)</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7972F7C9" w:rsidR="00452059" w:rsidRPr="00A359A3" w:rsidRDefault="00452059" w:rsidP="00452059">
            <w:pPr>
              <w:spacing w:after="240"/>
              <w:ind w:left="720" w:hanging="720"/>
            </w:pPr>
            <w:r w:rsidRPr="00A359A3">
              <w:t>(</w:t>
            </w:r>
            <w:r w:rsidR="0009733B">
              <w:t>7</w:t>
            </w:r>
            <w:r w:rsidRPr="00A359A3">
              <w:t>)</w:t>
            </w:r>
            <w:r w:rsidRPr="00A359A3">
              <w:tab/>
              <w:t xml:space="preserve">Generation Resources </w:t>
            </w:r>
            <w:r w:rsidR="007956CD">
              <w:t>offering to provide</w:t>
            </w:r>
            <w:r w:rsidRPr="00A359A3">
              <w:t xml:space="preserve"> RRS shall have their Governors in service.</w:t>
            </w:r>
          </w:p>
          <w:p w14:paraId="161AE92F" w14:textId="44E9A983" w:rsidR="00452059" w:rsidRPr="00A359A3" w:rsidRDefault="00452059" w:rsidP="00452059">
            <w:pPr>
              <w:spacing w:after="240"/>
              <w:ind w:left="720" w:hanging="720"/>
            </w:pPr>
            <w:r w:rsidRPr="00A359A3">
              <w:t>(</w:t>
            </w:r>
            <w:r w:rsidR="0009733B">
              <w:t>8</w:t>
            </w:r>
            <w:r w:rsidRPr="00A359A3">
              <w:t>)</w:t>
            </w:r>
            <w:r w:rsidRPr="00A359A3">
              <w:tab/>
              <w:t xml:space="preserve">Generation Resources and Resources capable of FFR providing RRS shall have a Governor droop setting that is no greater than 5.0%.  </w:t>
            </w:r>
          </w:p>
          <w:p w14:paraId="55B18523" w14:textId="0C08465D" w:rsidR="00452059" w:rsidRDefault="00452059" w:rsidP="00452059">
            <w:pPr>
              <w:tabs>
                <w:tab w:val="left" w:pos="1440"/>
              </w:tabs>
              <w:spacing w:after="240"/>
              <w:ind w:left="720" w:hanging="720"/>
            </w:pPr>
            <w:r w:rsidRPr="00A359A3">
              <w:t>(</w:t>
            </w:r>
            <w:r w:rsidR="0009733B">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6AEC7B14" w14:textId="7F598101" w:rsidR="007956CD" w:rsidRDefault="007956CD" w:rsidP="00452059">
            <w:pPr>
              <w:tabs>
                <w:tab w:val="left" w:pos="1440"/>
              </w:tabs>
              <w:spacing w:after="240"/>
              <w:ind w:left="720" w:hanging="720"/>
              <w:rPr>
                <w:iCs/>
              </w:rPr>
            </w:pPr>
            <w:r>
              <w:rPr>
                <w:iCs/>
              </w:rPr>
              <w:t>(</w:t>
            </w:r>
            <w:r w:rsidR="0009733B">
              <w:rPr>
                <w:iCs/>
              </w:rPr>
              <w:t>10</w:t>
            </w:r>
            <w:r>
              <w:rPr>
                <w:iCs/>
              </w:rPr>
              <w:t>)</w:t>
            </w:r>
            <w:r>
              <w:rPr>
                <w:iCs/>
              </w:rPr>
              <w:tab/>
              <w:t xml:space="preserve">For Resources providing RRS and available for dispatch by SCED, the maximum quantity of RRS that a Resource is qualified to provide is limited to the amount of RRS that can be sustained by the Resource for at least </w:t>
            </w:r>
            <w:r w:rsidR="00F83AC5">
              <w:rPr>
                <w:iCs/>
              </w:rPr>
              <w:t>30</w:t>
            </w:r>
            <w:r>
              <w:rPr>
                <w:iCs/>
              </w:rPr>
              <w:t xml:space="preserve"> minutes.  For all other Resources excluding non-</w:t>
            </w:r>
            <w:r w:rsidR="006A3C46">
              <w:rPr>
                <w:iCs/>
              </w:rPr>
              <w:t>CLRs</w:t>
            </w:r>
            <w:r>
              <w:rPr>
                <w:iCs/>
              </w:rPr>
              <w:t xml:space="preserve"> providing FFR, the maximum quantity of RRS that a Resource is </w:t>
            </w:r>
            <w:r>
              <w:rPr>
                <w:iCs/>
              </w:rPr>
              <w:lastRenderedPageBreak/>
              <w:t>qualified to provide is limited to the amount of RRS that can be sustained by the Resource for at least one hour.  The maximum quantity of FFR that any non-</w:t>
            </w:r>
            <w:r w:rsidR="006A3C46">
              <w:rPr>
                <w:iCs/>
              </w:rPr>
              <w:t>CLR</w:t>
            </w:r>
            <w:r>
              <w:rPr>
                <w:iCs/>
              </w:rPr>
              <w:t xml:space="preserve"> qualified to provide FFR is limited to the amount of FFR that can be sustained by the Resource for at least 15 minutes.</w:t>
            </w:r>
          </w:p>
          <w:p w14:paraId="2B915174" w14:textId="77777777" w:rsidR="0009733B" w:rsidRDefault="0009733B" w:rsidP="00ED5780">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the QSE.  ERCOT shall administer the following test requirements:</w:t>
            </w:r>
          </w:p>
          <w:p w14:paraId="00EEAB28" w14:textId="77777777" w:rsidR="0009733B" w:rsidRDefault="0009733B" w:rsidP="0009733B">
            <w:pPr>
              <w:pStyle w:val="List"/>
              <w:tabs>
                <w:tab w:val="left" w:pos="1440"/>
              </w:tabs>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5F28D31A" w14:textId="77777777" w:rsidR="0009733B" w:rsidRDefault="0009733B" w:rsidP="0009733B">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3C3787C7" w14:textId="2AD466A8" w:rsidR="0009733B" w:rsidRDefault="0009733B" w:rsidP="0009733B">
            <w:pPr>
              <w:pStyle w:val="List"/>
            </w:pPr>
            <w:r>
              <w:t>(c)</w:t>
            </w:r>
            <w:r>
              <w:tab/>
              <w:t xml:space="preserve">For </w:t>
            </w:r>
            <w:r w:rsidR="009404EC">
              <w:t>CLR</w:t>
            </w:r>
            <w:r>
              <w:t xml:space="preserve">s desiring qualification to provide RRS, ERCOT shall send a signal to the Resource’s QSE to deploy RRS indicating the MW amount.  ERCOT shall measure the test Resource’s response as described under Section 8.1.1.4.2.  ERCOT shall evaluate the response of the </w:t>
            </w:r>
            <w:r w:rsidR="00ED5780">
              <w:t>CLR</w:t>
            </w:r>
            <w:r>
              <w:t xml:space="preserve"> given the current operating conditions of the system and determine the </w:t>
            </w:r>
            <w:r w:rsidR="00ED5780">
              <w:t>CLR</w:t>
            </w:r>
            <w:r>
              <w:t xml:space="preserve">’s qualification to provide RRS.  </w:t>
            </w:r>
          </w:p>
          <w:p w14:paraId="3960C1D9" w14:textId="62276A60" w:rsidR="0009733B" w:rsidRDefault="0009733B" w:rsidP="0009733B">
            <w:pPr>
              <w:pStyle w:val="List"/>
            </w:pPr>
            <w:r>
              <w:t>(d)</w:t>
            </w:r>
            <w:r>
              <w:tab/>
              <w:t xml:space="preserve">For Load Resources, excluding </w:t>
            </w:r>
            <w:r w:rsidR="006A3C46">
              <w:t>CLRs</w:t>
            </w:r>
            <w:r>
              <w:t>, desiring qualification to provide RRS, ERCOT shall deploy RRS indicating the MW amount.  ERCOT shall measure the test Resource’s response as described under Section 8.1.1.4.2.</w:t>
            </w:r>
          </w:p>
          <w:p w14:paraId="21705DDC" w14:textId="4FF97287" w:rsidR="0009733B" w:rsidRPr="00452059" w:rsidRDefault="0009733B" w:rsidP="0009733B">
            <w:pPr>
              <w:pStyle w:val="List"/>
            </w:pPr>
            <w:r>
              <w:t>(e)</w:t>
            </w:r>
            <w:r>
              <w:tab/>
              <w:t>On successful demonstration of all test criteria, ERCOT shall qualify that the Resource is capable of providing RRS and shall provide a copy of the certificate to the QSE and the Resource Entity.</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 xml:space="preserve">Each Resource providing Non-Spin must be capable of being synchronized and ramped to its Ancillary Service Schedule for Non-Spin within 30 minutes.  Non-Spin may be provided from Generation Resource capacity that can ramp within 30 minutes or Load </w:t>
      </w:r>
      <w:r>
        <w:lastRenderedPageBreak/>
        <w:t>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7554C9AE"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t>[NPRR1011</w:t>
            </w:r>
            <w:r w:rsidR="00F83AC5">
              <w:t>,</w:t>
            </w:r>
            <w:r w:rsidR="006E4B88">
              <w:t xml:space="preserve"> NPRR1270</w:t>
            </w:r>
            <w:r w:rsidR="00F83AC5">
              <w:t>, and NPRR1282</w:t>
            </w:r>
            <w:r>
              <w:t>: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lastRenderedPageBreak/>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49AE322" w:rsidR="007956CD" w:rsidRPr="00497B63" w:rsidRDefault="007956CD" w:rsidP="007956CD">
            <w:pPr>
              <w:spacing w:after="240"/>
              <w:ind w:left="720" w:hanging="720"/>
              <w:rPr>
                <w:iCs/>
              </w:rPr>
            </w:pPr>
            <w:r>
              <w:rPr>
                <w:iCs/>
              </w:rPr>
              <w:t>(2)</w:t>
            </w:r>
            <w:r>
              <w:rPr>
                <w:iCs/>
              </w:rPr>
              <w:tab/>
              <w:t xml:space="preserve">Resources </w:t>
            </w:r>
            <w:r w:rsidR="006E4B88">
              <w:rPr>
                <w:iCs/>
              </w:rPr>
              <w:t>are required to undergo a qualification test</w:t>
            </w:r>
            <w:r>
              <w:rPr>
                <w:iCs/>
              </w:rPr>
              <w:t xml:space="preserve"> to provide Non-Spin when the Resource is On-Line</w:t>
            </w:r>
            <w:r w:rsidR="006E4B88">
              <w:rPr>
                <w:iCs/>
              </w:rPr>
              <w:t>, which shall at least include the ability to provide applicable telemetry and market submissions</w:t>
            </w:r>
            <w:r>
              <w:rPr>
                <w:iCs/>
              </w:rPr>
              <w:t>.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651E421D"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w:t>
            </w:r>
            <w:r w:rsidR="004536FA">
              <w:t xml:space="preserve"> </w:t>
            </w:r>
            <w:r w:rsidRPr="00497B63">
              <w:t xml:space="preserve">ERCOT shall administer the following test requirements. </w:t>
            </w:r>
          </w:p>
          <w:p w14:paraId="5FDB8A9D" w14:textId="47B8C86B" w:rsidR="007956CD" w:rsidRPr="00497B63" w:rsidRDefault="007956CD" w:rsidP="007956CD">
            <w:pPr>
              <w:spacing w:after="240"/>
              <w:ind w:left="1440" w:hanging="720"/>
            </w:pPr>
            <w:r w:rsidRPr="00497B63">
              <w:t>(a)</w:t>
            </w:r>
            <w:r w:rsidRPr="00497B63">
              <w:tab/>
              <w:t xml:space="preserve">At any time during the window (selected by ERCOT when market and reliability conditions </w:t>
            </w:r>
            <w:proofErr w:type="gramStart"/>
            <w:r w:rsidRPr="00497B63">
              <w:t>allow</w:t>
            </w:r>
            <w:proofErr w:type="gramEnd"/>
            <w:r w:rsidRPr="00497B63">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 xml:space="preserve">during the test window, ERCOT shall send a message to the QSE representing a Resource to deploy Non-Spin.  ERCOT shall measure the test Resource’s response as described under Section 8.1.1.4.3, </w:t>
            </w:r>
            <w:r w:rsidRPr="00497B63">
              <w:lastRenderedPageBreak/>
              <w:t>Non-Spinning Reserve Service Energy Deployment Criteria.  ERCOT shall evaluate the response of the Resource given the current operating conditions of the system and determine the Resource’s qualification to provide Non-Spin.</w:t>
            </w:r>
          </w:p>
          <w:p w14:paraId="535D78D5" w14:textId="25BC7F54" w:rsidR="007956CD" w:rsidRPr="00D30081" w:rsidRDefault="007956CD" w:rsidP="007956CD">
            <w:pPr>
              <w:spacing w:after="240"/>
              <w:ind w:left="720" w:hanging="720"/>
            </w:pPr>
            <w:r>
              <w:t>(8)</w:t>
            </w:r>
            <w:r>
              <w:tab/>
            </w:r>
            <w:r>
              <w:rPr>
                <w:iCs/>
              </w:rPr>
              <w:t xml:space="preserve">The maximum quantity of Non-Spin that an individual Resource is qualified to provide is limited to the amount of Non-Spin that can be sustained by the Resource for at least </w:t>
            </w:r>
            <w:r w:rsidR="00F83AC5">
              <w:rPr>
                <w:iCs/>
              </w:rPr>
              <w:t>four</w:t>
            </w:r>
            <w:r>
              <w:rPr>
                <w:iCs/>
              </w:rPr>
              <w:t xml:space="preserve"> hour</w:t>
            </w:r>
            <w:r w:rsidR="00F83AC5">
              <w:rPr>
                <w:iCs/>
              </w:rPr>
              <w:t>s</w:t>
            </w:r>
            <w:r>
              <w:rPr>
                <w:iCs/>
              </w:rPr>
              <w:t>.</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lastRenderedPageBreak/>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w:t>
      </w:r>
      <w:r w:rsidR="000963FF">
        <w:lastRenderedPageBreak/>
        <w:t xml:space="preserve">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lastRenderedPageBreak/>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lastRenderedPageBreak/>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lastRenderedPageBreak/>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 xml:space="preserve">The Black Start Resource Availability Test shall be scheduled by ERCOT.  Upon receipt of notification for a Black Start Resource Availability Test, the QSE representing the </w:t>
      </w:r>
      <w:r w:rsidRPr="006D062D">
        <w:rPr>
          <w:iCs/>
        </w:rPr>
        <w:lastRenderedPageBreak/>
        <w:t>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w:t>
      </w:r>
      <w:r w:rsidRPr="006D062D">
        <w:lastRenderedPageBreak/>
        <w:t>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lastRenderedPageBreak/>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w:t>
      </w:r>
      <w:r w:rsidRPr="00DF6D6B">
        <w:lastRenderedPageBreak/>
        <w:t xml:space="preserve">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w:t>
      </w:r>
      <w:r w:rsidRPr="00DF6D6B">
        <w:lastRenderedPageBreak/>
        <w:t>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lastRenderedPageBreak/>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04529373" w:rsidR="00715D6F" w:rsidRDefault="00715D6F" w:rsidP="006C5AF9">
      <w:pPr>
        <w:spacing w:after="240"/>
        <w:ind w:left="720" w:hanging="720"/>
      </w:pPr>
      <w:r w:rsidRPr="000F34C4">
        <w:rPr>
          <w:szCs w:val="24"/>
        </w:rPr>
        <w:t>(</w:t>
      </w:r>
      <w:r w:rsidR="00FF6786">
        <w:rPr>
          <w:szCs w:val="24"/>
        </w:rPr>
        <w:t>9</w:t>
      </w:r>
      <w:r w:rsidRPr="000F34C4">
        <w:rPr>
          <w:szCs w:val="24"/>
        </w:rPr>
        <w:t>)</w:t>
      </w:r>
      <w:r w:rsidRPr="000F34C4">
        <w:rPr>
          <w:szCs w:val="24"/>
        </w:rPr>
        <w:tab/>
      </w:r>
      <w:r w:rsidR="002B6630" w:rsidRPr="00E5321E">
        <w:t xml:space="preserve">If the FFSSR is not available for the hours for which ERCOT has issued a Watch for winter weather, ERCOT shall claw back and/or withhold the FFSS Hourly Standby Fee for </w:t>
      </w:r>
      <w:r w:rsidR="00A56ABF">
        <w:t>a</w:t>
      </w:r>
      <w:r w:rsidR="00BA0A6A">
        <w:t xml:space="preserve"> number of</w:t>
      </w:r>
      <w:r w:rsidR="002B6630" w:rsidRPr="00E5321E">
        <w:t xml:space="preserve"> days</w:t>
      </w:r>
      <w:r w:rsidR="00BA0A6A">
        <w:t xml:space="preserve"> </w:t>
      </w:r>
      <w:r w:rsidR="00BA0A6A" w:rsidRPr="0022407D">
        <w:t>as calculated below</w:t>
      </w:r>
      <w:r w:rsidR="002B6630" w:rsidRPr="00E5321E">
        <w:t>,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r w:rsidR="00BA0A6A" w:rsidRPr="00BA0A6A">
        <w:t xml:space="preserve"> </w:t>
      </w:r>
      <w:r w:rsidR="00BA0A6A">
        <w:t xml:space="preserve"> </w:t>
      </w:r>
      <w:r w:rsidR="00BA0A6A" w:rsidRPr="0022407D">
        <w:t>The number of days subject to claw back and/or withholding is calculated as follows</w:t>
      </w:r>
      <w:r w:rsidR="00BA0A6A">
        <w:t>:</w:t>
      </w:r>
    </w:p>
    <w:p w14:paraId="0EBA8717" w14:textId="77777777" w:rsidR="00BA0A6A" w:rsidRPr="0022407D" w:rsidRDefault="00BA0A6A" w:rsidP="00BA0A6A">
      <w:pPr>
        <w:spacing w:after="240"/>
        <w:ind w:left="720"/>
        <w:rPr>
          <w:iCs/>
        </w:rPr>
      </w:pPr>
      <w:r w:rsidRPr="0022407D">
        <w:rPr>
          <w:iCs/>
        </w:rPr>
        <w:lastRenderedPageBreak/>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p>
    <w:p w14:paraId="24DD2FA2" w14:textId="77777777" w:rsidR="00BA0A6A" w:rsidRPr="0022407D" w:rsidRDefault="00BA0A6A" w:rsidP="00BA0A6A">
      <w:pPr>
        <w:spacing w:after="240"/>
        <w:ind w:left="720"/>
      </w:pPr>
      <w:r w:rsidRPr="0022407D">
        <w:t>Where:</w:t>
      </w:r>
    </w:p>
    <w:p w14:paraId="54792F1E" w14:textId="77777777" w:rsidR="00BA0A6A" w:rsidRPr="0022407D" w:rsidRDefault="00BA0A6A" w:rsidP="00BA0A6A">
      <w:pPr>
        <w:spacing w:after="240"/>
        <w:ind w:left="1440"/>
        <w:rPr>
          <w:iCs/>
        </w:rPr>
      </w:pPr>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p>
    <w:p w14:paraId="481186DD" w14:textId="77777777" w:rsidR="00BA0A6A" w:rsidRPr="0022407D" w:rsidRDefault="00BA0A6A" w:rsidP="00BA0A6A">
      <w:r w:rsidRPr="0022407D">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BA0A6A" w:rsidRPr="0022407D" w14:paraId="6676DA93" w14:textId="77777777" w:rsidTr="00AF0BEF">
        <w:trPr>
          <w:cantSplit/>
          <w:trHeight w:val="332"/>
          <w:tblHeader/>
        </w:trPr>
        <w:tc>
          <w:tcPr>
            <w:tcW w:w="1795" w:type="dxa"/>
            <w:tcBorders>
              <w:top w:val="single" w:sz="4" w:space="0" w:color="auto"/>
              <w:left w:val="single" w:sz="4" w:space="0" w:color="auto"/>
              <w:bottom w:val="single" w:sz="4" w:space="0" w:color="auto"/>
              <w:right w:val="single" w:sz="4" w:space="0" w:color="auto"/>
            </w:tcBorders>
            <w:hideMark/>
          </w:tcPr>
          <w:p w14:paraId="636F9484" w14:textId="77777777" w:rsidR="00BA0A6A" w:rsidRPr="0022407D" w:rsidRDefault="00BA0A6A" w:rsidP="00AF0BEF">
            <w:pPr>
              <w:spacing w:after="120"/>
              <w:rPr>
                <w:b/>
                <w:bCs/>
                <w:iCs/>
                <w:sz w:val="20"/>
              </w:rPr>
            </w:pPr>
            <w:r w:rsidRPr="0022407D">
              <w:rPr>
                <w:b/>
                <w:bCs/>
                <w:sz w:val="20"/>
              </w:rPr>
              <w:t>Variable</w:t>
            </w:r>
          </w:p>
        </w:tc>
        <w:tc>
          <w:tcPr>
            <w:tcW w:w="810" w:type="dxa"/>
            <w:tcBorders>
              <w:top w:val="single" w:sz="4" w:space="0" w:color="auto"/>
              <w:left w:val="single" w:sz="4" w:space="0" w:color="auto"/>
              <w:bottom w:val="single" w:sz="4" w:space="0" w:color="auto"/>
              <w:right w:val="single" w:sz="4" w:space="0" w:color="auto"/>
            </w:tcBorders>
            <w:hideMark/>
          </w:tcPr>
          <w:p w14:paraId="4AA169B0" w14:textId="77777777" w:rsidR="00BA0A6A" w:rsidRPr="0022407D" w:rsidRDefault="00BA0A6A" w:rsidP="00AF0BEF">
            <w:pPr>
              <w:spacing w:after="120"/>
              <w:rPr>
                <w:b/>
                <w:iCs/>
                <w:sz w:val="20"/>
              </w:rPr>
            </w:pPr>
            <w:r w:rsidRPr="0022407D">
              <w:rPr>
                <w:b/>
                <w:iCs/>
                <w:sz w:val="20"/>
              </w:rPr>
              <w:t>Unit</w:t>
            </w:r>
          </w:p>
        </w:tc>
        <w:tc>
          <w:tcPr>
            <w:tcW w:w="7207" w:type="dxa"/>
            <w:tcBorders>
              <w:top w:val="single" w:sz="4" w:space="0" w:color="auto"/>
              <w:left w:val="single" w:sz="4" w:space="0" w:color="auto"/>
              <w:bottom w:val="single" w:sz="4" w:space="0" w:color="auto"/>
              <w:right w:val="single" w:sz="4" w:space="0" w:color="auto"/>
            </w:tcBorders>
            <w:hideMark/>
          </w:tcPr>
          <w:p w14:paraId="2D6067B2" w14:textId="77777777" w:rsidR="00BA0A6A" w:rsidRPr="0022407D" w:rsidRDefault="00BA0A6A" w:rsidP="00AF0BEF">
            <w:pPr>
              <w:spacing w:after="120"/>
              <w:rPr>
                <w:b/>
                <w:iCs/>
                <w:sz w:val="20"/>
              </w:rPr>
            </w:pPr>
            <w:r w:rsidRPr="0022407D">
              <w:rPr>
                <w:b/>
                <w:iCs/>
                <w:sz w:val="20"/>
              </w:rPr>
              <w:t>Definition</w:t>
            </w:r>
          </w:p>
        </w:tc>
      </w:tr>
      <w:tr w:rsidR="00BA0A6A" w:rsidRPr="0022407D" w14:paraId="3EFBD10C"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8AC1B1B" w14:textId="77777777" w:rsidR="00BA0A6A" w:rsidRPr="0022407D" w:rsidRDefault="00BA0A6A" w:rsidP="00AF0BEF">
            <w:pPr>
              <w:spacing w:after="60"/>
              <w:rPr>
                <w:bCs/>
                <w:iCs/>
                <w:sz w:val="20"/>
              </w:rPr>
            </w:pPr>
            <w:r w:rsidRPr="0022407D">
              <w:rPr>
                <w:bCs/>
                <w:iCs/>
                <w:sz w:val="20"/>
              </w:rPr>
              <w:t xml:space="preserve">FFSSUFDW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hideMark/>
          </w:tcPr>
          <w:p w14:paraId="7D98D59D"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hideMark/>
          </w:tcPr>
          <w:p w14:paraId="6B47DD25" w14:textId="2FEBF7D9" w:rsidR="00BA0A6A" w:rsidRPr="0022407D" w:rsidRDefault="00BA0A6A" w:rsidP="00AF0BEF">
            <w:pPr>
              <w:spacing w:after="60"/>
              <w:rPr>
                <w:iCs/>
                <w:sz w:val="20"/>
              </w:rPr>
            </w:pPr>
            <w:r w:rsidRPr="0022407D">
              <w:rPr>
                <w:i/>
                <w:iCs/>
                <w:sz w:val="20"/>
              </w:rPr>
              <w:t>Firm Fuel Supply Service Unavailability Factor per QSE per Resource</w:t>
            </w:r>
            <w:r w:rsidRPr="0022407D">
              <w:rPr>
                <w:iCs/>
                <w:sz w:val="20"/>
              </w:rPr>
              <w:t xml:space="preserve">—The unavailability factor of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02BF3AE6"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8F95E5" w14:textId="77777777" w:rsidR="00BA0A6A" w:rsidRPr="0022407D" w:rsidRDefault="00BA0A6A" w:rsidP="00AF0BEF">
            <w:pPr>
              <w:spacing w:after="60"/>
              <w:rPr>
                <w:bCs/>
                <w:iCs/>
                <w:sz w:val="20"/>
              </w:rPr>
            </w:pPr>
            <w:r w:rsidRPr="0022407D">
              <w:rPr>
                <w:bCs/>
                <w:iCs/>
                <w:sz w:val="20"/>
              </w:rPr>
              <w:t xml:space="preserve">FFSSUHDW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6876588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tcPr>
          <w:p w14:paraId="1F2FAAFC" w14:textId="6A262800" w:rsidR="00BA0A6A" w:rsidRPr="0022407D" w:rsidRDefault="00BA0A6A" w:rsidP="00AF0BEF">
            <w:pPr>
              <w:spacing w:after="60"/>
              <w:rPr>
                <w:i/>
                <w:iCs/>
                <w:sz w:val="20"/>
              </w:rPr>
            </w:pPr>
            <w:r w:rsidRPr="0022407D">
              <w:rPr>
                <w:i/>
                <w:iCs/>
                <w:sz w:val="20"/>
              </w:rPr>
              <w:t>Firm Fuel Supply Service Unavailable Hours per QSE per Resource</w:t>
            </w:r>
            <w:r w:rsidRPr="0022407D">
              <w:rPr>
                <w:iCs/>
                <w:sz w:val="20"/>
              </w:rPr>
              <w:t xml:space="preserve">—The number of hours that the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2B4DA6FE"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D43499D" w14:textId="77777777" w:rsidR="00BA0A6A" w:rsidRPr="0022407D" w:rsidRDefault="00BA0A6A" w:rsidP="00AF0BEF">
            <w:pPr>
              <w:spacing w:after="60"/>
              <w:rPr>
                <w:bCs/>
                <w:iCs/>
                <w:sz w:val="20"/>
              </w:rPr>
            </w:pPr>
            <w:r w:rsidRPr="0022407D">
              <w:rPr>
                <w:bCs/>
                <w:iCs/>
                <w:sz w:val="20"/>
              </w:rPr>
              <w:t>FFSSDW</w:t>
            </w:r>
          </w:p>
        </w:tc>
        <w:tc>
          <w:tcPr>
            <w:tcW w:w="810" w:type="dxa"/>
            <w:tcBorders>
              <w:top w:val="single" w:sz="4" w:space="0" w:color="auto"/>
              <w:left w:val="single" w:sz="4" w:space="0" w:color="auto"/>
              <w:bottom w:val="single" w:sz="4" w:space="0" w:color="auto"/>
              <w:right w:val="single" w:sz="4" w:space="0" w:color="auto"/>
            </w:tcBorders>
            <w:hideMark/>
          </w:tcPr>
          <w:p w14:paraId="196C17D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hideMark/>
          </w:tcPr>
          <w:p w14:paraId="62DBF4DD" w14:textId="7597E034" w:rsidR="00BA0A6A" w:rsidRPr="0022407D" w:rsidRDefault="00BA0A6A" w:rsidP="00AF0BEF">
            <w:pPr>
              <w:spacing w:after="60"/>
              <w:rPr>
                <w:i/>
                <w:iCs/>
                <w:sz w:val="20"/>
              </w:rPr>
            </w:pPr>
            <w:r w:rsidRPr="0022407D">
              <w:rPr>
                <w:i/>
                <w:iCs/>
                <w:sz w:val="20"/>
              </w:rPr>
              <w:t>Firm Fuel Supply Service Duration of a Watch for Winter Weather</w:t>
            </w:r>
            <w:r w:rsidRPr="0022407D">
              <w:rPr>
                <w:iCs/>
                <w:sz w:val="20"/>
              </w:rPr>
              <w:t xml:space="preserve">—The duration of a Watch for </w:t>
            </w:r>
            <w:r w:rsidR="00BB23B3">
              <w:rPr>
                <w:iCs/>
                <w:sz w:val="20"/>
              </w:rPr>
              <w:t>w</w:t>
            </w:r>
            <w:r w:rsidRPr="0022407D">
              <w:rPr>
                <w:iCs/>
                <w:sz w:val="20"/>
              </w:rPr>
              <w:t xml:space="preserve">inter </w:t>
            </w:r>
            <w:r w:rsidR="00BB23B3">
              <w:rPr>
                <w:iCs/>
                <w:sz w:val="20"/>
              </w:rPr>
              <w:t>w</w:t>
            </w:r>
            <w:r w:rsidRPr="0022407D">
              <w:rPr>
                <w:iCs/>
                <w:sz w:val="20"/>
              </w:rPr>
              <w:t>eather that occurs during a FFSS obligation period.</w:t>
            </w:r>
          </w:p>
        </w:tc>
      </w:tr>
      <w:tr w:rsidR="00BA0A6A" w:rsidRPr="0022407D" w14:paraId="099BA155"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0C168B" w14:textId="77777777" w:rsidR="00BA0A6A" w:rsidRPr="0022407D" w:rsidRDefault="00BA0A6A" w:rsidP="00AF0BEF">
            <w:pPr>
              <w:spacing w:after="60"/>
              <w:rPr>
                <w:bCs/>
                <w:iCs/>
                <w:sz w:val="20"/>
              </w:rPr>
            </w:pPr>
            <w:r w:rsidRPr="0022407D">
              <w:rPr>
                <w:bCs/>
                <w:iCs/>
                <w:sz w:val="20"/>
              </w:rPr>
              <w:t xml:space="preserve">FFSSDCB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33C9BC25"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5D43B5A0" w14:textId="77777777" w:rsidR="00BA0A6A" w:rsidRPr="0022407D" w:rsidRDefault="00BA0A6A" w:rsidP="00AF0BEF">
            <w:pPr>
              <w:spacing w:after="60"/>
              <w:rPr>
                <w:i/>
                <w:iCs/>
                <w:sz w:val="20"/>
              </w:rPr>
            </w:pPr>
            <w:r w:rsidRPr="0022407D">
              <w:rPr>
                <w:i/>
                <w:iCs/>
                <w:sz w:val="20"/>
              </w:rPr>
              <w:t>Firm Fuel Supply Service Days to Claw Back</w:t>
            </w:r>
            <w:r w:rsidRPr="0022407D">
              <w:rPr>
                <w:iCs/>
                <w:sz w:val="20"/>
              </w:rPr>
              <w:t xml:space="preserve">—The number of days subject to claw back for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p>
        </w:tc>
      </w:tr>
      <w:tr w:rsidR="00BA0A6A" w:rsidRPr="0022407D" w14:paraId="19531D3D"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3288E411" w14:textId="77777777" w:rsidR="00BA0A6A" w:rsidRPr="0022407D" w:rsidRDefault="00BA0A6A" w:rsidP="00AF0BEF">
            <w:pPr>
              <w:spacing w:after="60"/>
              <w:rPr>
                <w:bCs/>
                <w:iCs/>
                <w:sz w:val="20"/>
                <w:szCs w:val="16"/>
              </w:rPr>
            </w:pPr>
            <w:r w:rsidRPr="0022407D">
              <w:rPr>
                <w:i/>
                <w:sz w:val="20"/>
                <w:szCs w:val="16"/>
              </w:rPr>
              <w:t>q</w:t>
            </w:r>
          </w:p>
        </w:tc>
        <w:tc>
          <w:tcPr>
            <w:tcW w:w="810" w:type="dxa"/>
            <w:tcBorders>
              <w:top w:val="single" w:sz="4" w:space="0" w:color="auto"/>
              <w:left w:val="single" w:sz="4" w:space="0" w:color="auto"/>
              <w:bottom w:val="single" w:sz="4" w:space="0" w:color="auto"/>
              <w:right w:val="single" w:sz="4" w:space="0" w:color="auto"/>
            </w:tcBorders>
          </w:tcPr>
          <w:p w14:paraId="48A21DC4" w14:textId="77777777" w:rsidR="00BA0A6A" w:rsidRPr="0022407D" w:rsidRDefault="00BA0A6A" w:rsidP="00AF0BEF">
            <w:pPr>
              <w:spacing w:after="60"/>
              <w:rPr>
                <w:iCs/>
                <w:sz w:val="20"/>
                <w:szCs w:val="16"/>
              </w:rPr>
            </w:pPr>
            <w:r w:rsidRPr="0022407D">
              <w:rPr>
                <w:sz w:val="20"/>
                <w:szCs w:val="16"/>
              </w:rPr>
              <w:t>none</w:t>
            </w:r>
          </w:p>
        </w:tc>
        <w:tc>
          <w:tcPr>
            <w:tcW w:w="7207" w:type="dxa"/>
            <w:tcBorders>
              <w:top w:val="single" w:sz="4" w:space="0" w:color="auto"/>
              <w:left w:val="single" w:sz="4" w:space="0" w:color="auto"/>
              <w:bottom w:val="single" w:sz="4" w:space="0" w:color="auto"/>
              <w:right w:val="single" w:sz="4" w:space="0" w:color="auto"/>
            </w:tcBorders>
          </w:tcPr>
          <w:p w14:paraId="0E5CCDE2" w14:textId="77777777" w:rsidR="00BA0A6A" w:rsidRPr="0022407D" w:rsidRDefault="00BA0A6A" w:rsidP="00AF0BEF">
            <w:pPr>
              <w:spacing w:after="60"/>
              <w:rPr>
                <w:i/>
                <w:iCs/>
                <w:sz w:val="20"/>
                <w:szCs w:val="16"/>
              </w:rPr>
            </w:pPr>
            <w:r w:rsidRPr="0022407D">
              <w:rPr>
                <w:sz w:val="20"/>
                <w:szCs w:val="16"/>
              </w:rPr>
              <w:t>A QSE.</w:t>
            </w:r>
          </w:p>
        </w:tc>
      </w:tr>
      <w:tr w:rsidR="00BA0A6A" w:rsidRPr="0022407D" w14:paraId="2552F868"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2495613D" w14:textId="77777777" w:rsidR="00BA0A6A" w:rsidRPr="0022407D" w:rsidRDefault="00BA0A6A" w:rsidP="00AF0BEF">
            <w:pPr>
              <w:spacing w:after="60"/>
              <w:rPr>
                <w:bCs/>
                <w:i/>
                <w:sz w:val="20"/>
              </w:rPr>
            </w:pPr>
            <w:r w:rsidRPr="0022407D">
              <w:rPr>
                <w:bCs/>
                <w:i/>
                <w:sz w:val="20"/>
              </w:rPr>
              <w:t>r</w:t>
            </w:r>
          </w:p>
        </w:tc>
        <w:tc>
          <w:tcPr>
            <w:tcW w:w="810" w:type="dxa"/>
            <w:tcBorders>
              <w:top w:val="single" w:sz="4" w:space="0" w:color="auto"/>
              <w:left w:val="single" w:sz="4" w:space="0" w:color="auto"/>
              <w:bottom w:val="single" w:sz="4" w:space="0" w:color="auto"/>
              <w:right w:val="single" w:sz="4" w:space="0" w:color="auto"/>
            </w:tcBorders>
          </w:tcPr>
          <w:p w14:paraId="11C01DDB"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124612FC" w14:textId="77777777" w:rsidR="00BA0A6A" w:rsidRPr="0022407D" w:rsidRDefault="00BA0A6A" w:rsidP="00AF0BEF">
            <w:pPr>
              <w:spacing w:after="60"/>
              <w:rPr>
                <w:sz w:val="20"/>
              </w:rPr>
            </w:pPr>
            <w:r w:rsidRPr="0022407D">
              <w:rPr>
                <w:sz w:val="20"/>
              </w:rPr>
              <w:t>A primary or alternate Generation Resource approved by ERCOT to provide FFSS.</w:t>
            </w:r>
          </w:p>
        </w:tc>
      </w:tr>
    </w:tbl>
    <w:p w14:paraId="4B88D4CD" w14:textId="28BFC1D4" w:rsidR="00715D6F" w:rsidRPr="000F34C4" w:rsidRDefault="00715D6F" w:rsidP="00BA0A6A">
      <w:pPr>
        <w:spacing w:before="240"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lastRenderedPageBreak/>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25"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lastRenderedPageBreak/>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lastRenderedPageBreak/>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lastRenderedPageBreak/>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33D3F4F0" w:rsidR="00C450F5" w:rsidRPr="0003648D" w:rsidRDefault="00C450F5" w:rsidP="00C450F5">
      <w:pPr>
        <w:spacing w:after="240"/>
        <w:ind w:left="1440" w:hanging="720"/>
        <w:rPr>
          <w:iCs/>
        </w:rPr>
      </w:pPr>
      <w:r w:rsidRPr="0003648D">
        <w:rPr>
          <w:iCs/>
        </w:rPr>
        <w:t>(e)</w:t>
      </w:r>
      <w:r w:rsidRPr="0003648D">
        <w:rPr>
          <w:iCs/>
        </w:rPr>
        <w:tab/>
        <w:t>Controllable Load Resources</w:t>
      </w:r>
      <w:r w:rsidR="003229F4">
        <w:rPr>
          <w:iCs/>
        </w:rPr>
        <w:t xml:space="preserve"> (CLRs)</w:t>
      </w:r>
      <w:r w:rsidRPr="0003648D">
        <w:rPr>
          <w:iCs/>
        </w:rPr>
        <w:t xml:space="preserve">.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w:t>
      </w:r>
      <w:r w:rsidRPr="0003648D">
        <w:lastRenderedPageBreak/>
        <w:t>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29FE8D4B" w:rsidR="00C450F5" w:rsidRPr="0003648D" w:rsidRDefault="00C450F5" w:rsidP="00C450F5">
      <w:pPr>
        <w:spacing w:after="240"/>
        <w:ind w:left="1440" w:hanging="720"/>
      </w:pPr>
      <w:r w:rsidRPr="0003648D">
        <w:t>(c)</w:t>
      </w:r>
      <w:r w:rsidRPr="0003648D">
        <w:tab/>
        <w:t xml:space="preserve">For </w:t>
      </w:r>
      <w:r w:rsidR="003229F4">
        <w:t>CLRs</w:t>
      </w:r>
      <w:r w:rsidRPr="0003648D">
        <w:t xml:space="preserve">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w:t>
      </w:r>
      <w:r w:rsidR="003229F4">
        <w:t>CLR</w:t>
      </w:r>
      <w:r w:rsidRPr="0003648D">
        <w:t xml:space="preserve"> given the current operating conditions of the system and determine the </w:t>
      </w:r>
      <w:r w:rsidR="003229F4">
        <w:t>CLR’s</w:t>
      </w:r>
      <w:r w:rsidRPr="0003648D">
        <w:t xml:space="preserve"> qualification to provide </w:t>
      </w:r>
      <w:r>
        <w:t>ECRS</w:t>
      </w:r>
      <w:r w:rsidRPr="0003648D">
        <w:t xml:space="preserve">.  </w:t>
      </w:r>
    </w:p>
    <w:p w14:paraId="19040FF9" w14:textId="570537E3" w:rsidR="00C450F5" w:rsidRPr="0003648D" w:rsidRDefault="00C450F5" w:rsidP="00C450F5">
      <w:pPr>
        <w:spacing w:after="240"/>
        <w:ind w:left="1440" w:hanging="720"/>
      </w:pPr>
      <w:r w:rsidRPr="0003648D">
        <w:t>(d)</w:t>
      </w:r>
      <w:r w:rsidRPr="0003648D">
        <w:tab/>
        <w:t xml:space="preserve">For Load Resources, excluding </w:t>
      </w:r>
      <w:r w:rsidR="003229F4">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71943391"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rsidR="006E4B88">
              <w:t>,</w:t>
            </w:r>
            <w:r w:rsidR="009C0646">
              <w:t xml:space="preserve"> NPRR1246</w:t>
            </w:r>
            <w:r w:rsidR="006E4B88">
              <w:t>, and NPRR1270</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23CAE1A"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w:t>
            </w:r>
          </w:p>
          <w:p w14:paraId="48F9F5E6" w14:textId="73047E22" w:rsidR="009C0646" w:rsidRDefault="00452059" w:rsidP="009C0646">
            <w:pPr>
              <w:spacing w:after="240"/>
              <w:ind w:left="1440" w:hanging="720"/>
              <w:rPr>
                <w:iCs/>
              </w:rPr>
            </w:pPr>
            <w:r w:rsidRPr="0003648D">
              <w:rPr>
                <w:iCs/>
              </w:rPr>
              <w:t xml:space="preserve">(e) </w:t>
            </w:r>
            <w:r w:rsidRPr="0003648D">
              <w:rPr>
                <w:iCs/>
              </w:rPr>
              <w:tab/>
              <w:t>Controllable Load Resources</w:t>
            </w:r>
            <w:r w:rsidR="003229F4">
              <w:rPr>
                <w:iCs/>
              </w:rPr>
              <w:t xml:space="preserve"> (CLRs)</w:t>
            </w:r>
            <w:r w:rsidR="009C0646">
              <w:rPr>
                <w:iCs/>
              </w:rPr>
              <w:t>; or</w:t>
            </w:r>
          </w:p>
          <w:p w14:paraId="042D1404" w14:textId="4AD68474" w:rsidR="00452059" w:rsidRPr="0003648D" w:rsidRDefault="009C0646" w:rsidP="009C0646">
            <w:pPr>
              <w:spacing w:after="240"/>
              <w:ind w:left="1440" w:hanging="720"/>
              <w:rPr>
                <w:iCs/>
              </w:rPr>
            </w:pPr>
            <w:r>
              <w:rPr>
                <w:iCs/>
              </w:rPr>
              <w:t>(f)</w:t>
            </w:r>
            <w:r w:rsidRPr="00E1424A">
              <w:rPr>
                <w:iCs/>
              </w:rPr>
              <w:tab/>
            </w:r>
            <w:r>
              <w:rPr>
                <w:iCs/>
              </w:rPr>
              <w:t>ESRs</w:t>
            </w:r>
            <w:r w:rsidR="00452059" w:rsidRPr="0003648D">
              <w:rPr>
                <w:iCs/>
              </w:rPr>
              <w:t xml:space="preserve">. </w:t>
            </w:r>
          </w:p>
          <w:p w14:paraId="7E911641" w14:textId="7FC72060" w:rsidR="007956CD" w:rsidRDefault="00452059" w:rsidP="007956CD">
            <w:pPr>
              <w:spacing w:after="240"/>
              <w:ind w:left="720" w:hanging="720"/>
              <w:rPr>
                <w:iCs/>
              </w:rPr>
            </w:pPr>
            <w:r w:rsidRPr="0003648D">
              <w:rPr>
                <w:iCs/>
              </w:rPr>
              <w:lastRenderedPageBreak/>
              <w:t>(2)</w:t>
            </w:r>
            <w:r w:rsidRPr="0003648D">
              <w:rPr>
                <w:iCs/>
              </w:rPr>
              <w:tab/>
            </w:r>
            <w:r w:rsidR="007956CD">
              <w:rPr>
                <w:iCs/>
              </w:rPr>
              <w:t xml:space="preserve">Resources </w:t>
            </w:r>
            <w:r w:rsidR="006E4B88">
              <w:rPr>
                <w:iCs/>
              </w:rPr>
              <w:t>are required to undergo a qualification test</w:t>
            </w:r>
            <w:r w:rsidR="007956CD">
              <w:rPr>
                <w:iCs/>
              </w:rPr>
              <w:t xml:space="preserve"> to provide ECRS when the Resource is On-Line</w:t>
            </w:r>
            <w:r w:rsidR="006E4B88">
              <w:rPr>
                <w:iCs/>
              </w:rPr>
              <w:t>, which shall at least include the ability to provide applicable telemetry and market submissions</w:t>
            </w:r>
            <w:r w:rsidR="007956CD">
              <w:rPr>
                <w:iCs/>
              </w:rPr>
              <w:t xml:space="preserv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28D4ADE"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w:t>
            </w:r>
            <w:r w:rsidR="003229F4">
              <w:t>CLRs</w:t>
            </w:r>
            <w:r w:rsidR="00393F90">
              <w:t xml:space="preserve">,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w:t>
            </w:r>
            <w:r w:rsidR="00393F90" w:rsidRPr="00070B18">
              <w:lastRenderedPageBreak/>
              <w:t xml:space="preserve">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1CA0DE76"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w:t>
            </w:r>
            <w:r w:rsidR="003229F4">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 xml:space="preserve">that is, was, or will be unable to meet its Ancillary Service Resource Responsibility due to a charging restriction during an EEA Level 3 event shall inform </w:t>
      </w:r>
      <w:r>
        <w:rPr>
          <w:iCs/>
        </w:rPr>
        <w:lastRenderedPageBreak/>
        <w:t>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lastRenderedPageBreak/>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 xml:space="preserve">ERCOT shall continuously monitor the capacity of each Resource to provide Reg-Up and Reg-Down.  When determining this available capacity, ERCOT shall consider for each </w:t>
      </w:r>
      <w:r w:rsidR="000963FF">
        <w:lastRenderedPageBreak/>
        <w:t>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1BDE4320"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w:t>
            </w:r>
            <w:r w:rsidR="00F83AC5">
              <w:t xml:space="preserve"> and NPRR1282</w:t>
            </w:r>
            <w:r>
              <w:t>: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0544C44D" w:rsidR="007D4D3F" w:rsidRPr="00F947D2" w:rsidRDefault="007D4D3F" w:rsidP="007D4D3F">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be limited to the amount of Reg-Up or Reg-Down that can be sustained by the Resource for at least </w:t>
            </w:r>
            <w:r w:rsidR="00F83AC5">
              <w:rPr>
                <w:iCs/>
              </w:rPr>
              <w:t>30</w:t>
            </w:r>
            <w:r>
              <w:rPr>
                <w:iCs/>
              </w:rPr>
              <w:t xml:space="preserve"> minutes.</w:t>
            </w:r>
          </w:p>
        </w:tc>
      </w:tr>
    </w:tbl>
    <w:p w14:paraId="1CE0F416" w14:textId="77777777" w:rsidR="00581280" w:rsidRPr="00EB6A56" w:rsidRDefault="000963FF" w:rsidP="00D73591">
      <w:pPr>
        <w:pStyle w:val="H5"/>
        <w:spacing w:before="480"/>
        <w:rPr>
          <w:b/>
        </w:rPr>
      </w:pPr>
      <w:bookmarkStart w:id="159" w:name="_Toc162532152"/>
      <w:r w:rsidRPr="00EB6A56">
        <w:rPr>
          <w:b/>
        </w:rPr>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497F4766"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w:t>
            </w:r>
            <w:r w:rsidR="00F83AC5">
              <w:t xml:space="preserve"> and NPRR1282</w:t>
            </w:r>
            <w:r>
              <w:t>: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lastRenderedPageBreak/>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22EBD824"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w:t>
            </w:r>
            <w:r w:rsidR="00F83AC5">
              <w:rPr>
                <w:iCs/>
              </w:rPr>
              <w:t>30</w:t>
            </w:r>
            <w:r w:rsidRPr="002665AC">
              <w:rPr>
                <w:iCs/>
              </w:rPr>
              <w:t xml:space="preserve">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lastRenderedPageBreak/>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74DC93D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rsidR="004E520E">
              <w:t xml:space="preserve"> and NPRR1282</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14AF9598"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E520E">
              <w:rPr>
                <w:iCs/>
              </w:rPr>
              <w:t>one</w:t>
            </w:r>
            <w:r w:rsidR="004A479E">
              <w:rPr>
                <w:iCs/>
              </w:rPr>
              <w:t xml:space="preserve"> </w:t>
            </w:r>
            <w:r>
              <w:rPr>
                <w:iCs/>
              </w:rPr>
              <w:t>hour.</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w:t>
      </w:r>
      <w:r w:rsidRPr="009E1A24">
        <w:rPr>
          <w:iCs w:val="0"/>
        </w:rPr>
        <w:lastRenderedPageBreak/>
        <w:t>(Hz)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lastRenderedPageBreak/>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07D03D40" w:rsidR="00C24DBF" w:rsidRDefault="00C24DBF" w:rsidP="00D73591">
      <w:pPr>
        <w:spacing w:after="240"/>
        <w:ind w:left="720" w:hanging="720"/>
      </w:pPr>
      <w:r>
        <w:rPr>
          <w:iCs/>
        </w:rPr>
        <w:t>(4)</w:t>
      </w:r>
      <w:r>
        <w:rPr>
          <w:iCs/>
        </w:rPr>
        <w:tab/>
      </w:r>
      <w:r>
        <w:t xml:space="preserve">For </w:t>
      </w:r>
      <w:r w:rsidR="003229F4">
        <w:t>CLRs</w:t>
      </w:r>
      <w:r>
        <w:t xml:space="preserve">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30DD2623" w:rsidR="00C24DBF" w:rsidRDefault="00C24DBF" w:rsidP="00C24DBF">
      <w:pPr>
        <w:pStyle w:val="BodyTextIndent"/>
      </w:pPr>
      <w:r>
        <w:t xml:space="preserve">ATPC = Average Telemetered Power Consumption = the average telemetered power consumption of the </w:t>
      </w:r>
      <w:r w:rsidR="003229F4">
        <w:t>CLR</w:t>
      </w:r>
      <w:r>
        <w:t xml:space="preserve"> for the five-minute clock interval</w:t>
      </w:r>
    </w:p>
    <w:p w14:paraId="31A12DD9" w14:textId="4F206BA0" w:rsidR="00C24DBF" w:rsidRDefault="00C24DBF" w:rsidP="00C24DBF">
      <w:pPr>
        <w:pStyle w:val="BodyTextIndent"/>
      </w:pPr>
      <w:r>
        <w:t xml:space="preserve">ARI = Average Regulation Instruction = the amount of regulation that the </w:t>
      </w:r>
      <w:r w:rsidR="003229F4">
        <w:t>CLR</w:t>
      </w:r>
      <w:r>
        <w:t xml:space="preserv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 xml:space="preserve">will be calculated every four seconds using a </w:t>
      </w:r>
      <w:r w:rsidRPr="009E1A24">
        <w:rPr>
          <w:iCs w:val="0"/>
        </w:rPr>
        <w:lastRenderedPageBreak/>
        <w:t>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134482F9"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w:t>
      </w:r>
      <w:r w:rsidR="003229F4">
        <w:t>CLRs</w:t>
      </w:r>
      <w:r>
        <w:t>:</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10FB3DDF" w:rsidR="008E7D8D" w:rsidRDefault="008E7D8D" w:rsidP="008E7D8D">
      <w:pPr>
        <w:pStyle w:val="List2"/>
        <w:ind w:left="1440"/>
      </w:pPr>
      <w:r>
        <w:t>(b)</w:t>
      </w:r>
      <w:r>
        <w:tab/>
        <w:t xml:space="preserve">The percentage of the monthly five-minute clock intervals during which the </w:t>
      </w:r>
      <w:r w:rsidR="003229F4">
        <w:t>CLR</w:t>
      </w:r>
      <w:r>
        <w:t xml:space="preserve"> had a Resource Status of either ONRGL or ONCLR; </w:t>
      </w:r>
    </w:p>
    <w:p w14:paraId="5D1D31E3" w14:textId="1EC576B2"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w:t>
      </w:r>
      <w:r w:rsidR="003229F4">
        <w:t>CLR</w:t>
      </w:r>
      <w:r>
        <w:t xml:space="preserv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3830F8D7" w:rsidR="008E7D8D" w:rsidRDefault="008E7D8D" w:rsidP="008E7D8D">
      <w:pPr>
        <w:pStyle w:val="List2"/>
        <w:ind w:left="1440"/>
      </w:pPr>
      <w:r>
        <w:t>(e)</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586BE8A5" w:rsidR="008E7D8D" w:rsidRDefault="008E7D8D" w:rsidP="008E7D8D">
      <w:pPr>
        <w:pStyle w:val="List2"/>
        <w:ind w:left="1440"/>
      </w:pPr>
      <w:r>
        <w:lastRenderedPageBreak/>
        <w:t>(g)</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13595F14" w:rsidR="008E7D8D" w:rsidRDefault="008E7D8D" w:rsidP="008E7D8D">
      <w:pPr>
        <w:pStyle w:val="List2"/>
        <w:ind w:left="1440"/>
      </w:pPr>
      <w:r>
        <w:t>(i)</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3FBC7ACE" w:rsidR="008E7D8D" w:rsidRDefault="008E7D8D" w:rsidP="008E7D8D">
      <w:pPr>
        <w:pStyle w:val="List2"/>
        <w:ind w:left="1440"/>
      </w:pPr>
      <w:r>
        <w:t>(k)</w:t>
      </w:r>
      <w:r>
        <w:tab/>
        <w:t>The percentage of the monthly five-minute clock intervals</w:t>
      </w:r>
      <w:r w:rsidDel="000D7A3E">
        <w:t xml:space="preserve"> </w:t>
      </w:r>
      <w:r>
        <w:t xml:space="preserve">during which the </w:t>
      </w:r>
      <w:r w:rsidR="003229F4">
        <w:t>CLR</w:t>
      </w:r>
      <w:r>
        <w:t xml:space="preserv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4AA0556B" w:rsidR="008E7D8D" w:rsidRDefault="008E7D8D" w:rsidP="008E7D8D">
      <w:pPr>
        <w:pStyle w:val="List"/>
      </w:pPr>
      <w:r>
        <w:t>(m)</w:t>
      </w:r>
      <w:r>
        <w:tab/>
        <w:t>The percentage of the monthly five-minute clock intervals</w:t>
      </w:r>
      <w:r w:rsidDel="000D7A3E">
        <w:t xml:space="preserve"> </w:t>
      </w:r>
      <w:r>
        <w:t xml:space="preserve">during which the </w:t>
      </w:r>
      <w:r w:rsidR="003229F4">
        <w:t>CLR</w:t>
      </w:r>
      <w:r>
        <w:t xml:space="preserve"> was providing Regulation Service that the CLREDP was equal to or greater than 2.5% and equal to or less than 5.0% and the percentage of the monthly five-minute clock intervals</w:t>
      </w:r>
      <w:r w:rsidDel="000D7A3E">
        <w:t xml:space="preserve"> </w:t>
      </w:r>
      <w:r>
        <w:t xml:space="preserve">during which the </w:t>
      </w:r>
      <w:r w:rsidR="003229F4">
        <w:t>CLR</w:t>
      </w:r>
      <w:r>
        <w:t xml:space="preserve"> was providing Regulation Service that the CLREDP was equal to or greater than 2.5 MW and equal to or less than 5.0 MW; </w:t>
      </w:r>
    </w:p>
    <w:p w14:paraId="57F1988B" w14:textId="77777777" w:rsidR="008E7D8D" w:rsidRDefault="008E7D8D" w:rsidP="008E7D8D">
      <w:pPr>
        <w:pStyle w:val="List"/>
      </w:pPr>
      <w:r>
        <w:lastRenderedPageBreak/>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50DB7868" w:rsidR="008E7D8D" w:rsidRDefault="008E7D8D" w:rsidP="008E7D8D">
      <w:pPr>
        <w:pStyle w:val="List"/>
      </w:pPr>
      <w:r>
        <w:t>(o)</w:t>
      </w:r>
      <w:r>
        <w:tab/>
        <w:t>The percentage of the monthly five-minute clock intervals</w:t>
      </w:r>
      <w:r w:rsidDel="000D7A3E">
        <w:t xml:space="preserve"> </w:t>
      </w:r>
      <w:r>
        <w:t xml:space="preserve">during which the </w:t>
      </w:r>
      <w:r w:rsidR="003229F4">
        <w:t>CLR</w:t>
      </w:r>
      <w:r>
        <w:t xml:space="preserve"> was providing Regulation Service that the CLREDP was greater than 5.0% and the percentage of the monthly five-minute clock intervals</w:t>
      </w:r>
      <w:r w:rsidDel="000D7A3E">
        <w:t xml:space="preserve"> </w:t>
      </w:r>
      <w:r>
        <w:t xml:space="preserve">during which the </w:t>
      </w:r>
      <w:r w:rsidR="003229F4">
        <w:t>CLR</w:t>
      </w:r>
      <w:r>
        <w:t xml:space="preserv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lastRenderedPageBreak/>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1525194D" w:rsidR="008E7D8D" w:rsidRDefault="008E7D8D" w:rsidP="00581280">
      <w:pPr>
        <w:pStyle w:val="List2"/>
        <w:ind w:left="1440"/>
      </w:pPr>
      <w:r w:rsidRPr="006A6281">
        <w:t>(i)</w:t>
      </w:r>
      <w:r w:rsidRPr="006A6281">
        <w:tab/>
        <w:t xml:space="preserve">For a </w:t>
      </w:r>
      <w:r w:rsidR="003229F4">
        <w:t>CLR</w:t>
      </w:r>
      <w:r w:rsidRPr="006A6281">
        <w:t>,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lastRenderedPageBreak/>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3D13D298" w:rsidR="0083133C" w:rsidRDefault="0083133C" w:rsidP="00D73591">
      <w:pPr>
        <w:pStyle w:val="List2"/>
        <w:ind w:left="720"/>
      </w:pPr>
      <w:r>
        <w:t>(9)</w:t>
      </w:r>
      <w:r>
        <w:tab/>
        <w:t xml:space="preserve">All </w:t>
      </w:r>
      <w:r w:rsidR="003229F4">
        <w:t>CLR</w:t>
      </w:r>
      <w:r>
        <w:t xml:space="preserv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134BF7FC" w:rsidR="00E512ED" w:rsidRDefault="00650737" w:rsidP="00D73591">
      <w:pPr>
        <w:pStyle w:val="List2"/>
        <w:ind w:left="1440"/>
      </w:pPr>
      <w:r>
        <w:t>(a)</w:t>
      </w:r>
      <w:r>
        <w:tab/>
      </w:r>
      <w:r w:rsidR="0083133C" w:rsidRPr="00BD6ED4">
        <w:t xml:space="preserve">A </w:t>
      </w:r>
      <w:r w:rsidR="003229F4">
        <w:t>CLR</w:t>
      </w:r>
      <w:r w:rsidR="0083133C" w:rsidRPr="00BD6ED4">
        <w:t xml:space="preserv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68193957" w:rsidR="00E512ED" w:rsidRDefault="00650737" w:rsidP="009A7629">
      <w:pPr>
        <w:pStyle w:val="List2"/>
        <w:ind w:left="1440"/>
      </w:pPr>
      <w:r>
        <w:t>(b)</w:t>
      </w:r>
      <w:r>
        <w:tab/>
      </w:r>
      <w:r w:rsidR="0083133C">
        <w:t xml:space="preserve">Additionally, all </w:t>
      </w:r>
      <w:r w:rsidR="003229F4">
        <w:t>CLR</w:t>
      </w:r>
      <w:r w:rsidR="0083133C">
        <w:t xml:space="preserv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1C44231C" w:rsidR="00E512ED" w:rsidRDefault="00650737" w:rsidP="009A7629">
      <w:pPr>
        <w:pStyle w:val="List2"/>
      </w:pPr>
      <w:r>
        <w:lastRenderedPageBreak/>
        <w:t>(i)</w:t>
      </w:r>
      <w:r>
        <w:tab/>
      </w:r>
      <w:r w:rsidR="0083133C" w:rsidRPr="00481164">
        <w:t xml:space="preserve">A </w:t>
      </w:r>
      <w:r w:rsidR="003229F4">
        <w:t>CLR</w:t>
      </w:r>
      <w:r w:rsidR="0083133C" w:rsidRPr="00481164">
        <w:t xml:space="preserve"> must have a CLREDP less than the greater of </w:t>
      </w:r>
      <w:r w:rsidR="0083133C">
        <w:t>X</w:t>
      </w:r>
      <w:r w:rsidR="0083133C" w:rsidRPr="00481164">
        <w:t xml:space="preserve">% or </w:t>
      </w:r>
      <w:r w:rsidR="0083133C">
        <w:t>Y</w:t>
      </w:r>
      <w:r w:rsidR="0083133C" w:rsidRPr="00481164">
        <w:t xml:space="preserve"> MW</w:t>
      </w:r>
      <w:r w:rsidR="0083133C">
        <w:t xml:space="preserve">.  A </w:t>
      </w:r>
      <w:r w:rsidR="003229F4">
        <w:t>CLR</w:t>
      </w:r>
      <w:r w:rsidR="0083133C">
        <w:t xml:space="preserv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05316940" w:rsidR="00E512ED" w:rsidRDefault="00650737" w:rsidP="009A7629">
      <w:pPr>
        <w:pStyle w:val="List2"/>
        <w:ind w:left="1440"/>
      </w:pPr>
      <w:r>
        <w:t>(c)</w:t>
      </w:r>
      <w:r>
        <w:tab/>
      </w:r>
      <w:r w:rsidR="0083133C" w:rsidRPr="00FE6599">
        <w:t xml:space="preserve">For </w:t>
      </w:r>
      <w:r w:rsidR="003229F4">
        <w:t>CLR</w:t>
      </w:r>
      <w:r w:rsidR="0083133C" w:rsidRPr="00FE6599">
        <w:t xml:space="preserv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08CC87F"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F62B5E">
              <w:t>NPRR1029</w:t>
            </w:r>
            <w:r w:rsidR="000C120B">
              <w:t>, and NPRR1246</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0C120B">
              <w:t xml:space="preserve"> and NPRR1246</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bookmarkStart w:id="212" w:name="_Hlk193963172"/>
            <w:r w:rsidRPr="00EB6A56">
              <w:rPr>
                <w:b/>
              </w:rPr>
              <w:lastRenderedPageBreak/>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27798D91"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 xml:space="preserve">For </w:t>
            </w:r>
            <w:r w:rsidR="003229F4">
              <w:t>CLR</w:t>
            </w:r>
            <w:r w:rsidRPr="00E10CD4">
              <w:t>s that have a Resource Status of ON</w:t>
            </w:r>
            <w:r>
              <w:t xml:space="preserve">L and are acting as a </w:t>
            </w:r>
            <w:r w:rsidR="003229F4">
              <w:t>CLR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lastRenderedPageBreak/>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6C2D06AF" w:rsidR="00260984" w:rsidRPr="00497B63" w:rsidRDefault="00260984" w:rsidP="00260984">
            <w:pPr>
              <w:spacing w:after="240"/>
              <w:ind w:left="1440"/>
              <w:rPr>
                <w:iCs/>
              </w:rPr>
            </w:pPr>
            <w:r w:rsidRPr="00497B63">
              <w:rPr>
                <w:iCs/>
              </w:rPr>
              <w:t xml:space="preserve">ATPC = Average Telemetered Power Consumption = the average telemetered power consumption of the </w:t>
            </w:r>
            <w:r w:rsidR="003229F4">
              <w:rPr>
                <w:iCs/>
              </w:rPr>
              <w:t>CLR</w:t>
            </w:r>
            <w:r w:rsidRPr="00497B63">
              <w:rPr>
                <w:iCs/>
              </w:rPr>
              <w:t xml:space="preserv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w:t>
            </w:r>
            <w:r w:rsidRPr="00A552C3">
              <w:lastRenderedPageBreak/>
              <w:t xml:space="preserve">Resource Entity, and the frequency deviation (Hz) from 60 Hz and averaged for the five-minute clock interval.  </w:t>
            </w:r>
          </w:p>
          <w:p w14:paraId="54595347" w14:textId="29818729" w:rsidR="00260984" w:rsidRDefault="00260984" w:rsidP="00260984">
            <w:pPr>
              <w:spacing w:after="240"/>
              <w:ind w:left="720" w:hanging="720"/>
              <w:rPr>
                <w:iCs/>
              </w:rPr>
            </w:pPr>
            <w:r>
              <w:rPr>
                <w:iCs/>
              </w:rPr>
              <w:t>(4)</w:t>
            </w:r>
            <w:r>
              <w:rPr>
                <w:iCs/>
              </w:rPr>
              <w:tab/>
              <w:t>ERCOT shall post to the MIS Certified Area for each QSE and for all Generation Resources</w:t>
            </w:r>
            <w:r w:rsidR="000C120B">
              <w:rPr>
                <w:iCs/>
              </w:rPr>
              <w:t>, ESRs,</w:t>
            </w:r>
            <w:r>
              <w:rPr>
                <w:iCs/>
              </w:rPr>
              <w:t xml:space="preserve"> </w:t>
            </w:r>
            <w:r>
              <w:t>Wind-powered Generation Resource</w:t>
            </w:r>
            <w:r>
              <w:rPr>
                <w:iCs/>
              </w:rPr>
              <w:t xml:space="preserve"> (WGR) Groups, and </w:t>
            </w:r>
            <w:r w:rsidR="003229F4">
              <w:rPr>
                <w:iCs/>
              </w:rPr>
              <w:t>CLR</w:t>
            </w:r>
            <w:r>
              <w:rPr>
                <w:iCs/>
              </w:rPr>
              <w:t>s</w:t>
            </w:r>
            <w:r w:rsidR="000C120B">
              <w:rPr>
                <w:iCs/>
              </w:rPr>
              <w:t>, as applicable</w:t>
            </w:r>
            <w:r>
              <w:rPr>
                <w:iCs/>
              </w:rPr>
              <w:t>:</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41ADB476" w:rsidR="00260984" w:rsidRDefault="00260984" w:rsidP="00260984">
            <w:pPr>
              <w:spacing w:after="240"/>
              <w:ind w:left="1440" w:hanging="720"/>
            </w:pPr>
            <w:r>
              <w:t>(b)</w:t>
            </w:r>
            <w:r>
              <w:tab/>
              <w:t xml:space="preserve">The percentage of the monthly five-minute clock intervals during which the </w:t>
            </w:r>
            <w:r w:rsidR="003229F4">
              <w:t>CLR</w:t>
            </w:r>
            <w:r>
              <w:t xml:space="preserve"> had a Resource Status of ONL; </w:t>
            </w:r>
          </w:p>
          <w:p w14:paraId="1F6D2F05" w14:textId="6AF1A911" w:rsidR="000C120B" w:rsidRPr="00A81CB7" w:rsidRDefault="000C120B" w:rsidP="000C120B">
            <w:pPr>
              <w:spacing w:after="240"/>
              <w:ind w:left="1440" w:hanging="720"/>
            </w:pPr>
            <w:r>
              <w:t>(c)</w:t>
            </w:r>
            <w:r w:rsidRPr="00A81CB7">
              <w:tab/>
            </w:r>
            <w:r w:rsidRPr="00A552C3">
              <w:t xml:space="preserve">The percentage of the monthly five-minute clock intervals during which the ESR </w:t>
            </w:r>
            <w:r>
              <w:t>had a Resource Status of ON;</w:t>
            </w:r>
          </w:p>
          <w:p w14:paraId="3610F928" w14:textId="5EE25A96" w:rsidR="00260984" w:rsidRDefault="00260984" w:rsidP="00260984">
            <w:pPr>
              <w:spacing w:after="240"/>
              <w:ind w:left="1440" w:hanging="720"/>
            </w:pPr>
            <w:r>
              <w:t>(</w:t>
            </w:r>
            <w:r w:rsidR="000C120B">
              <w:t>d</w:t>
            </w:r>
            <w:r>
              <w:t>)</w:t>
            </w:r>
            <w:r>
              <w:tab/>
              <w:t>The percentage of the monthly five-minute clock intervals during which the Generation Resource, IRR</w:t>
            </w:r>
            <w:r w:rsidR="000C120B">
              <w:t>, ESR,</w:t>
            </w:r>
            <w:r>
              <w:t xml:space="preserve"> or </w:t>
            </w:r>
            <w:r w:rsidR="003229F4">
              <w:t>CLR</w:t>
            </w:r>
            <w:r>
              <w:t xml:space="preserve"> was awarded Regulation Service;</w:t>
            </w:r>
          </w:p>
          <w:p w14:paraId="44334CD6" w14:textId="74D6EA90" w:rsidR="00260984" w:rsidRDefault="00260984" w:rsidP="00260984">
            <w:pPr>
              <w:spacing w:after="240"/>
              <w:ind w:left="1440" w:hanging="720"/>
            </w:pPr>
            <w:r>
              <w:t>(</w:t>
            </w:r>
            <w:r w:rsidR="000C120B">
              <w:t>e</w:t>
            </w:r>
            <w:r>
              <w:t>)</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0F70A848" w:rsidR="00260984" w:rsidRDefault="00260984" w:rsidP="00260984">
            <w:pPr>
              <w:spacing w:after="240"/>
              <w:ind w:left="1440" w:hanging="720"/>
            </w:pPr>
            <w:r>
              <w:t>(</w:t>
            </w:r>
            <w:r w:rsidR="000C120B">
              <w:t>f</w:t>
            </w:r>
            <w:r>
              <w:t>)</w:t>
            </w:r>
            <w:r>
              <w:tab/>
              <w:t xml:space="preserve">The percentage of the monthly five-minute clock intervals during which the </w:t>
            </w:r>
            <w:r w:rsidR="003229F4">
              <w:t>CLR</w:t>
            </w:r>
            <w:r>
              <w:t xml:space="preserve"> had a Resource Status of ONL that the CLREDP was less than 2.5% and the percentage of the monthly five-minute clock intervals during which the </w:t>
            </w:r>
            <w:r w:rsidR="003229F4">
              <w:t>CLR</w:t>
            </w:r>
            <w:r>
              <w:t xml:space="preserve"> had a Resource Status of ONL that the CLREDP was less than 2.5 MW; </w:t>
            </w:r>
          </w:p>
          <w:p w14:paraId="08EDC2FC" w14:textId="77777777" w:rsidR="000C120B" w:rsidRPr="00A81CB7" w:rsidRDefault="000C120B" w:rsidP="000C120B">
            <w:pPr>
              <w:spacing w:after="240"/>
              <w:ind w:left="1440" w:hanging="720"/>
            </w:pPr>
            <w:r>
              <w:t>(g)</w:t>
            </w:r>
            <w:r w:rsidRPr="0082569C">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p>
          <w:p w14:paraId="4565A90B" w14:textId="6BFD0376" w:rsidR="00260984" w:rsidRDefault="00260984" w:rsidP="00260984">
            <w:pPr>
              <w:spacing w:after="240"/>
              <w:ind w:left="1440" w:hanging="720"/>
            </w:pPr>
            <w:r>
              <w:t>(</w:t>
            </w:r>
            <w:r w:rsidR="000C120B">
              <w:t>h</w:t>
            </w:r>
            <w:r>
              <w:t>)</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2115CDCD" w:rsidR="00260984" w:rsidRDefault="00260984" w:rsidP="00260984">
            <w:pPr>
              <w:spacing w:after="240"/>
              <w:ind w:left="1440" w:hanging="720"/>
            </w:pPr>
            <w:r>
              <w:t>(</w:t>
            </w:r>
            <w:r w:rsidR="000C120B">
              <w:t>i</w:t>
            </w:r>
            <w:r>
              <w:t>)</w:t>
            </w:r>
            <w:r>
              <w:tab/>
              <w:t xml:space="preserve">The percentage of the monthly five-minute clock intervals during which the </w:t>
            </w:r>
            <w:r w:rsidR="003229F4">
              <w:t>CLR</w:t>
            </w:r>
            <w:r>
              <w:t xml:space="preserve"> had a Resource Status of ONL that the CLREDP was equal to or greater than 2.5% and equal to or less than 5.0% and the percentage of the monthly five-minute clock intervals during which the </w:t>
            </w:r>
            <w:r w:rsidR="003229F4">
              <w:t>CLR</w:t>
            </w:r>
            <w:r>
              <w:t xml:space="preserve"> had a Resource Status of </w:t>
            </w:r>
            <w:r>
              <w:lastRenderedPageBreak/>
              <w:t xml:space="preserve">ONL that the CLREDP was equal to or greater than 2.5 MW and equal to or less than 5.0 MW; </w:t>
            </w:r>
          </w:p>
          <w:p w14:paraId="4E0E8150" w14:textId="77777777" w:rsidR="000C120B" w:rsidRPr="00A81CB7" w:rsidRDefault="000C120B" w:rsidP="000C120B">
            <w:pPr>
              <w:spacing w:after="240"/>
              <w:ind w:left="1440" w:hanging="720"/>
            </w:pPr>
            <w:r>
              <w:t>(j)</w:t>
            </w:r>
            <w:r w:rsidRPr="0082569C">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3546D56B" w14:textId="3163361A" w:rsidR="00260984" w:rsidRDefault="00260984" w:rsidP="00260984">
            <w:pPr>
              <w:spacing w:after="240"/>
              <w:ind w:left="1440" w:hanging="720"/>
            </w:pPr>
            <w:r>
              <w:t>(</w:t>
            </w:r>
            <w:r w:rsidR="000C120B">
              <w:t>k</w:t>
            </w:r>
            <w:r>
              <w:t>)</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2F142489" w:rsidR="00260984" w:rsidRDefault="00260984" w:rsidP="00260984">
            <w:pPr>
              <w:spacing w:after="240"/>
              <w:ind w:left="1440" w:hanging="720"/>
            </w:pPr>
            <w:r>
              <w:t>(</w:t>
            </w:r>
            <w:r w:rsidR="000C120B">
              <w:t>l</w:t>
            </w:r>
            <w:r>
              <w:t>)</w:t>
            </w:r>
            <w:r>
              <w:tab/>
              <w:t xml:space="preserve">The percentage of the monthly five-minute clock intervals during which the </w:t>
            </w:r>
            <w:r w:rsidR="003229F4">
              <w:t>CLR</w:t>
            </w:r>
            <w:r>
              <w:t xml:space="preserve"> had a Resource Status of ONL that the CLREDP was greater than 5.0% and the percentage of the monthly five-minute clock intervals during which the </w:t>
            </w:r>
            <w:r w:rsidR="003229F4">
              <w:t>CLR</w:t>
            </w:r>
            <w:r>
              <w:t xml:space="preserve"> had a Resource Status of ONL that the CLREDP was greater than 5.0 MW; </w:t>
            </w:r>
          </w:p>
          <w:p w14:paraId="24B89B95" w14:textId="77777777" w:rsidR="000C120B" w:rsidRPr="00A81CB7" w:rsidRDefault="000C120B" w:rsidP="000C120B">
            <w:pPr>
              <w:spacing w:after="240"/>
              <w:ind w:left="1440" w:hanging="720"/>
            </w:pPr>
            <w:r>
              <w:t>(m)</w:t>
            </w:r>
            <w:r w:rsidRPr="0082569C">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p>
          <w:p w14:paraId="488C34BD" w14:textId="7A3C4E95" w:rsidR="00260984" w:rsidRDefault="00260984" w:rsidP="00260984">
            <w:pPr>
              <w:spacing w:after="240"/>
              <w:ind w:left="1440" w:hanging="720"/>
            </w:pPr>
            <w:r>
              <w:t>(</w:t>
            </w:r>
            <w:r w:rsidR="000C120B">
              <w:t>n</w:t>
            </w:r>
            <w:r>
              <w:t>)</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66F39B09" w:rsidR="00260984" w:rsidRDefault="00260984" w:rsidP="00260984">
            <w:pPr>
              <w:spacing w:after="240"/>
              <w:ind w:left="1440" w:hanging="720"/>
            </w:pPr>
            <w:r>
              <w:t>(</w:t>
            </w:r>
            <w:r w:rsidR="000C120B">
              <w:t>o</w:t>
            </w:r>
            <w:r>
              <w:t>)</w:t>
            </w:r>
            <w:r>
              <w:tab/>
              <w:t xml:space="preserve">The percentage of the monthly five-minute clock intervals during which the </w:t>
            </w:r>
            <w:r w:rsidR="003229F4">
              <w:t>CLR</w:t>
            </w:r>
            <w:r>
              <w:t xml:space="preserve"> was awarded Regulation Service that the CLREDP was less than 2.5% and the percentage of the monthly five-minute clock intervals during which the </w:t>
            </w:r>
            <w:r w:rsidR="003229F4">
              <w:t>CLR</w:t>
            </w:r>
            <w:r>
              <w:t xml:space="preserve"> was awarded Regulation Service that the CLREDP was less than 2.5 MW; </w:t>
            </w:r>
          </w:p>
          <w:p w14:paraId="17364307" w14:textId="77777777" w:rsidR="000C120B" w:rsidRPr="00A81CB7" w:rsidRDefault="000C120B" w:rsidP="000C120B">
            <w:pPr>
              <w:spacing w:after="240"/>
              <w:ind w:left="1440" w:hanging="720"/>
            </w:pPr>
            <w:r>
              <w:t>(p)</w:t>
            </w:r>
            <w:r w:rsidRPr="0082569C">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p>
          <w:p w14:paraId="59AE54D4" w14:textId="6D629315" w:rsidR="00260984" w:rsidRDefault="00260984" w:rsidP="00260984">
            <w:pPr>
              <w:spacing w:after="240"/>
              <w:ind w:left="1440" w:hanging="720"/>
            </w:pPr>
            <w:r>
              <w:t>(</w:t>
            </w:r>
            <w:r w:rsidR="000C120B">
              <w:t>q</w:t>
            </w:r>
            <w:r>
              <w:t>)</w:t>
            </w:r>
            <w:r>
              <w:tab/>
              <w:t xml:space="preserve">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w:t>
            </w:r>
            <w:r>
              <w:lastRenderedPageBreak/>
              <w:t>Generation Resource or the IRR was awarded Regulation Service that the GREDP was equal to or greater than 2.5 MW and equal to or less than 5.0 MW;</w:t>
            </w:r>
          </w:p>
          <w:p w14:paraId="0FF91D50" w14:textId="20069EBC" w:rsidR="00260984" w:rsidRDefault="00260984" w:rsidP="00260984">
            <w:pPr>
              <w:spacing w:after="240"/>
              <w:ind w:left="1440" w:hanging="720"/>
            </w:pPr>
            <w:r>
              <w:t>(</w:t>
            </w:r>
            <w:r w:rsidR="000C120B">
              <w:t>r</w:t>
            </w:r>
            <w:r>
              <w:t>)</w:t>
            </w:r>
            <w:r>
              <w:tab/>
              <w:t xml:space="preserve">The percentage of the monthly five-minute clock intervals during which the </w:t>
            </w:r>
            <w:r w:rsidR="003229F4">
              <w:t>CLR</w:t>
            </w:r>
            <w:r>
              <w:t xml:space="preserve"> was awarded Regulation Service that the CLREDP was equal to or greater than 2.5% and equal to or less than 5.0% and the percentage of the monthly five-minute clock intervals during which the </w:t>
            </w:r>
            <w:r w:rsidR="003229F4">
              <w:t>CLR</w:t>
            </w:r>
            <w:r>
              <w:t xml:space="preserve"> was awarded Regulation Service that the CLREDP was equal to or greater than 2.5 MW and equal to or less than 5.0 MW; </w:t>
            </w:r>
          </w:p>
          <w:p w14:paraId="2FD826C6" w14:textId="77777777" w:rsidR="000C120B" w:rsidRPr="00A81CB7" w:rsidRDefault="000C120B" w:rsidP="000C120B">
            <w:pPr>
              <w:spacing w:after="240"/>
              <w:ind w:left="1440" w:hanging="720"/>
            </w:pPr>
            <w:r>
              <w:t>(s)</w:t>
            </w:r>
            <w:r w:rsidRPr="0082569C">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p>
          <w:p w14:paraId="62E646CC" w14:textId="41110064" w:rsidR="00260984" w:rsidRDefault="00260984" w:rsidP="00260984">
            <w:pPr>
              <w:spacing w:after="240"/>
              <w:ind w:left="1440" w:hanging="720"/>
            </w:pPr>
            <w:r>
              <w:t>(</w:t>
            </w:r>
            <w:r w:rsidR="000C120B">
              <w:t>t</w:t>
            </w:r>
            <w:r>
              <w:t>)</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p>
          <w:p w14:paraId="53650D68" w14:textId="7484921D" w:rsidR="00260984" w:rsidRDefault="00260984" w:rsidP="00260984">
            <w:pPr>
              <w:spacing w:after="240"/>
              <w:ind w:left="1440" w:hanging="720"/>
            </w:pPr>
            <w:r>
              <w:t>(</w:t>
            </w:r>
            <w:r w:rsidR="000C120B">
              <w:t>u</w:t>
            </w:r>
            <w:r>
              <w:t>)</w:t>
            </w:r>
            <w:r>
              <w:tab/>
              <w:t xml:space="preserve">The percentage of the monthly five-minute clock intervals during which the </w:t>
            </w:r>
            <w:r w:rsidR="003229F4">
              <w:t>CLR</w:t>
            </w:r>
            <w:r>
              <w:t xml:space="preserve"> was awarded Regulation Service that the CLREDP was greater than 5.0% and the percentage of the monthly five-minute clock intervals during which the </w:t>
            </w:r>
            <w:r w:rsidR="003229F4">
              <w:t>CLR</w:t>
            </w:r>
            <w:r>
              <w:t xml:space="preserve"> was awarded Regulation Service that the CLREDP was greater than 5.0 MW</w:t>
            </w:r>
            <w:r w:rsidR="000C120B">
              <w:t>; and</w:t>
            </w:r>
          </w:p>
          <w:p w14:paraId="59A6534B" w14:textId="77777777" w:rsidR="000C120B" w:rsidRPr="00A81CB7" w:rsidRDefault="000C120B" w:rsidP="000C120B">
            <w:pPr>
              <w:spacing w:after="240"/>
              <w:ind w:left="1440" w:hanging="720"/>
            </w:pPr>
            <w:r>
              <w:t>(v)</w:t>
            </w:r>
            <w:r w:rsidRPr="00627EBB">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w:t>
            </w:r>
            <w:r w:rsidRPr="00E10CD4">
              <w:lastRenderedPageBreak/>
              <w:t xml:space="preserve">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447D10A2" w:rsidR="00260984" w:rsidRPr="00497B63" w:rsidRDefault="00260984" w:rsidP="00260984">
            <w:pPr>
              <w:spacing w:after="240"/>
              <w:ind w:left="1440" w:hanging="720"/>
            </w:pPr>
            <w:r>
              <w:t>(h</w:t>
            </w:r>
            <w:r w:rsidRPr="00497B63">
              <w:t>)</w:t>
            </w:r>
            <w:r w:rsidRPr="00497B63">
              <w:tab/>
              <w:t xml:space="preserve">For a </w:t>
            </w:r>
            <w:r w:rsidR="003229F4">
              <w:t>CLR</w:t>
            </w:r>
            <w:r w:rsidRPr="00497B63">
              <w:t>,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4F3BE093" w:rsidR="00260984" w:rsidRDefault="00260984" w:rsidP="00260984">
            <w:pPr>
              <w:spacing w:after="240"/>
              <w:ind w:left="702" w:hanging="720"/>
            </w:pPr>
            <w:r>
              <w:t>(6)</w:t>
            </w:r>
            <w:r>
              <w:tab/>
              <w:t>All Generation Resources,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w:t>
            </w:r>
            <w:r w:rsidR="00D66FE2">
              <w:lastRenderedPageBreak/>
              <w:t>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5E7F1BF5" w:rsidR="00260984" w:rsidRDefault="00941E3E" w:rsidP="00941E3E">
            <w:pPr>
              <w:spacing w:after="240"/>
              <w:ind w:left="720" w:hanging="720"/>
            </w:pPr>
            <w:r w:rsidRPr="00E10CD4">
              <w:t>(</w:t>
            </w:r>
            <w:r>
              <w:t>8</w:t>
            </w:r>
            <w:r w:rsidRPr="00E10CD4">
              <w:t>)</w:t>
            </w:r>
            <w:r w:rsidRPr="00E10CD4">
              <w:tab/>
              <w:t xml:space="preserve">All </w:t>
            </w:r>
            <w:r w:rsidR="003229F4">
              <w:t>CLR</w:t>
            </w:r>
            <w:r w:rsidRPr="00E10CD4">
              <w:t>s shall meet the following CLREDP criteria each month.  ERCOT will report non-compliance of the following performance criteria to the</w:t>
            </w:r>
            <w:r w:rsidR="0095512A">
              <w:t xml:space="preserve"> Reliability Monitor</w:t>
            </w:r>
            <w:r w:rsidRPr="00E10CD4">
              <w:t>:</w:t>
            </w:r>
          </w:p>
          <w:p w14:paraId="009A32F1" w14:textId="2E36506E" w:rsidR="00941E3E" w:rsidRPr="00497B63" w:rsidRDefault="00941E3E" w:rsidP="00941E3E">
            <w:pPr>
              <w:spacing w:after="240"/>
              <w:ind w:left="1440" w:hanging="720"/>
            </w:pPr>
            <w:r w:rsidRPr="00497B63">
              <w:t>(a)</w:t>
            </w:r>
            <w:r w:rsidRPr="00497B63">
              <w:tab/>
              <w:t xml:space="preserve">A </w:t>
            </w:r>
            <w:r w:rsidR="003229F4">
              <w:t>CLR</w:t>
            </w:r>
            <w:r w:rsidRPr="00497B63">
              <w:t xml:space="preserve"> must have a CLREDP less than the greater of X% or Y MW for 85% of the five-minute clock intervals</w:t>
            </w:r>
            <w:r w:rsidRPr="00497B63" w:rsidDel="000D7A3E">
              <w:t xml:space="preserve"> </w:t>
            </w:r>
            <w:r w:rsidRPr="00497B63">
              <w:t>in the month during which CLREDP was calculated.</w:t>
            </w:r>
          </w:p>
          <w:p w14:paraId="36A0FE8D" w14:textId="054110A3" w:rsidR="00941E3E" w:rsidRPr="00497B63" w:rsidRDefault="00941E3E" w:rsidP="00941E3E">
            <w:pPr>
              <w:spacing w:after="240"/>
              <w:ind w:left="1440" w:hanging="720"/>
            </w:pPr>
            <w:r w:rsidRPr="00497B63">
              <w:t>(b)</w:t>
            </w:r>
            <w:r w:rsidRPr="00497B63">
              <w:tab/>
              <w:t xml:space="preserve">Additionally, all </w:t>
            </w:r>
            <w:r w:rsidR="003229F4">
              <w:t>CLR</w:t>
            </w:r>
            <w:r w:rsidRPr="00497B63">
              <w:t>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68610ACE" w:rsidR="00941E3E" w:rsidRPr="00497B63" w:rsidRDefault="00941E3E" w:rsidP="00941E3E">
            <w:pPr>
              <w:spacing w:after="240"/>
              <w:ind w:left="2160" w:hanging="720"/>
            </w:pPr>
            <w:r w:rsidRPr="00497B63">
              <w:t>(i)</w:t>
            </w:r>
            <w:r w:rsidRPr="00497B63">
              <w:tab/>
              <w:t xml:space="preserve">A </w:t>
            </w:r>
            <w:r w:rsidR="003229F4">
              <w:t>CLR</w:t>
            </w:r>
            <w:r w:rsidRPr="00497B63">
              <w:t xml:space="preserve"> must have a CLREDP less than the greater of X% or Y MW.  A </w:t>
            </w:r>
            <w:r w:rsidR="003229F4">
              <w:t>CLR</w:t>
            </w:r>
            <w:r w:rsidRPr="00497B63">
              <w:t xml:space="preserve"> cannot fail this criteria more than three five-minute clock intervals during which EEA was declared and CLREDP was calculated.  The performance will be measured separately for each instance in which ERCOT has declared EEA. </w:t>
            </w:r>
          </w:p>
          <w:p w14:paraId="410F64F4" w14:textId="507F76F1" w:rsidR="00941E3E" w:rsidRPr="00497B63" w:rsidRDefault="00941E3E" w:rsidP="00941E3E">
            <w:pPr>
              <w:spacing w:after="240"/>
              <w:ind w:left="1440" w:hanging="720"/>
            </w:pPr>
            <w:r w:rsidRPr="00497B63">
              <w:t>(c)</w:t>
            </w:r>
            <w:r w:rsidRPr="00497B63">
              <w:tab/>
              <w:t xml:space="preserve">For </w:t>
            </w:r>
            <w:r w:rsidR="003229F4">
              <w:t>CLR</w:t>
            </w:r>
            <w:r w:rsidRPr="00497B63">
              <w:t>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bookmarkEnd w:id="212"/>
          </w:p>
        </w:tc>
      </w:tr>
    </w:tbl>
    <w:p w14:paraId="58804721" w14:textId="1B2FC7A4" w:rsidR="00581280" w:rsidRPr="00EB6A56" w:rsidRDefault="000963FF" w:rsidP="001B6DE5">
      <w:pPr>
        <w:pStyle w:val="H5"/>
        <w:spacing w:before="480"/>
        <w:rPr>
          <w:b/>
        </w:rPr>
      </w:pPr>
      <w:bookmarkStart w:id="213"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3"/>
    </w:p>
    <w:p w14:paraId="1E4E3F34" w14:textId="77777777" w:rsidR="00F94693" w:rsidRPr="0003648D" w:rsidRDefault="00F94693" w:rsidP="00F94693">
      <w:pPr>
        <w:spacing w:after="240"/>
        <w:ind w:left="720" w:hanging="720"/>
        <w:rPr>
          <w:iCs/>
        </w:rPr>
      </w:pPr>
      <w:bookmarkStart w:id="214"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5" w:name="_Toc400968490"/>
            <w:bookmarkStart w:id="216" w:name="_Toc402362738"/>
            <w:bookmarkStart w:id="217" w:name="_Toc405554804"/>
            <w:bookmarkStart w:id="218" w:name="_Toc458771463"/>
            <w:bookmarkStart w:id="219" w:name="_Toc458771586"/>
            <w:bookmarkStart w:id="220" w:name="_Toc460939765"/>
            <w:bookmarkEnd w:id="214"/>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1" w:name="_Toc60045920"/>
            <w:bookmarkStart w:id="222" w:name="_Toc65157816"/>
            <w:bookmarkStart w:id="223" w:name="_Toc116564841"/>
            <w:bookmarkStart w:id="224" w:name="_Toc135994500"/>
            <w:bookmarkStart w:id="225" w:name="_Toc138931511"/>
            <w:bookmarkStart w:id="226" w:name="_Toc162532161"/>
            <w:r w:rsidRPr="00497B63">
              <w:rPr>
                <w:b/>
                <w:szCs w:val="26"/>
              </w:rPr>
              <w:t>8.1.1.4.2</w:t>
            </w:r>
            <w:r w:rsidRPr="00497B63">
              <w:rPr>
                <w:b/>
                <w:szCs w:val="26"/>
              </w:rPr>
              <w:tab/>
              <w:t>Responsive Reserve Energy Deployment Criteria</w:t>
            </w:r>
            <w:bookmarkEnd w:id="221"/>
            <w:bookmarkEnd w:id="222"/>
            <w:bookmarkEnd w:id="223"/>
            <w:bookmarkEnd w:id="224"/>
            <w:bookmarkEnd w:id="225"/>
            <w:bookmarkEnd w:id="226"/>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w:t>
            </w:r>
            <w:r w:rsidRPr="0003648D">
              <w:lastRenderedPageBreak/>
              <w:t xml:space="preserve">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7" w:name="_Toc162532162"/>
      <w:r w:rsidRPr="00EB6A56">
        <w:rPr>
          <w:b/>
        </w:rPr>
        <w:lastRenderedPageBreak/>
        <w:t>8.1.1.4.3</w:t>
      </w:r>
      <w:r w:rsidRPr="00EB6A56">
        <w:rPr>
          <w:b/>
        </w:rPr>
        <w:tab/>
        <w:t>Non-Spinning Reserve Service Energy Deployment Criteria</w:t>
      </w:r>
      <w:bookmarkEnd w:id="215"/>
      <w:bookmarkEnd w:id="216"/>
      <w:bookmarkEnd w:id="217"/>
      <w:bookmarkEnd w:id="218"/>
      <w:bookmarkEnd w:id="219"/>
      <w:bookmarkEnd w:id="220"/>
      <w:bookmarkEnd w:id="227"/>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B4136E9" w:rsidR="000F6ABC" w:rsidRDefault="000F6ABC" w:rsidP="000F6ABC">
      <w:pPr>
        <w:pStyle w:val="List"/>
      </w:pPr>
      <w:r>
        <w:t>(a)</w:t>
      </w:r>
      <w:r>
        <w:tab/>
        <w:t xml:space="preserve">Within 20 minutes following a deployment instruction, the QSE must update the telemetered Ancillary Service Schedule for Non-Spin for Generation Resources and </w:t>
      </w:r>
      <w:r w:rsidR="00111835">
        <w:t>CLRs</w:t>
      </w:r>
      <w:r>
        <w:t xml:space="preserve">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3E3E894E"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w:t>
      </w:r>
      <w:r w:rsidR="00111835">
        <w:t>CLRs</w:t>
      </w:r>
      <w:r w:rsidRPr="0003648D">
        <w:t xml:space="preserve">,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657409B5"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111835">
        <w:t>CLRs</w:t>
      </w:r>
      <w:r w:rsidRPr="0003648D">
        <w:t>;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3667F953"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00111835">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8" w:name="_Hlk82075424"/>
      <w:r>
        <w:t>the difference between the Baseline and</w:t>
      </w:r>
      <w:bookmarkEnd w:id="228"/>
      <w:r w:rsidRPr="0003648D">
        <w:t xml:space="preserve"> the </w:t>
      </w:r>
      <w:r w:rsidRPr="0003648D">
        <w:lastRenderedPageBreak/>
        <w:t>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5448D6BE" w:rsidR="00F37D2E" w:rsidRDefault="00F37D2E" w:rsidP="00F37D2E">
      <w:pPr>
        <w:spacing w:after="240"/>
        <w:ind w:left="720" w:hanging="720"/>
      </w:pPr>
      <w:r>
        <w:t>(4)</w:t>
      </w:r>
      <w:r>
        <w:tab/>
      </w:r>
      <w:r w:rsidRPr="0003648D">
        <w:t>A Load Resource</w:t>
      </w:r>
      <w:r>
        <w:t xml:space="preserve"> that is not a </w:t>
      </w:r>
      <w:r w:rsidR="00111835">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111835">
        <w:t>CLR</w:t>
      </w:r>
      <w:r w:rsidRPr="0003648D">
        <w:t xml:space="preserv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4A2F2160"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rsidR="00111835">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111835">
        <w:t>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26A8C44C" w:rsidR="00C07D55" w:rsidRDefault="00C07D55" w:rsidP="00C20CCB">
            <w:pPr>
              <w:pStyle w:val="Instructions"/>
              <w:spacing w:before="120"/>
              <w:ind w:left="0" w:firstLine="0"/>
            </w:pPr>
            <w:r>
              <w:t>[NPRR1011</w:t>
            </w:r>
            <w:r w:rsidR="006E4B88">
              <w:t>,</w:t>
            </w:r>
            <w:r w:rsidR="000F6B66">
              <w:t xml:space="preserve"> NPRR1188</w:t>
            </w:r>
            <w:r w:rsidR="006E4B88">
              <w:t>, and NPRR1270</w:t>
            </w:r>
            <w:r>
              <w:t xml:space="preserve">:  Replace </w:t>
            </w:r>
            <w:r w:rsidR="000F6B66">
              <w:t xml:space="preserve">applicable portions of </w:t>
            </w:r>
            <w:r>
              <w:t>Section 8.1.1.4.3 above with the following upon system implementation of the Real-Time Co-Optimization (RTC) project</w:t>
            </w:r>
            <w:r w:rsidR="000F6B66">
              <w:t xml:space="preserve"> for NPRR1011</w:t>
            </w:r>
            <w:r w:rsidR="006E4B88">
              <w:t xml:space="preserve"> and NPRR1270</w:t>
            </w:r>
            <w:r w:rsidR="000F6B66">
              <w:t>; or upon system implementation for NPRR1188</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9" w:name="_Toc60045922"/>
            <w:bookmarkStart w:id="230" w:name="_Toc65157818"/>
            <w:bookmarkStart w:id="231" w:name="_Toc116564843"/>
            <w:bookmarkStart w:id="232" w:name="_Toc135994502"/>
            <w:bookmarkStart w:id="233" w:name="_Toc138931513"/>
            <w:bookmarkStart w:id="234" w:name="_Toc162532163"/>
            <w:r w:rsidRPr="00497B63">
              <w:rPr>
                <w:b/>
                <w:szCs w:val="26"/>
              </w:rPr>
              <w:t>8.1.1.4.3</w:t>
            </w:r>
            <w:r w:rsidRPr="00497B63">
              <w:rPr>
                <w:b/>
                <w:szCs w:val="26"/>
              </w:rPr>
              <w:tab/>
              <w:t>Non-Spinning Reserve Service Energy Deployment Criteria</w:t>
            </w:r>
            <w:bookmarkEnd w:id="229"/>
            <w:bookmarkEnd w:id="230"/>
            <w:bookmarkEnd w:id="231"/>
            <w:bookmarkEnd w:id="232"/>
            <w:bookmarkEnd w:id="233"/>
            <w:bookmarkEnd w:id="234"/>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w:t>
            </w:r>
            <w:r w:rsidRPr="00497B63">
              <w:lastRenderedPageBreak/>
              <w:t xml:space="preserve">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59BCB188" w:rsidR="00C07D55" w:rsidRDefault="00C07D55" w:rsidP="00C07D55">
            <w:pPr>
              <w:spacing w:after="240"/>
              <w:ind w:left="1440" w:hanging="720"/>
              <w:rPr>
                <w:iCs/>
              </w:rPr>
            </w:pPr>
            <w:r w:rsidRPr="00497B63">
              <w:rPr>
                <w:iCs/>
              </w:rPr>
              <w:t>(</w:t>
            </w:r>
            <w:r>
              <w:rPr>
                <w:iCs/>
              </w:rPr>
              <w:t>c</w:t>
            </w:r>
            <w:r w:rsidRPr="00497B63">
              <w:rPr>
                <w:iCs/>
              </w:rPr>
              <w:t>)</w:t>
            </w:r>
            <w:r w:rsidRPr="00497B63">
              <w:rPr>
                <w:iCs/>
              </w:rPr>
              <w:tab/>
            </w:r>
            <w:r w:rsidR="009041CF">
              <w:rPr>
                <w:iCs/>
              </w:rPr>
              <w:t>CLRs</w:t>
            </w:r>
            <w:r w:rsidRPr="00497B63">
              <w:rPr>
                <w:iCs/>
              </w:rPr>
              <w:t xml:space="preserve"> must be available to SCED, and must have a</w:t>
            </w:r>
            <w:r w:rsidR="000F6B66">
              <w:rPr>
                <w:iCs/>
              </w:rPr>
              <w:t>n</w:t>
            </w:r>
            <w:r w:rsidRPr="00497B63">
              <w:rPr>
                <w:iCs/>
              </w:rPr>
              <w:t xml:space="preserve"> Energy Bid </w:t>
            </w:r>
            <w:r w:rsidR="000F6B66">
              <w:rPr>
                <w:iCs/>
              </w:rPr>
              <w:t xml:space="preserve">Curve </w:t>
            </w:r>
            <w:r w:rsidRPr="00497B63">
              <w:rPr>
                <w:iCs/>
              </w:rPr>
              <w:t xml:space="preserve">and the telemetered net real power consumption must be greater than or equal to the Resource’s telemetered LPC. </w:t>
            </w:r>
          </w:p>
          <w:p w14:paraId="720AA9C6" w14:textId="7DD8CDA7"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w:t>
            </w:r>
            <w:r w:rsidR="009041CF">
              <w:t>CLRs</w:t>
            </w:r>
            <w:r w:rsidRPr="0003648D">
              <w:t xml:space="preserve">,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01568AF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9041CF">
              <w:t>CLRs</w:t>
            </w:r>
            <w:r w:rsidRPr="0003648D">
              <w:t>;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2AE4C34D" w:rsidR="0054605E" w:rsidRDefault="0054605E" w:rsidP="0054605E">
            <w:pPr>
              <w:pStyle w:val="List"/>
            </w:pPr>
            <w:r>
              <w:t>(e)</w:t>
            </w:r>
            <w:r>
              <w:tab/>
            </w:r>
            <w:r w:rsidRPr="0003648D">
              <w:t xml:space="preserve">During periods when the Load level of a Load Resource </w:t>
            </w:r>
            <w:r>
              <w:t xml:space="preserve">that is not a </w:t>
            </w:r>
            <w:r w:rsidR="009041CF">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 xml:space="preserve">the average of the real power consumption data being telemetered to </w:t>
            </w:r>
            <w:r w:rsidRPr="0003648D">
              <w:lastRenderedPageBreak/>
              <w:t>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6C82E54B" w14:textId="1022A0CD" w:rsidR="0054605E" w:rsidRPr="00C07D55" w:rsidRDefault="0054605E" w:rsidP="0054605E">
            <w:pPr>
              <w:spacing w:after="240"/>
              <w:ind w:left="720" w:hanging="720"/>
              <w:rPr>
                <w:iCs/>
              </w:rPr>
            </w:pPr>
            <w:r>
              <w:t>(</w:t>
            </w:r>
            <w:r w:rsidR="006E4B88">
              <w:t>5</w:t>
            </w:r>
            <w:r>
              <w:t>)</w:t>
            </w:r>
            <w:r>
              <w:tab/>
            </w:r>
            <w:r w:rsidRPr="0047371E">
              <w:t>ERCOT may revoke the Ancillary Service qualification of any Load Resource</w:t>
            </w:r>
            <w:r>
              <w:t xml:space="preserve"> that is not a</w:t>
            </w:r>
            <w:r w:rsidRPr="0047371E">
              <w:t xml:space="preserve"> </w:t>
            </w:r>
            <w:r w:rsidR="009041CF">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9041CF">
              <w:t>CLR</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5"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5"/>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lastRenderedPageBreak/>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6" w:name="_Toc400968493"/>
            <w:bookmarkStart w:id="237" w:name="_Toc402362741"/>
            <w:bookmarkStart w:id="238" w:name="_Toc405554807"/>
            <w:bookmarkStart w:id="239" w:name="_Toc458771464"/>
            <w:bookmarkStart w:id="240" w:name="_Toc458771587"/>
            <w:bookmarkStart w:id="241" w:name="_Toc460939766"/>
            <w:r>
              <w:lastRenderedPageBreak/>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2" w:name="_Toc116564844"/>
            <w:bookmarkStart w:id="243" w:name="_Toc135994504"/>
            <w:bookmarkStart w:id="244" w:name="_Toc138931515"/>
            <w:bookmarkStart w:id="245"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2"/>
            <w:bookmarkEnd w:id="243"/>
            <w:bookmarkEnd w:id="244"/>
            <w:bookmarkEnd w:id="245"/>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w:t>
            </w:r>
            <w:r w:rsidRPr="00497B63">
              <w:lastRenderedPageBreak/>
              <w:t>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6" w:name="_Toc162532166"/>
      <w:r>
        <w:lastRenderedPageBreak/>
        <w:t>8.1.2</w:t>
      </w:r>
      <w:r>
        <w:tab/>
        <w:t>Current Operating Plan (COP) Performance Requirements</w:t>
      </w:r>
      <w:bookmarkEnd w:id="236"/>
      <w:bookmarkEnd w:id="237"/>
      <w:bookmarkEnd w:id="238"/>
      <w:bookmarkEnd w:id="239"/>
      <w:bookmarkEnd w:id="240"/>
      <w:bookmarkEnd w:id="241"/>
      <w:bookmarkEnd w:id="246"/>
    </w:p>
    <w:p w14:paraId="6778292B" w14:textId="77777777" w:rsidR="00581280" w:rsidRDefault="000963FF">
      <w:pPr>
        <w:pStyle w:val="BodyTextNumbered"/>
      </w:pPr>
      <w:r>
        <w:t>(1)</w:t>
      </w:r>
      <w:r>
        <w:tab/>
        <w:t>Each QSE representing a Resource must submit a COP in accordance with Section 3.9, Current Operating Plan (COP).</w:t>
      </w:r>
    </w:p>
    <w:p w14:paraId="00B7F745" w14:textId="77777777" w:rsidR="00E656B6"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2620D13B" w14:textId="77777777" w:rsidTr="00F26542">
        <w:tc>
          <w:tcPr>
            <w:tcW w:w="9576" w:type="dxa"/>
            <w:shd w:val="clear" w:color="auto" w:fill="E0E0E0"/>
          </w:tcPr>
          <w:p w14:paraId="2C95CB03" w14:textId="21DD64F9" w:rsidR="00E656B6" w:rsidRDefault="00E656B6" w:rsidP="00F26542">
            <w:pPr>
              <w:pStyle w:val="Instructions"/>
              <w:spacing w:before="120"/>
              <w:ind w:left="0" w:firstLine="0"/>
            </w:pPr>
            <w:r>
              <w:t>[NPRR1239:  Replace paragraph (2) above with the following upon system implementation:]</w:t>
            </w:r>
          </w:p>
          <w:p w14:paraId="4CB06508" w14:textId="4A2A2318" w:rsidR="00E656B6" w:rsidRPr="00E656B6" w:rsidRDefault="00E656B6" w:rsidP="00E656B6">
            <w:pPr>
              <w:spacing w:after="240"/>
              <w:ind w:left="720" w:hanging="720"/>
              <w:rPr>
                <w:iCs/>
              </w:rPr>
            </w:pPr>
            <w:r w:rsidRPr="00E62DE9">
              <w:rPr>
                <w:iCs/>
              </w:rPr>
              <w:t>(2)</w:t>
            </w:r>
            <w:r w:rsidRPr="00E62DE9">
              <w:rPr>
                <w:iCs/>
              </w:rPr>
              <w:tab/>
              <w:t xml:space="preserve">For each QSE, ERCOT shall post </w:t>
            </w:r>
            <w:r>
              <w:rPr>
                <w:iCs/>
              </w:rPr>
              <w:t xml:space="preserve">on the ERCOT website </w:t>
            </w:r>
            <w:r w:rsidRPr="00E62DE9">
              <w:rPr>
                <w:iCs/>
              </w:rPr>
              <w:t>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w:t>
            </w:r>
          </w:p>
        </w:tc>
      </w:tr>
    </w:tbl>
    <w:p w14:paraId="7A011806" w14:textId="77777777" w:rsidR="00E656B6" w:rsidRDefault="00E656B6" w:rsidP="00270D0F">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0E71D9C7" w14:textId="77777777" w:rsidTr="00F26542">
        <w:tc>
          <w:tcPr>
            <w:tcW w:w="9576" w:type="dxa"/>
            <w:shd w:val="clear" w:color="auto" w:fill="E0E0E0"/>
          </w:tcPr>
          <w:p w14:paraId="7B7DBFAE" w14:textId="50C948C5" w:rsidR="00E656B6" w:rsidRDefault="00E656B6" w:rsidP="00F26542">
            <w:pPr>
              <w:pStyle w:val="Instructions"/>
              <w:spacing w:before="120"/>
              <w:ind w:left="0" w:firstLine="0"/>
            </w:pPr>
            <w:r>
              <w:t>[NPRR1239:  Replace paragraph (3) above with the following upon system implementation:]</w:t>
            </w:r>
          </w:p>
          <w:p w14:paraId="222F5F90" w14:textId="59A1AA4B" w:rsidR="00E656B6" w:rsidRPr="00E656B6" w:rsidRDefault="00E656B6" w:rsidP="00E656B6">
            <w:pPr>
              <w:spacing w:after="240"/>
              <w:ind w:left="720" w:hanging="720"/>
              <w:rPr>
                <w:iCs/>
              </w:rPr>
            </w:pPr>
            <w:r w:rsidRPr="00E62DE9">
              <w:rPr>
                <w:iCs/>
              </w:rPr>
              <w:lastRenderedPageBreak/>
              <w:t>(3)</w:t>
            </w:r>
            <w:r w:rsidRPr="00E62DE9">
              <w:rPr>
                <w:iCs/>
              </w:rPr>
              <w:tab/>
              <w:t xml:space="preserve">For each QSE, ERCOT shall post </w:t>
            </w:r>
            <w:r>
              <w:rPr>
                <w:iCs/>
              </w:rPr>
              <w:t xml:space="preserve">on the ERCOT website </w:t>
            </w:r>
            <w:r w:rsidRPr="00E62DE9">
              <w:rPr>
                <w:iCs/>
              </w:rPr>
              <w:t xml:space="preserve">for each month the number of Operating Hours during which a Reliability Unit Commitment (RUC)-committed QSE Resource, not Off-Line as the result of a Forced Outage, failed to be On-Line and released to SCED for deployment </w:t>
            </w:r>
            <w:r w:rsidRPr="00E62DE9">
              <w:t>within the first 15 minutes of</w:t>
            </w:r>
            <w:r w:rsidRPr="00E62DE9">
              <w:rPr>
                <w:iCs/>
              </w:rPr>
              <w:t xml:space="preserve"> the RUC-Commitment Hour.  QSEs shall have no more than three hours during an Operating Day and no more than 74 hours during a month that contains one or more of these events.</w:t>
            </w:r>
          </w:p>
        </w:tc>
      </w:tr>
    </w:tbl>
    <w:p w14:paraId="0BD9AAA6" w14:textId="161B19AE" w:rsidR="00503143" w:rsidRDefault="00503143" w:rsidP="00270D0F">
      <w:pPr>
        <w:pStyle w:val="BodyTextNumbered"/>
        <w:spacing w:before="240"/>
      </w:pPr>
      <w:r w:rsidRPr="00041A25">
        <w:rPr>
          <w:iCs w:val="0"/>
        </w:rPr>
        <w:lastRenderedPageBreak/>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7AC39F8E" w14:textId="77777777" w:rsidTr="00F26542">
        <w:tc>
          <w:tcPr>
            <w:tcW w:w="9576" w:type="dxa"/>
            <w:shd w:val="clear" w:color="auto" w:fill="E0E0E0"/>
          </w:tcPr>
          <w:p w14:paraId="4B2903CD" w14:textId="7C4F5514" w:rsidR="00E656B6" w:rsidRDefault="00E656B6" w:rsidP="00F26542">
            <w:pPr>
              <w:pStyle w:val="Instructions"/>
              <w:spacing w:before="120"/>
              <w:ind w:left="0" w:firstLine="0"/>
            </w:pPr>
            <w:bookmarkStart w:id="247" w:name="_Toc400968494"/>
            <w:bookmarkStart w:id="248" w:name="_Toc402362742"/>
            <w:bookmarkStart w:id="249" w:name="_Toc405554808"/>
            <w:bookmarkStart w:id="250" w:name="_Toc458771465"/>
            <w:bookmarkStart w:id="251" w:name="_Toc458771588"/>
            <w:bookmarkStart w:id="252" w:name="_Toc460939767"/>
            <w:bookmarkStart w:id="253" w:name="_Toc162532167"/>
            <w:bookmarkStart w:id="254" w:name="_Toc203961366"/>
            <w:r>
              <w:t>[NPRR1239:  Replace paragraph (4) above with the following upon system implementation:]</w:t>
            </w:r>
          </w:p>
          <w:p w14:paraId="7F83B4FF" w14:textId="194AD0FB" w:rsidR="00E656B6" w:rsidRPr="00E656B6" w:rsidRDefault="00E656B6" w:rsidP="00E656B6">
            <w:pPr>
              <w:spacing w:after="240"/>
              <w:ind w:left="720" w:hanging="720"/>
              <w:rPr>
                <w:iCs/>
              </w:rPr>
            </w:pPr>
            <w:r w:rsidRPr="00E62DE9">
              <w:t>(4)</w:t>
            </w:r>
            <w:r w:rsidRPr="00E62DE9">
              <w:tab/>
              <w:t xml:space="preserve">ERCOT shall post </w:t>
            </w:r>
            <w:r>
              <w:t xml:space="preserve">on the ERCOT website </w:t>
            </w:r>
            <w:r w:rsidRPr="00E62DE9">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tc>
      </w:tr>
    </w:tbl>
    <w:p w14:paraId="38744E97" w14:textId="77777777" w:rsidR="005A4B0A" w:rsidRPr="00C83EFD" w:rsidRDefault="005A4B0A" w:rsidP="00270D0F">
      <w:pPr>
        <w:keepNext/>
        <w:tabs>
          <w:tab w:val="left" w:pos="1080"/>
        </w:tabs>
        <w:spacing w:before="480" w:after="240"/>
        <w:ind w:left="1080" w:hanging="1080"/>
        <w:outlineLvl w:val="2"/>
        <w:rPr>
          <w:b/>
          <w:bCs/>
          <w:i/>
        </w:rPr>
      </w:pPr>
      <w:r w:rsidRPr="00C83EFD">
        <w:rPr>
          <w:b/>
          <w:bCs/>
          <w:i/>
        </w:rPr>
        <w:t>8.1.3</w:t>
      </w:r>
      <w:r w:rsidRPr="00C83EFD">
        <w:rPr>
          <w:b/>
          <w:bCs/>
          <w:i/>
        </w:rPr>
        <w:tab/>
        <w:t>Emergency Response Service Performance and Testing</w:t>
      </w:r>
      <w:bookmarkEnd w:id="247"/>
      <w:bookmarkEnd w:id="248"/>
      <w:bookmarkEnd w:id="249"/>
      <w:bookmarkEnd w:id="250"/>
      <w:bookmarkEnd w:id="251"/>
      <w:bookmarkEnd w:id="252"/>
      <w:bookmarkEnd w:id="253"/>
    </w:p>
    <w:p w14:paraId="60F7B7BE" w14:textId="77777777" w:rsidR="00FD224B" w:rsidRPr="00801B63" w:rsidRDefault="00801B63" w:rsidP="005009BA">
      <w:pPr>
        <w:pStyle w:val="BodyTextNumbered"/>
        <w:widowControl w:val="0"/>
        <w:rPr>
          <w:iCs w:val="0"/>
        </w:rPr>
      </w:pPr>
      <w:bookmarkStart w:id="255" w:name="_Toc326126978"/>
      <w:bookmarkStart w:id="256" w:name="_Toc328122005"/>
      <w:bookmarkStart w:id="257" w:name="_Toc331567377"/>
      <w:bookmarkStart w:id="258" w:name="_Toc333407320"/>
      <w:bookmarkStart w:id="259"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4"/>
      <w:bookmarkEnd w:id="255"/>
      <w:bookmarkEnd w:id="256"/>
      <w:bookmarkEnd w:id="257"/>
      <w:bookmarkEnd w:id="258"/>
      <w:bookmarkEnd w:id="259"/>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60" w:name="_Toc400968495"/>
      <w:bookmarkStart w:id="261" w:name="_Toc402362743"/>
      <w:bookmarkStart w:id="262" w:name="_Toc405554809"/>
      <w:bookmarkStart w:id="263" w:name="_Toc458771466"/>
      <w:bookmarkStart w:id="264" w:name="_Toc458771589"/>
      <w:bookmarkStart w:id="265" w:name="_Toc460939768"/>
      <w:bookmarkStart w:id="266" w:name="_Toc162532168"/>
      <w:bookmarkStart w:id="267" w:name="_Toc203961367"/>
      <w:r w:rsidRPr="003E32DD">
        <w:rPr>
          <w:b/>
          <w:bCs/>
          <w:snapToGrid w:val="0"/>
        </w:rPr>
        <w:t>8.1.3.1</w:t>
      </w:r>
      <w:r w:rsidRPr="003E32DD">
        <w:rPr>
          <w:b/>
          <w:bCs/>
          <w:snapToGrid w:val="0"/>
        </w:rPr>
        <w:tab/>
        <w:t>Performance Criteria for Emergency Response Service Resources</w:t>
      </w:r>
      <w:bookmarkEnd w:id="260"/>
      <w:bookmarkEnd w:id="261"/>
      <w:bookmarkEnd w:id="262"/>
      <w:bookmarkEnd w:id="263"/>
      <w:bookmarkEnd w:id="264"/>
      <w:bookmarkEnd w:id="265"/>
      <w:bookmarkEnd w:id="266"/>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lastRenderedPageBreak/>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8" w:name="_Toc326126980"/>
      <w:bookmarkStart w:id="269" w:name="_Toc328122007"/>
      <w:bookmarkStart w:id="270" w:name="_Toc331567379"/>
      <w:bookmarkStart w:id="271" w:name="_Toc333407322"/>
      <w:bookmarkStart w:id="272" w:name="_Toc341692935"/>
      <w:bookmarkStart w:id="273" w:name="_Toc367966976"/>
      <w:bookmarkStart w:id="274" w:name="_Toc378573851"/>
      <w:bookmarkStart w:id="275" w:name="_Toc378573933"/>
      <w:r w:rsidRPr="00AA5201">
        <w:rPr>
          <w:iCs/>
        </w:rPr>
        <w:t>(c)</w:t>
      </w:r>
      <w:r w:rsidRPr="00AA5201">
        <w:rPr>
          <w:iCs/>
        </w:rPr>
        <w:tab/>
        <w:t>To measure and verify the ERS Resource’s performance, as compared to its contracted capacity, during an ERS deployment event or test.</w:t>
      </w:r>
      <w:bookmarkEnd w:id="267"/>
      <w:bookmarkEnd w:id="268"/>
      <w:bookmarkEnd w:id="269"/>
      <w:bookmarkEnd w:id="270"/>
      <w:bookmarkEnd w:id="271"/>
      <w:bookmarkEnd w:id="272"/>
      <w:bookmarkEnd w:id="273"/>
      <w:bookmarkEnd w:id="274"/>
      <w:bookmarkEnd w:id="275"/>
    </w:p>
    <w:p w14:paraId="28131645" w14:textId="77777777" w:rsidR="00FD224B" w:rsidRPr="00EB6A56" w:rsidRDefault="005A4B0A" w:rsidP="00F129AA">
      <w:pPr>
        <w:pStyle w:val="H5"/>
        <w:ind w:left="1627" w:hanging="1627"/>
        <w:rPr>
          <w:b/>
        </w:rPr>
      </w:pPr>
      <w:bookmarkStart w:id="276" w:name="_Toc400968496"/>
      <w:bookmarkStart w:id="277" w:name="_Toc402362744"/>
      <w:bookmarkStart w:id="278" w:name="_Toc405554810"/>
      <w:bookmarkStart w:id="279" w:name="_Toc458771467"/>
      <w:bookmarkStart w:id="280" w:name="_Toc458771590"/>
      <w:bookmarkStart w:id="281" w:name="_Toc460939769"/>
      <w:bookmarkStart w:id="282" w:name="_Toc162532169"/>
      <w:r w:rsidRPr="00EB6A56">
        <w:rPr>
          <w:b/>
        </w:rPr>
        <w:t>8.1.3.1.1</w:t>
      </w:r>
      <w:r w:rsidRPr="00EB6A56">
        <w:rPr>
          <w:b/>
        </w:rPr>
        <w:tab/>
        <w:t>Baseline</w:t>
      </w:r>
      <w:r w:rsidR="00DF03F9">
        <w:rPr>
          <w:b/>
        </w:rPr>
        <w:t>s</w:t>
      </w:r>
      <w:r w:rsidRPr="00EB6A56">
        <w:rPr>
          <w:b/>
        </w:rPr>
        <w:t xml:space="preserve"> for Emergency Response Service Loads</w:t>
      </w:r>
      <w:bookmarkEnd w:id="276"/>
      <w:bookmarkEnd w:id="277"/>
      <w:bookmarkEnd w:id="278"/>
      <w:bookmarkEnd w:id="279"/>
      <w:bookmarkEnd w:id="280"/>
      <w:bookmarkEnd w:id="281"/>
      <w:bookmarkEnd w:id="282"/>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lastRenderedPageBreak/>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w:t>
      </w:r>
      <w:r w:rsidRPr="004759AD">
        <w:lastRenderedPageBreak/>
        <w:t>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3" w:name="_Toc400968497"/>
      <w:bookmarkStart w:id="284" w:name="_Toc402362745"/>
      <w:bookmarkStart w:id="285" w:name="_Toc405554811"/>
      <w:bookmarkStart w:id="286" w:name="_Toc458771468"/>
      <w:bookmarkStart w:id="287" w:name="_Toc458771591"/>
      <w:bookmarkStart w:id="288" w:name="_Toc460939770"/>
      <w:bookmarkStart w:id="289" w:name="_Toc162532170"/>
      <w:r w:rsidRPr="00EB6A56">
        <w:rPr>
          <w:b/>
        </w:rPr>
        <w:t>8.1.3.1.2</w:t>
      </w:r>
      <w:r w:rsidRPr="00EB6A56">
        <w:rPr>
          <w:b/>
        </w:rPr>
        <w:tab/>
        <w:t>Performance Evaluation for Emergency Response Service Generators</w:t>
      </w:r>
      <w:bookmarkEnd w:id="283"/>
      <w:bookmarkEnd w:id="284"/>
      <w:bookmarkEnd w:id="285"/>
      <w:bookmarkEnd w:id="286"/>
      <w:bookmarkEnd w:id="287"/>
      <w:bookmarkEnd w:id="288"/>
      <w:bookmarkEnd w:id="289"/>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lastRenderedPageBreak/>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 xml:space="preserve">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w:t>
      </w:r>
      <w:r w:rsidRPr="003014AC">
        <w:rPr>
          <w:szCs w:val="24"/>
        </w:rPr>
        <w:lastRenderedPageBreak/>
        <w:t>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90" w:name="_Toc400968498"/>
      <w:bookmarkStart w:id="291" w:name="_Toc402362746"/>
      <w:bookmarkStart w:id="292" w:name="_Toc405554812"/>
      <w:bookmarkStart w:id="293" w:name="_Toc458771469"/>
      <w:bookmarkStart w:id="294" w:name="_Toc458771592"/>
      <w:bookmarkStart w:id="295" w:name="_Toc460939771"/>
      <w:bookmarkStart w:id="296" w:name="_Toc162532171"/>
      <w:r w:rsidRPr="00EB6A56">
        <w:rPr>
          <w:b/>
        </w:rPr>
        <w:t>8.1.3.1.3</w:t>
      </w:r>
      <w:r w:rsidRPr="00EB6A56">
        <w:rPr>
          <w:b/>
        </w:rPr>
        <w:tab/>
        <w:t>Availability Criteria for Emergency Response Service Resources</w:t>
      </w:r>
      <w:bookmarkEnd w:id="290"/>
      <w:bookmarkEnd w:id="291"/>
      <w:bookmarkEnd w:id="292"/>
      <w:bookmarkEnd w:id="293"/>
      <w:bookmarkEnd w:id="294"/>
      <w:bookmarkEnd w:id="295"/>
      <w:bookmarkEnd w:id="296"/>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7" w:name="_Toc400968499"/>
      <w:bookmarkStart w:id="298" w:name="_Toc402362747"/>
      <w:bookmarkStart w:id="299" w:name="_Toc405554813"/>
      <w:bookmarkStart w:id="300" w:name="_Toc458771470"/>
      <w:bookmarkStart w:id="301" w:name="_Toc458771593"/>
      <w:bookmarkStart w:id="302" w:name="_Toc460939772"/>
      <w:bookmarkStart w:id="303" w:name="_Toc162532172"/>
      <w:bookmarkStart w:id="304" w:name="_Hlk88554290"/>
      <w:r w:rsidRPr="00C83EFD">
        <w:t>8.1.3.1.3.1</w:t>
      </w:r>
      <w:r w:rsidRPr="00C83EFD">
        <w:tab/>
        <w:t>Time Period Availability Calculations for Emergency Response Service Loads</w:t>
      </w:r>
      <w:bookmarkEnd w:id="297"/>
      <w:bookmarkEnd w:id="298"/>
      <w:bookmarkEnd w:id="299"/>
      <w:bookmarkEnd w:id="300"/>
      <w:bookmarkEnd w:id="301"/>
      <w:bookmarkEnd w:id="302"/>
      <w:bookmarkEnd w:id="303"/>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lastRenderedPageBreak/>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lastRenderedPageBreak/>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5" w:name="_Toc400968500"/>
      <w:bookmarkStart w:id="306" w:name="_Toc402362748"/>
      <w:bookmarkStart w:id="307" w:name="_Toc405554814"/>
      <w:bookmarkStart w:id="308" w:name="_Toc458771472"/>
      <w:bookmarkStart w:id="309" w:name="_Toc458771595"/>
      <w:bookmarkStart w:id="310" w:name="_Toc460939773"/>
      <w:bookmarkStart w:id="311" w:name="_Toc162532173"/>
      <w:r w:rsidRPr="00C83EFD">
        <w:t>8.1.3.1.3.2</w:t>
      </w:r>
      <w:r w:rsidRPr="00C83EFD">
        <w:tab/>
        <w:t>Time Period Availability Calculations for Emergency Response Service Generators</w:t>
      </w:r>
      <w:bookmarkEnd w:id="305"/>
      <w:bookmarkEnd w:id="306"/>
      <w:bookmarkEnd w:id="307"/>
      <w:bookmarkEnd w:id="308"/>
      <w:bookmarkEnd w:id="309"/>
      <w:bookmarkEnd w:id="310"/>
      <w:bookmarkEnd w:id="311"/>
    </w:p>
    <w:p w14:paraId="653D0CD4" w14:textId="3DC6E1F1" w:rsidR="006D1196" w:rsidRPr="003273EF" w:rsidRDefault="006D1196" w:rsidP="00524FC1">
      <w:pPr>
        <w:spacing w:after="240"/>
        <w:ind w:left="720" w:hanging="720"/>
      </w:pPr>
      <w:bookmarkStart w:id="312" w:name="_Toc458771473"/>
      <w:bookmarkStart w:id="313"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 xml:space="preserve">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w:t>
      </w:r>
      <w:r w:rsidRPr="00B36D5A">
        <w:rPr>
          <w:szCs w:val="24"/>
        </w:rPr>
        <w:lastRenderedPageBreak/>
        <w:t>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lastRenderedPageBreak/>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2"/>
      <w:bookmarkEnd w:id="313"/>
    </w:p>
    <w:p w14:paraId="5F8128FA" w14:textId="4AA4598E" w:rsidR="005A4B0A" w:rsidRPr="00C83EFD" w:rsidRDefault="005A4B0A" w:rsidP="00136F95">
      <w:pPr>
        <w:pStyle w:val="H6"/>
        <w:rPr>
          <w:b w:val="0"/>
          <w:bCs w:val="0"/>
        </w:rPr>
      </w:pPr>
      <w:bookmarkStart w:id="314" w:name="_Toc400968501"/>
      <w:bookmarkStart w:id="315" w:name="_Toc402362749"/>
      <w:bookmarkStart w:id="316" w:name="_Toc405554815"/>
      <w:bookmarkStart w:id="317" w:name="_Toc458771474"/>
      <w:bookmarkStart w:id="318" w:name="_Toc458771597"/>
      <w:bookmarkStart w:id="319" w:name="_Toc460939774"/>
      <w:bookmarkStart w:id="320" w:name="_Toc162532174"/>
      <w:r w:rsidRPr="00C83EFD">
        <w:t>8.1.3.1.3.3</w:t>
      </w:r>
      <w:r w:rsidRPr="00C83EFD">
        <w:tab/>
        <w:t>Contract Period Availability Calculations for Emergency Response Service Resources</w:t>
      </w:r>
      <w:bookmarkEnd w:id="314"/>
      <w:bookmarkEnd w:id="315"/>
      <w:bookmarkEnd w:id="316"/>
      <w:bookmarkEnd w:id="317"/>
      <w:bookmarkEnd w:id="318"/>
      <w:bookmarkEnd w:id="319"/>
      <w:bookmarkEnd w:id="32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lastRenderedPageBreak/>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 xml:space="preserve">An ERS Resource shall be deemed to have met its availability requirements for an ERS Contract Period if ERSAFHRS for the ERS Contract Period is less than 0.5 and if the ERS Resource achieves an ERSAFCOMB greater than or equal to the </w:t>
      </w:r>
      <w:r w:rsidRPr="00C83EFD">
        <w:rPr>
          <w:iCs/>
        </w:rPr>
        <w:lastRenderedPageBreak/>
        <w:t>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1" w:name="_Toc400968502"/>
      <w:bookmarkStart w:id="322" w:name="_Toc402362750"/>
      <w:bookmarkStart w:id="323" w:name="_Toc405554816"/>
      <w:bookmarkStart w:id="324" w:name="_Toc458771475"/>
      <w:bookmarkStart w:id="325" w:name="_Toc458771598"/>
      <w:bookmarkStart w:id="326" w:name="_Toc460939775"/>
      <w:bookmarkStart w:id="327" w:name="_Toc162532175"/>
      <w:r w:rsidRPr="00EB6A56">
        <w:rPr>
          <w:b/>
        </w:rPr>
        <w:t>8.1.3.1.4</w:t>
      </w:r>
      <w:r w:rsidRPr="00EB6A56">
        <w:rPr>
          <w:b/>
        </w:rPr>
        <w:tab/>
        <w:t>Event Performance Criteria for Emergency Response Service Resources</w:t>
      </w:r>
      <w:bookmarkEnd w:id="321"/>
      <w:bookmarkEnd w:id="322"/>
      <w:bookmarkEnd w:id="323"/>
      <w:bookmarkEnd w:id="324"/>
      <w:bookmarkEnd w:id="325"/>
      <w:bookmarkEnd w:id="326"/>
      <w:bookmarkEnd w:id="327"/>
    </w:p>
    <w:p w14:paraId="3EDA0159" w14:textId="77777777" w:rsidR="00C8068A" w:rsidRPr="00AA1B94" w:rsidRDefault="00C8068A" w:rsidP="00C8068A">
      <w:pPr>
        <w:keepNext/>
        <w:widowControl w:val="0"/>
        <w:spacing w:after="240"/>
        <w:ind w:left="720" w:hanging="720"/>
        <w:rPr>
          <w:iCs/>
        </w:rPr>
      </w:pPr>
      <w:bookmarkStart w:id="328" w:name="_Toc326126990"/>
      <w:bookmarkStart w:id="329" w:name="_Toc328122017"/>
      <w:bookmarkStart w:id="330" w:name="_Toc331567389"/>
      <w:bookmarkStart w:id="331" w:name="_Toc333407332"/>
      <w:bookmarkStart w:id="332" w:name="_Toc341692945"/>
      <w:bookmarkStart w:id="333" w:name="_Toc367966986"/>
      <w:bookmarkStart w:id="33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lastRenderedPageBreak/>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lastRenderedPageBreak/>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lastRenderedPageBreak/>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lastRenderedPageBreak/>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5" w:name="_Toc400968503"/>
      <w:bookmarkStart w:id="336" w:name="_Toc402362751"/>
      <w:bookmarkStart w:id="337" w:name="_Toc405554817"/>
      <w:bookmarkStart w:id="338" w:name="_Toc458771476"/>
      <w:bookmarkStart w:id="339" w:name="_Toc458771599"/>
      <w:bookmarkStart w:id="340" w:name="_Toc460939776"/>
      <w:bookmarkStart w:id="341" w:name="_Toc203961368"/>
      <w:bookmarkEnd w:id="328"/>
      <w:bookmarkEnd w:id="329"/>
      <w:bookmarkEnd w:id="330"/>
      <w:bookmarkEnd w:id="331"/>
      <w:bookmarkEnd w:id="332"/>
      <w:bookmarkEnd w:id="333"/>
      <w:bookmarkEnd w:id="33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2" w:name="_Toc162532176"/>
      <w:bookmarkStart w:id="343" w:name="_Hlk86304862"/>
      <w:r w:rsidRPr="00C83EFD">
        <w:rPr>
          <w:b/>
          <w:bCs/>
          <w:snapToGrid w:val="0"/>
        </w:rPr>
        <w:t>8.1.3.2</w:t>
      </w:r>
      <w:r w:rsidRPr="00C83EFD">
        <w:rPr>
          <w:b/>
          <w:bCs/>
          <w:snapToGrid w:val="0"/>
        </w:rPr>
        <w:tab/>
        <w:t>Testing of Emergency Response Service Resources</w:t>
      </w:r>
      <w:bookmarkEnd w:id="335"/>
      <w:bookmarkEnd w:id="336"/>
      <w:bookmarkEnd w:id="337"/>
      <w:bookmarkEnd w:id="338"/>
      <w:bookmarkEnd w:id="339"/>
      <w:bookmarkEnd w:id="340"/>
      <w:bookmarkEnd w:id="342"/>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w:t>
      </w:r>
      <w:r w:rsidRPr="00535057">
        <w:rPr>
          <w:szCs w:val="24"/>
        </w:rPr>
        <w:lastRenderedPageBreak/>
        <w:t xml:space="preserve">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w:t>
      </w:r>
      <w:r w:rsidRPr="00535057">
        <w:rPr>
          <w:szCs w:val="24"/>
        </w:rPr>
        <w:lastRenderedPageBreak/>
        <w:t>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lastRenderedPageBreak/>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4" w:name="_Toc400968504"/>
      <w:bookmarkStart w:id="345" w:name="_Toc402362752"/>
      <w:bookmarkStart w:id="346" w:name="_Toc405554818"/>
      <w:bookmarkStart w:id="347" w:name="_Toc458771477"/>
      <w:bookmarkStart w:id="348" w:name="_Toc458771600"/>
      <w:bookmarkStart w:id="349" w:name="_Toc460939777"/>
      <w:bookmarkStart w:id="350" w:name="_Toc203961369"/>
      <w:bookmarkEnd w:id="34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1" w:name="_Toc162532177"/>
      <w:bookmarkEnd w:id="304"/>
      <w:bookmarkEnd w:id="343"/>
      <w:r w:rsidRPr="00C83EFD">
        <w:rPr>
          <w:b/>
          <w:bCs/>
          <w:snapToGrid w:val="0"/>
        </w:rPr>
        <w:lastRenderedPageBreak/>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4"/>
      <w:bookmarkEnd w:id="345"/>
      <w:bookmarkEnd w:id="346"/>
      <w:bookmarkEnd w:id="347"/>
      <w:bookmarkEnd w:id="348"/>
      <w:bookmarkEnd w:id="349"/>
      <w:bookmarkEnd w:id="351"/>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2" w:name="_Toc400968505"/>
      <w:bookmarkStart w:id="353" w:name="_Toc402362753"/>
      <w:bookmarkStart w:id="354" w:name="_Toc405554819"/>
      <w:bookmarkStart w:id="355" w:name="_Toc458771478"/>
      <w:bookmarkStart w:id="356" w:name="_Toc458771601"/>
      <w:bookmarkStart w:id="357" w:name="_Toc460939778"/>
      <w:bookmarkStart w:id="358"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52"/>
      <w:bookmarkEnd w:id="353"/>
      <w:bookmarkEnd w:id="354"/>
      <w:bookmarkEnd w:id="355"/>
      <w:bookmarkEnd w:id="356"/>
      <w:bookmarkEnd w:id="357"/>
      <w:bookmarkEnd w:id="358"/>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lastRenderedPageBreak/>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lastRenderedPageBreak/>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 xml:space="preserve">by the ERS Generator for each interval of the event shall be multiplied by a </w:t>
      </w:r>
      <w:r w:rsidRPr="0041760F">
        <w:lastRenderedPageBreak/>
        <w:t>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lastRenderedPageBreak/>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9" w:name="_Toc400968506"/>
      <w:bookmarkStart w:id="360" w:name="_Toc402362754"/>
      <w:bookmarkStart w:id="361" w:name="_Toc405554820"/>
      <w:bookmarkStart w:id="362" w:name="_Toc458771479"/>
      <w:bookmarkStart w:id="363" w:name="_Toc458771602"/>
      <w:bookmarkStart w:id="364"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5"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9"/>
      <w:bookmarkEnd w:id="360"/>
      <w:bookmarkEnd w:id="361"/>
      <w:bookmarkEnd w:id="362"/>
      <w:bookmarkEnd w:id="363"/>
      <w:bookmarkEnd w:id="364"/>
      <w:bookmarkEnd w:id="365"/>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w:t>
      </w:r>
      <w:r w:rsidRPr="00201E51">
        <w:lastRenderedPageBreak/>
        <w:t xml:space="preserve">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 xml:space="preserve">)(a) and (b) above require the ERSEPF to be squared, the baseline used to evaluate the ERS Load shall be reduced to the </w:t>
      </w:r>
      <w:r w:rsidRPr="00C3728E">
        <w:rPr>
          <w:iCs/>
        </w:rPr>
        <w:lastRenderedPageBreak/>
        <w:t>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6" w:name="_Toc378573948"/>
      <w:bookmarkStart w:id="367" w:name="_Toc378857301"/>
      <w:bookmarkStart w:id="368" w:name="_Toc381079310"/>
      <w:bookmarkStart w:id="369" w:name="_Toc400968507"/>
      <w:bookmarkStart w:id="370" w:name="_Toc402362755"/>
      <w:bookmarkStart w:id="371" w:name="_Toc405554821"/>
      <w:bookmarkStart w:id="372" w:name="_Toc458771480"/>
      <w:bookmarkStart w:id="373" w:name="_Toc458771603"/>
      <w:bookmarkStart w:id="374" w:name="_Toc460939780"/>
      <w:bookmarkEnd w:id="350"/>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5" w:name="_Toc162532180"/>
      <w:bookmarkStart w:id="376"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6"/>
      <w:bookmarkEnd w:id="367"/>
      <w:bookmarkEnd w:id="368"/>
      <w:bookmarkEnd w:id="369"/>
      <w:bookmarkEnd w:id="370"/>
      <w:bookmarkEnd w:id="371"/>
      <w:bookmarkEnd w:id="372"/>
      <w:bookmarkEnd w:id="373"/>
      <w:bookmarkEnd w:id="374"/>
      <w:bookmarkEnd w:id="375"/>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lastRenderedPageBreak/>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lastRenderedPageBreak/>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lastRenderedPageBreak/>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7" w:name="_Toc400968508"/>
      <w:bookmarkStart w:id="378" w:name="_Toc402362756"/>
      <w:bookmarkStart w:id="379" w:name="_Toc405554822"/>
      <w:bookmarkStart w:id="380" w:name="_Toc458771481"/>
      <w:bookmarkStart w:id="381" w:name="_Toc458771604"/>
      <w:bookmarkStart w:id="382" w:name="_Toc460939781"/>
      <w:bookmarkStart w:id="383" w:name="_Toc162532181"/>
      <w:bookmarkEnd w:id="376"/>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7"/>
      <w:bookmarkEnd w:id="378"/>
      <w:bookmarkEnd w:id="379"/>
      <w:bookmarkEnd w:id="380"/>
      <w:bookmarkEnd w:id="381"/>
      <w:bookmarkEnd w:id="382"/>
      <w:bookmarkEnd w:id="383"/>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lastRenderedPageBreak/>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4" w:name="_Toc400968509"/>
      <w:bookmarkStart w:id="385" w:name="_Toc402362757"/>
      <w:bookmarkStart w:id="386" w:name="_Toc405554823"/>
      <w:bookmarkStart w:id="387" w:name="_Toc458771482"/>
      <w:bookmarkStart w:id="388" w:name="_Toc458771605"/>
      <w:bookmarkStart w:id="389" w:name="_Toc460939782"/>
      <w:bookmarkStart w:id="390" w:name="_Toc162532182"/>
      <w:bookmarkStart w:id="391" w:name="_Toc203961370"/>
      <w:r w:rsidRPr="00C83EFD">
        <w:rPr>
          <w:b/>
          <w:bCs/>
          <w:snapToGrid w:val="0"/>
        </w:rPr>
        <w:t>8.1.3.4</w:t>
      </w:r>
      <w:r w:rsidRPr="00C83EFD">
        <w:rPr>
          <w:b/>
          <w:bCs/>
          <w:snapToGrid w:val="0"/>
        </w:rPr>
        <w:tab/>
        <w:t>ERCOT Data Collection for Emergency Response Service</w:t>
      </w:r>
      <w:bookmarkEnd w:id="384"/>
      <w:bookmarkEnd w:id="385"/>
      <w:bookmarkEnd w:id="386"/>
      <w:bookmarkEnd w:id="387"/>
      <w:bookmarkEnd w:id="388"/>
      <w:bookmarkEnd w:id="389"/>
      <w:bookmarkEnd w:id="390"/>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1"/>
    </w:p>
    <w:p w14:paraId="032DD499" w14:textId="77777777" w:rsidR="00FD224B" w:rsidRDefault="000963FF" w:rsidP="003F77C7">
      <w:pPr>
        <w:pStyle w:val="H2"/>
        <w:ind w:left="907" w:hanging="907"/>
      </w:pPr>
      <w:bookmarkStart w:id="392" w:name="_Toc141777785"/>
      <w:bookmarkStart w:id="393" w:name="_Toc203961371"/>
      <w:bookmarkStart w:id="394" w:name="_Toc400968510"/>
      <w:bookmarkStart w:id="395" w:name="_Toc402362758"/>
      <w:bookmarkStart w:id="396" w:name="_Toc405554824"/>
      <w:bookmarkStart w:id="397" w:name="_Toc458771483"/>
      <w:bookmarkStart w:id="398" w:name="_Toc458771606"/>
      <w:bookmarkStart w:id="399" w:name="_Toc460939783"/>
      <w:bookmarkStart w:id="400" w:name="_Toc505095207"/>
      <w:bookmarkStart w:id="401" w:name="_Toc505095427"/>
      <w:bookmarkStart w:id="402" w:name="_Toc162532183"/>
      <w:r>
        <w:t>8.2</w:t>
      </w:r>
      <w:r>
        <w:tab/>
        <w:t>ERCOT Performance Monitoring</w:t>
      </w:r>
      <w:bookmarkEnd w:id="392"/>
      <w:bookmarkEnd w:id="393"/>
      <w:bookmarkEnd w:id="394"/>
      <w:bookmarkEnd w:id="395"/>
      <w:bookmarkEnd w:id="396"/>
      <w:bookmarkEnd w:id="397"/>
      <w:bookmarkEnd w:id="398"/>
      <w:bookmarkEnd w:id="399"/>
      <w:bookmarkEnd w:id="400"/>
      <w:bookmarkEnd w:id="401"/>
      <w:bookmarkEnd w:id="402"/>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lastRenderedPageBreak/>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C120B" w14:paraId="543B5BCB" w14:textId="77777777" w:rsidTr="0039253B">
        <w:tc>
          <w:tcPr>
            <w:tcW w:w="9350" w:type="dxa"/>
            <w:shd w:val="clear" w:color="auto" w:fill="E0E0E0"/>
          </w:tcPr>
          <w:p w14:paraId="57FC5135" w14:textId="21FCFE6B" w:rsidR="000C120B" w:rsidRDefault="000C120B" w:rsidP="0039253B">
            <w:pPr>
              <w:pStyle w:val="Instructions"/>
              <w:spacing w:before="120"/>
              <w:ind w:left="0" w:firstLine="0"/>
            </w:pPr>
            <w:r>
              <w:t>[NPRR1246:  Replace item (iv) above with the following upon system implementation of the Real-Time Co-Optimization (RTC) project:]</w:t>
            </w:r>
          </w:p>
          <w:p w14:paraId="05C43BEB" w14:textId="697F588A" w:rsidR="000C120B" w:rsidRPr="009C0646" w:rsidRDefault="000C120B" w:rsidP="000C120B">
            <w:pPr>
              <w:spacing w:after="240"/>
              <w:ind w:left="2160" w:hanging="720"/>
            </w:pPr>
            <w:r w:rsidRPr="00E1424A">
              <w:t>(iv)</w:t>
            </w:r>
            <w:r w:rsidRPr="00E1424A">
              <w:tab/>
              <w:t xml:space="preserve">Metrics describing conflicting instructions to Generation Resources </w:t>
            </w:r>
            <w:r>
              <w:t xml:space="preserve">and Energy Storage Resources (ESRs) </w:t>
            </w:r>
            <w:r w:rsidRPr="00E1424A">
              <w:t>from interval to interval;</w:t>
            </w:r>
          </w:p>
        </w:tc>
      </w:tr>
    </w:tbl>
    <w:p w14:paraId="064695BC" w14:textId="51196866" w:rsidR="00581280" w:rsidRDefault="000963FF" w:rsidP="009F07E5">
      <w:pPr>
        <w:pStyle w:val="List2"/>
        <w:spacing w:before="240"/>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lastRenderedPageBreak/>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3" w:name="_Toc141777786"/>
      <w:bookmarkStart w:id="404" w:name="_Toc203961372"/>
      <w:bookmarkStart w:id="405" w:name="_Toc400968512"/>
      <w:bookmarkStart w:id="406" w:name="_Toc402362760"/>
      <w:bookmarkStart w:id="407" w:name="_Toc405554826"/>
      <w:bookmarkStart w:id="408" w:name="_Toc458771485"/>
      <w:bookmarkStart w:id="409" w:name="_Toc458771608"/>
      <w:bookmarkStart w:id="410" w:name="_Toc460939785"/>
      <w:bookmarkStart w:id="411" w:name="_Toc162532184"/>
      <w:r>
        <w:t>8.3</w:t>
      </w:r>
      <w:r>
        <w:tab/>
        <w:t>TSP Performance Monitoring and Compliance</w:t>
      </w:r>
      <w:bookmarkEnd w:id="403"/>
      <w:bookmarkEnd w:id="404"/>
      <w:bookmarkEnd w:id="405"/>
      <w:bookmarkEnd w:id="406"/>
      <w:bookmarkEnd w:id="407"/>
      <w:bookmarkEnd w:id="408"/>
      <w:bookmarkEnd w:id="409"/>
      <w:bookmarkEnd w:id="410"/>
      <w:bookmarkEnd w:id="411"/>
    </w:p>
    <w:p w14:paraId="4AF3A24A" w14:textId="552A9A4B" w:rsidR="008905F1" w:rsidRDefault="000963FF" w:rsidP="00CA675B">
      <w:pPr>
        <w:pStyle w:val="List"/>
        <w:rPr>
          <w:rStyle w:val="CharChar"/>
          <w:iCs w:val="0"/>
        </w:rPr>
      </w:pPr>
      <w:r>
        <w:t>(1)</w:t>
      </w:r>
      <w:r>
        <w:tab/>
        <w:t>ERCOT shall develop a Technical Advisory Committee (TAC)</w:t>
      </w:r>
      <w:r w:rsidR="00AB654D">
        <w:t>-</w:t>
      </w:r>
      <w:r>
        <w:t xml:space="preserve"> and ERCOT Board-approved Transmission Service Provider (TSP) monitoring program to be included in the Operating Guides for TSPs</w:t>
      </w:r>
      <w:r w:rsidR="000C120B" w:rsidRPr="000C120B">
        <w:t xml:space="preserve"> </w:t>
      </w:r>
      <w:r w:rsidR="000C120B">
        <w:t>regarding Real-Time data telemetry performance.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2" w:name="_Toc381079317"/>
            <w:bookmarkStart w:id="413" w:name="_Toc389042193"/>
            <w:bookmarkStart w:id="414" w:name="_Toc390435477"/>
            <w:bookmarkStart w:id="415" w:name="_Toc391534091"/>
            <w:bookmarkStart w:id="416" w:name="_Toc400968513"/>
            <w:bookmarkStart w:id="417" w:name="_Toc402362761"/>
            <w:bookmarkStart w:id="418" w:name="_Toc402363377"/>
            <w:bookmarkStart w:id="419" w:name="_Toc405554827"/>
            <w:bookmarkStart w:id="420" w:name="_Toc406594239"/>
            <w:bookmarkStart w:id="421" w:name="_Toc416429418"/>
            <w:bookmarkStart w:id="422" w:name="_Toc423094468"/>
            <w:bookmarkStart w:id="423" w:name="_Toc427076126"/>
            <w:bookmarkStart w:id="424" w:name="_Toc430078251"/>
            <w:bookmarkStart w:id="425" w:name="_Toc432405967"/>
            <w:bookmarkStart w:id="426" w:name="_Toc433097723"/>
            <w:bookmarkStart w:id="427" w:name="_Toc438017564"/>
            <w:bookmarkStart w:id="428" w:name="_Toc440631064"/>
            <w:bookmarkStart w:id="429" w:name="_Toc442356410"/>
            <w:bookmarkStart w:id="430" w:name="_Toc447619660"/>
            <w:bookmarkStart w:id="431" w:name="_Toc452971786"/>
            <w:bookmarkStart w:id="432" w:name="_Toc458771486"/>
            <w:bookmarkStart w:id="433" w:name="_Toc458771609"/>
            <w:bookmarkStart w:id="434" w:name="_Toc458771662"/>
            <w:bookmarkStart w:id="435" w:name="_Toc460939786"/>
            <w:bookmarkStart w:id="436" w:name="_Toc461101811"/>
            <w:bookmarkStart w:id="437"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5A66DEB4" w14:textId="14DB14BD" w:rsidR="007639FA" w:rsidRPr="00320E5C" w:rsidRDefault="007639FA" w:rsidP="009F07E5">
            <w:pPr>
              <w:widowControl w:val="0"/>
              <w:spacing w:after="240"/>
              <w:ind w:left="697" w:hanging="720"/>
              <w:rPr>
                <w:vertAlign w:val="superscript"/>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000C120B">
              <w:rPr>
                <w:iCs/>
              </w:rPr>
              <w:t xml:space="preserve"> regarding Real-Time data telemetry performance.</w:t>
            </w:r>
          </w:p>
        </w:tc>
      </w:tr>
    </w:tbl>
    <w:p w14:paraId="72CB641C" w14:textId="77777777" w:rsidR="00581280" w:rsidRDefault="000963FF" w:rsidP="009C49F5">
      <w:pPr>
        <w:pStyle w:val="H2"/>
        <w:spacing w:before="480"/>
        <w:ind w:left="907" w:hanging="907"/>
      </w:pPr>
      <w:bookmarkStart w:id="438" w:name="_Toc141777787"/>
      <w:bookmarkStart w:id="439" w:name="_Toc203961373"/>
      <w:bookmarkStart w:id="440" w:name="_Toc400968514"/>
      <w:bookmarkStart w:id="441" w:name="_Toc402362762"/>
      <w:bookmarkStart w:id="442" w:name="_Toc405554828"/>
      <w:bookmarkStart w:id="443" w:name="_Toc458771487"/>
      <w:bookmarkStart w:id="444" w:name="_Toc458771610"/>
      <w:bookmarkStart w:id="445" w:name="_Toc460939787"/>
      <w:bookmarkStart w:id="446" w:name="_Toc162532185"/>
      <w:r>
        <w:lastRenderedPageBreak/>
        <w:t>8.4</w:t>
      </w:r>
      <w:r>
        <w:tab/>
        <w:t>ERCOT Response to Market Non-</w:t>
      </w:r>
      <w:bookmarkEnd w:id="438"/>
      <w:bookmarkEnd w:id="439"/>
      <w:r>
        <w:t>Performance</w:t>
      </w:r>
      <w:bookmarkEnd w:id="440"/>
      <w:bookmarkEnd w:id="441"/>
      <w:bookmarkEnd w:id="442"/>
      <w:bookmarkEnd w:id="443"/>
      <w:bookmarkEnd w:id="444"/>
      <w:bookmarkEnd w:id="445"/>
      <w:bookmarkEnd w:id="446"/>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C120B" w14:paraId="557E5C1D" w14:textId="77777777" w:rsidTr="0039253B">
        <w:tc>
          <w:tcPr>
            <w:tcW w:w="9350" w:type="dxa"/>
            <w:shd w:val="clear" w:color="auto" w:fill="E0E0E0"/>
          </w:tcPr>
          <w:p w14:paraId="7A61B1FE" w14:textId="6E143824" w:rsidR="000C120B" w:rsidRDefault="000C120B" w:rsidP="0039253B">
            <w:pPr>
              <w:pStyle w:val="Instructions"/>
              <w:spacing w:before="120"/>
              <w:ind w:left="0" w:firstLine="0"/>
            </w:pPr>
            <w:r>
              <w:t>[NPRR1246:  Replace paragraph (2) above with the following upon system implementation of the Real-Time Co-Optimization (RTC) project:]</w:t>
            </w:r>
          </w:p>
          <w:p w14:paraId="10F65743" w14:textId="18B0A4EB" w:rsidR="000C120B" w:rsidRPr="000C120B" w:rsidRDefault="000C120B" w:rsidP="000C120B">
            <w:pPr>
              <w:spacing w:after="240"/>
              <w:ind w:left="720" w:hanging="720"/>
              <w:rPr>
                <w:iCs/>
              </w:rPr>
            </w:pPr>
            <w:r w:rsidRPr="00E1424A">
              <w:rPr>
                <w:iCs/>
              </w:rPr>
              <w:t>(2)</w:t>
            </w:r>
            <w:r w:rsidRPr="00E1424A">
              <w:rPr>
                <w:iCs/>
              </w:rPr>
              <w:tab/>
              <w:t>ERCOT may revoke any or all Ancillary Service qualifications of any Generation Resource</w:t>
            </w:r>
            <w:r>
              <w:rPr>
                <w:iCs/>
              </w:rPr>
              <w:t>, Energy Storage Resource (ESRs),</w:t>
            </w:r>
            <w:r w:rsidRPr="00E1424A">
              <w:rPr>
                <w:iCs/>
              </w:rPr>
              <w:t xml:space="preserve"> or Load Resource for continued material non-performance in providing Ancillary Service capacity or energy.</w:t>
            </w:r>
          </w:p>
        </w:tc>
      </w:tr>
    </w:tbl>
    <w:p w14:paraId="3346DDDA" w14:textId="6F627B36" w:rsidR="0076662D" w:rsidRDefault="0076662D" w:rsidP="009F07E5">
      <w:pPr>
        <w:pStyle w:val="BodyText"/>
        <w:spacing w:before="240"/>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7" w:name="_Toc117048409"/>
      <w:bookmarkStart w:id="448" w:name="_Toc141777788"/>
      <w:bookmarkStart w:id="449" w:name="_Toc203961374"/>
      <w:bookmarkStart w:id="450" w:name="_Toc400968515"/>
      <w:bookmarkStart w:id="451" w:name="_Toc402362763"/>
      <w:bookmarkStart w:id="452" w:name="_Toc405554829"/>
      <w:bookmarkStart w:id="453" w:name="_Toc458771488"/>
      <w:bookmarkStart w:id="454" w:name="_Toc458771611"/>
      <w:bookmarkStart w:id="455" w:name="_Toc460939788"/>
      <w:bookmarkStart w:id="456" w:name="_Toc162532186"/>
      <w:r>
        <w:t>8.5</w:t>
      </w:r>
      <w:r>
        <w:tab/>
      </w:r>
      <w:r w:rsidR="0023073A">
        <w:t xml:space="preserve">Primary </w:t>
      </w:r>
      <w:r>
        <w:t>Frequency Response Requirements and Monitoring</w:t>
      </w:r>
      <w:bookmarkEnd w:id="447"/>
      <w:bookmarkEnd w:id="448"/>
      <w:bookmarkEnd w:id="449"/>
      <w:bookmarkEnd w:id="450"/>
      <w:bookmarkEnd w:id="451"/>
      <w:bookmarkEnd w:id="452"/>
      <w:bookmarkEnd w:id="453"/>
      <w:bookmarkEnd w:id="454"/>
      <w:bookmarkEnd w:id="455"/>
      <w:bookmarkEnd w:id="456"/>
    </w:p>
    <w:p w14:paraId="3119B85A" w14:textId="20B5EF09" w:rsidR="00581280" w:rsidRDefault="000963FF">
      <w:pPr>
        <w:pStyle w:val="H3"/>
      </w:pPr>
      <w:bookmarkStart w:id="457" w:name="_Toc117048410"/>
      <w:bookmarkStart w:id="458" w:name="_Toc141777789"/>
      <w:bookmarkStart w:id="459" w:name="_Toc203961375"/>
      <w:bookmarkStart w:id="460" w:name="_Toc400968516"/>
      <w:bookmarkStart w:id="461" w:name="_Toc402362764"/>
      <w:bookmarkStart w:id="462" w:name="_Toc405554830"/>
      <w:bookmarkStart w:id="463" w:name="_Toc458771489"/>
      <w:bookmarkStart w:id="464" w:name="_Toc458771612"/>
      <w:bookmarkStart w:id="465" w:name="_Toc460939789"/>
      <w:bookmarkStart w:id="466" w:name="_Toc162532187"/>
      <w:r>
        <w:t>8.5.1</w:t>
      </w:r>
      <w:r>
        <w:tab/>
      </w:r>
      <w:r w:rsidR="00A35662">
        <w:t>Generation Resource, Energy Storage Resource, and QSE Participation</w:t>
      </w:r>
      <w:bookmarkEnd w:id="457"/>
      <w:bookmarkEnd w:id="458"/>
      <w:bookmarkEnd w:id="459"/>
      <w:bookmarkEnd w:id="460"/>
      <w:bookmarkEnd w:id="461"/>
      <w:bookmarkEnd w:id="462"/>
      <w:bookmarkEnd w:id="463"/>
      <w:bookmarkEnd w:id="464"/>
      <w:bookmarkEnd w:id="465"/>
      <w:bookmarkEnd w:id="466"/>
    </w:p>
    <w:p w14:paraId="42C218BB" w14:textId="77777777" w:rsidR="00581280" w:rsidRPr="00EB6A56" w:rsidRDefault="000963FF" w:rsidP="00D734AD">
      <w:pPr>
        <w:pStyle w:val="H4"/>
        <w:rPr>
          <w:b/>
        </w:rPr>
      </w:pPr>
      <w:bookmarkStart w:id="467" w:name="_Toc117048411"/>
      <w:bookmarkStart w:id="468" w:name="_Toc141777790"/>
      <w:bookmarkStart w:id="469" w:name="_Toc203961376"/>
      <w:bookmarkStart w:id="470" w:name="_Toc400968517"/>
      <w:bookmarkStart w:id="471" w:name="_Toc402362765"/>
      <w:bookmarkStart w:id="472" w:name="_Toc405554831"/>
      <w:bookmarkStart w:id="473" w:name="_Toc458771490"/>
      <w:bookmarkStart w:id="474" w:name="_Toc458771613"/>
      <w:bookmarkStart w:id="475" w:name="_Toc460939790"/>
      <w:bookmarkStart w:id="476" w:name="_Toc162532188"/>
      <w:r w:rsidRPr="00EB6A56">
        <w:rPr>
          <w:b/>
        </w:rPr>
        <w:t>8.5.1.1</w:t>
      </w:r>
      <w:r w:rsidRPr="00EB6A56">
        <w:rPr>
          <w:b/>
        </w:rPr>
        <w:tab/>
        <w:t>Governor in Service</w:t>
      </w:r>
      <w:bookmarkEnd w:id="467"/>
      <w:bookmarkEnd w:id="468"/>
      <w:bookmarkEnd w:id="469"/>
      <w:bookmarkEnd w:id="470"/>
      <w:bookmarkEnd w:id="471"/>
      <w:bookmarkEnd w:id="472"/>
      <w:bookmarkEnd w:id="473"/>
      <w:bookmarkEnd w:id="474"/>
      <w:bookmarkEnd w:id="475"/>
      <w:bookmarkEnd w:id="476"/>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7" w:name="_Toc117048412"/>
            <w:bookmarkStart w:id="478" w:name="_Toc141777791"/>
            <w:bookmarkStart w:id="479" w:name="_Toc203961377"/>
            <w:bookmarkStart w:id="480" w:name="_Toc400968518"/>
            <w:bookmarkStart w:id="481" w:name="_Toc402362766"/>
            <w:bookmarkStart w:id="482" w:name="_Toc405554832"/>
            <w:bookmarkStart w:id="483" w:name="_Toc458771491"/>
            <w:bookmarkStart w:id="484" w:name="_Toc458771614"/>
            <w:bookmarkStart w:id="485" w:name="_Toc460939791"/>
            <w:r>
              <w:lastRenderedPageBreak/>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6"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6"/>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7" w:name="_Toc162532189"/>
      <w:r w:rsidRPr="00EB6A56">
        <w:rPr>
          <w:b/>
        </w:rPr>
        <w:t>8.5.1.2</w:t>
      </w:r>
      <w:r w:rsidRPr="00EB6A56">
        <w:rPr>
          <w:b/>
        </w:rPr>
        <w:tab/>
        <w:t>Reporting</w:t>
      </w:r>
      <w:bookmarkEnd w:id="477"/>
      <w:bookmarkEnd w:id="478"/>
      <w:bookmarkEnd w:id="479"/>
      <w:bookmarkEnd w:id="480"/>
      <w:bookmarkEnd w:id="481"/>
      <w:bookmarkEnd w:id="482"/>
      <w:bookmarkEnd w:id="483"/>
      <w:bookmarkEnd w:id="484"/>
      <w:bookmarkEnd w:id="485"/>
      <w:bookmarkEnd w:id="487"/>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3D38B9B0" w14:textId="77777777" w:rsidTr="00F26542">
        <w:tc>
          <w:tcPr>
            <w:tcW w:w="9576" w:type="dxa"/>
            <w:shd w:val="clear" w:color="auto" w:fill="E0E0E0"/>
          </w:tcPr>
          <w:p w14:paraId="091D7F7A" w14:textId="768DB198" w:rsidR="00E656B6" w:rsidRDefault="00E656B6" w:rsidP="00F26542">
            <w:pPr>
              <w:pStyle w:val="Instructions"/>
              <w:spacing w:before="120"/>
              <w:ind w:left="0" w:firstLine="0"/>
            </w:pPr>
            <w:r>
              <w:lastRenderedPageBreak/>
              <w:t>[NPRR1239:  Replace paragraph (1) above with the following upon system implementation:]</w:t>
            </w:r>
          </w:p>
          <w:p w14:paraId="4BB01594" w14:textId="36D3B4BA" w:rsidR="00E656B6" w:rsidRPr="00E656B6" w:rsidRDefault="00E656B6" w:rsidP="00E656B6">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 and upon request on the ERCOT website.</w:t>
            </w:r>
          </w:p>
        </w:tc>
      </w:tr>
    </w:tbl>
    <w:p w14:paraId="75314114" w14:textId="7B8135F2" w:rsidR="00581280" w:rsidRDefault="000963FF" w:rsidP="00270D0F">
      <w:pPr>
        <w:pStyle w:val="BodyTextNumbered"/>
        <w:spacing w:before="240"/>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8" w:name="_Toc400968519"/>
      <w:bookmarkStart w:id="489" w:name="_Toc402362767"/>
      <w:bookmarkStart w:id="490" w:name="_Toc405554833"/>
      <w:bookmarkStart w:id="491" w:name="_Toc458771492"/>
      <w:bookmarkStart w:id="492" w:name="_Toc458771615"/>
      <w:bookmarkStart w:id="493" w:name="_Toc460939792"/>
      <w:bookmarkStart w:id="494"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8"/>
      <w:bookmarkEnd w:id="489"/>
      <w:bookmarkEnd w:id="490"/>
      <w:bookmarkEnd w:id="491"/>
      <w:bookmarkEnd w:id="492"/>
      <w:bookmarkEnd w:id="493"/>
      <w:bookmarkEnd w:id="494"/>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w:t>
      </w:r>
      <w:r w:rsidR="0023073A" w:rsidRPr="00EF2440">
        <w:rPr>
          <w:iCs w:val="0"/>
        </w:rPr>
        <w:lastRenderedPageBreak/>
        <w:t>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5" w:name="_Toc117048413"/>
      <w:bookmarkStart w:id="496" w:name="_Toc141777792"/>
      <w:bookmarkStart w:id="497" w:name="_Toc203961378"/>
      <w:bookmarkStart w:id="498" w:name="_Toc400968520"/>
      <w:bookmarkStart w:id="499" w:name="_Toc402362768"/>
      <w:bookmarkStart w:id="500" w:name="_Toc405554834"/>
      <w:bookmarkStart w:id="501" w:name="_Toc458771493"/>
      <w:bookmarkStart w:id="502" w:name="_Toc458771616"/>
      <w:bookmarkStart w:id="503" w:name="_Toc460939793"/>
      <w:bookmarkStart w:id="504" w:name="_Toc162532191"/>
      <w:r>
        <w:t>8.5.2</w:t>
      </w:r>
      <w:r>
        <w:tab/>
        <w:t xml:space="preserve">Primary Frequency </w:t>
      </w:r>
      <w:r w:rsidR="00C7240F">
        <w:t xml:space="preserve">Response </w:t>
      </w:r>
      <w:r>
        <w:t>Measurements</w:t>
      </w:r>
      <w:bookmarkEnd w:id="495"/>
      <w:bookmarkEnd w:id="496"/>
      <w:bookmarkEnd w:id="497"/>
      <w:bookmarkEnd w:id="498"/>
      <w:bookmarkEnd w:id="499"/>
      <w:bookmarkEnd w:id="500"/>
      <w:bookmarkEnd w:id="501"/>
      <w:bookmarkEnd w:id="502"/>
      <w:bookmarkEnd w:id="503"/>
      <w:bookmarkEnd w:id="504"/>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lastRenderedPageBreak/>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5" w:name="_Toc117048414"/>
            <w:bookmarkStart w:id="506" w:name="_Toc141777793"/>
            <w:bookmarkStart w:id="507" w:name="_Toc203961379"/>
            <w:bookmarkStart w:id="508" w:name="_Toc400968521"/>
            <w:bookmarkStart w:id="509" w:name="_Toc402362769"/>
            <w:bookmarkStart w:id="510" w:name="_Toc405554835"/>
            <w:bookmarkStart w:id="511" w:name="_Toc458771495"/>
            <w:bookmarkStart w:id="512" w:name="_Toc458771618"/>
            <w:bookmarkStart w:id="513"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4" w:name="_Toc162532192"/>
      <w:r w:rsidRPr="00EB6A56">
        <w:rPr>
          <w:b/>
        </w:rPr>
        <w:t>8.5.2.1</w:t>
      </w:r>
      <w:r w:rsidRPr="00EB6A56">
        <w:rPr>
          <w:b/>
        </w:rPr>
        <w:tab/>
        <w:t>ERCOT Required Primary Frequency Response</w:t>
      </w:r>
      <w:bookmarkEnd w:id="505"/>
      <w:bookmarkEnd w:id="506"/>
      <w:bookmarkEnd w:id="507"/>
      <w:bookmarkEnd w:id="508"/>
      <w:bookmarkEnd w:id="509"/>
      <w:bookmarkEnd w:id="510"/>
      <w:bookmarkEnd w:id="511"/>
      <w:bookmarkEnd w:id="512"/>
      <w:bookmarkEnd w:id="513"/>
      <w:bookmarkEnd w:id="514"/>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t>[</w:t>
            </w:r>
            <w:r w:rsidR="003F456F">
              <w:t>NPRR995</w:t>
            </w:r>
            <w:r w:rsidR="00CD061A">
              <w:t xml:space="preserve"> and NPRR1244</w:t>
            </w:r>
            <w:r>
              <w:t xml:space="preserve">:  Replace </w:t>
            </w:r>
            <w:r w:rsidR="00CD061A">
              <w:t xml:space="preserve">applicable portions of </w:t>
            </w:r>
            <w:r>
              <w:t>paragraph (1) above with the following upon system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are </w:t>
            </w:r>
            <w:r w:rsidR="00CD061A" w:rsidRPr="004E4D58">
              <w:t>capable of providing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5" w:name="_Toc117048415"/>
            <w:bookmarkStart w:id="516" w:name="_Toc141777794"/>
            <w:bookmarkStart w:id="517" w:name="_Toc203961380"/>
            <w:bookmarkStart w:id="518" w:name="_Toc400968522"/>
            <w:bookmarkStart w:id="519" w:name="_Toc402362770"/>
            <w:bookmarkStart w:id="520" w:name="_Toc405554836"/>
            <w:bookmarkStart w:id="521" w:name="_Toc458771497"/>
            <w:bookmarkStart w:id="522" w:name="_Toc458771620"/>
            <w:bookmarkStart w:id="523"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4" w:name="_Toc162532193"/>
      <w:r w:rsidRPr="00EB6A56">
        <w:rPr>
          <w:b/>
        </w:rPr>
        <w:lastRenderedPageBreak/>
        <w:t>8.5.2.2</w:t>
      </w:r>
      <w:r w:rsidRPr="00EB6A56">
        <w:rPr>
          <w:b/>
        </w:rPr>
        <w:tab/>
        <w:t>ERCOT Data Collection</w:t>
      </w:r>
      <w:bookmarkEnd w:id="515"/>
      <w:bookmarkEnd w:id="516"/>
      <w:bookmarkEnd w:id="517"/>
      <w:bookmarkEnd w:id="518"/>
      <w:bookmarkEnd w:id="519"/>
      <w:bookmarkEnd w:id="520"/>
      <w:bookmarkEnd w:id="521"/>
      <w:bookmarkEnd w:id="522"/>
      <w:bookmarkEnd w:id="523"/>
      <w:bookmarkEnd w:id="524"/>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3599" w14:textId="7BDE6DE3" w:rsidR="0067535E" w:rsidRPr="006A2B5D" w:rsidRDefault="0067535E">
    <w:pPr>
      <w:pStyle w:val="Footer"/>
      <w:spacing w:before="0" w:after="0"/>
      <w:rPr>
        <w:lang w:val="en-US"/>
      </w:rPr>
    </w:pPr>
    <w:r>
      <w:t xml:space="preserve">ERCOT Nodal Protocols – </w:t>
    </w:r>
    <w:r w:rsidR="00F83AC5">
      <w:t>August</w:t>
    </w:r>
    <w:r w:rsidR="006164D6">
      <w:t xml:space="preserve"> 1</w:t>
    </w:r>
    <w:r>
      <w:rPr>
        <w:lang w:val="en-US"/>
      </w:rPr>
      <w:t>, 202</w:t>
    </w:r>
    <w:r w:rsidR="00E656B6">
      <w:rPr>
        <w:lang w:val="en-US"/>
      </w:rPr>
      <w:t>5</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8D323" w14:textId="52825480" w:rsidR="0067535E" w:rsidRDefault="0067535E">
    <w:pPr>
      <w:pStyle w:val="Footer"/>
      <w:tabs>
        <w:tab w:val="left" w:pos="5550"/>
      </w:tabs>
      <w:spacing w:before="0" w:after="0"/>
      <w:rPr>
        <w:rStyle w:val="PageNumber"/>
        <w:smallCaps w:val="0"/>
        <w:sz w:val="24"/>
      </w:rPr>
    </w:pPr>
    <w:r>
      <w:t xml:space="preserve">ERCOT Nodal Protocols – </w:t>
    </w:r>
    <w:r w:rsidR="00F83AC5">
      <w:t>August</w:t>
    </w:r>
    <w:r w:rsidR="006164D6">
      <w:t xml:space="preserve"> 1</w:t>
    </w:r>
    <w:r>
      <w:rPr>
        <w:lang w:val="en-US"/>
      </w:rPr>
      <w:t>, 202</w:t>
    </w:r>
    <w:r w:rsidR="00E656B6">
      <w:rPr>
        <w:lang w:val="en-US"/>
      </w:rPr>
      <w:t>5</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25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57937"/>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E69"/>
    <w:rsid w:val="0009147E"/>
    <w:rsid w:val="000921C1"/>
    <w:rsid w:val="00093057"/>
    <w:rsid w:val="00093BC2"/>
    <w:rsid w:val="000945AD"/>
    <w:rsid w:val="00094BEA"/>
    <w:rsid w:val="00095A6A"/>
    <w:rsid w:val="00095B51"/>
    <w:rsid w:val="000960A7"/>
    <w:rsid w:val="000963FF"/>
    <w:rsid w:val="0009733B"/>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120B"/>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608D"/>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1FF"/>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343"/>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2E3"/>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0D0F"/>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B6630"/>
    <w:rsid w:val="002C305A"/>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07EC4"/>
    <w:rsid w:val="003107F3"/>
    <w:rsid w:val="00312F3C"/>
    <w:rsid w:val="00313644"/>
    <w:rsid w:val="003148F5"/>
    <w:rsid w:val="00314ABA"/>
    <w:rsid w:val="00320841"/>
    <w:rsid w:val="00320D35"/>
    <w:rsid w:val="00320D9A"/>
    <w:rsid w:val="00320FC6"/>
    <w:rsid w:val="003216FF"/>
    <w:rsid w:val="00321A70"/>
    <w:rsid w:val="003229F4"/>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234D"/>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0E2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2750"/>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46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36FA"/>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16AD"/>
    <w:rsid w:val="004D43FC"/>
    <w:rsid w:val="004D46DE"/>
    <w:rsid w:val="004D48AC"/>
    <w:rsid w:val="004E418C"/>
    <w:rsid w:val="004E4493"/>
    <w:rsid w:val="004E520E"/>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3BE7"/>
    <w:rsid w:val="005B4FA4"/>
    <w:rsid w:val="005B641C"/>
    <w:rsid w:val="005B6818"/>
    <w:rsid w:val="005B7489"/>
    <w:rsid w:val="005B7D1A"/>
    <w:rsid w:val="005C1961"/>
    <w:rsid w:val="005C19AC"/>
    <w:rsid w:val="005C31A1"/>
    <w:rsid w:val="005C61F3"/>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56F"/>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D8C"/>
    <w:rsid w:val="006649D8"/>
    <w:rsid w:val="00664CBE"/>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3C46"/>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4B88"/>
    <w:rsid w:val="006E56EC"/>
    <w:rsid w:val="006E6B55"/>
    <w:rsid w:val="006F043A"/>
    <w:rsid w:val="006F103C"/>
    <w:rsid w:val="006F1C95"/>
    <w:rsid w:val="006F2DFB"/>
    <w:rsid w:val="006F373C"/>
    <w:rsid w:val="006F3A9E"/>
    <w:rsid w:val="006F3CA1"/>
    <w:rsid w:val="006F40D0"/>
    <w:rsid w:val="006F518C"/>
    <w:rsid w:val="006F532C"/>
    <w:rsid w:val="006F6220"/>
    <w:rsid w:val="006F6987"/>
    <w:rsid w:val="006F7E26"/>
    <w:rsid w:val="0070014A"/>
    <w:rsid w:val="00700F17"/>
    <w:rsid w:val="0070278D"/>
    <w:rsid w:val="00702E6D"/>
    <w:rsid w:val="00703BAB"/>
    <w:rsid w:val="007049E5"/>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41D3"/>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EB7"/>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1CD6"/>
    <w:rsid w:val="0081608B"/>
    <w:rsid w:val="0081694E"/>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3812"/>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04EC"/>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184E"/>
    <w:rsid w:val="009621E4"/>
    <w:rsid w:val="00964C7C"/>
    <w:rsid w:val="009701A9"/>
    <w:rsid w:val="00971592"/>
    <w:rsid w:val="00971785"/>
    <w:rsid w:val="00971B54"/>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3D3"/>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646"/>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4612"/>
    <w:rsid w:val="009D6A53"/>
    <w:rsid w:val="009D72B8"/>
    <w:rsid w:val="009D75A8"/>
    <w:rsid w:val="009D7C19"/>
    <w:rsid w:val="009E1E06"/>
    <w:rsid w:val="009E30CF"/>
    <w:rsid w:val="009E520E"/>
    <w:rsid w:val="009E741C"/>
    <w:rsid w:val="009F07E5"/>
    <w:rsid w:val="009F154F"/>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113"/>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6ABF"/>
    <w:rsid w:val="00A57F96"/>
    <w:rsid w:val="00A600F3"/>
    <w:rsid w:val="00A601C1"/>
    <w:rsid w:val="00A6090F"/>
    <w:rsid w:val="00A61B44"/>
    <w:rsid w:val="00A62615"/>
    <w:rsid w:val="00A65A0E"/>
    <w:rsid w:val="00A65D73"/>
    <w:rsid w:val="00A67E1E"/>
    <w:rsid w:val="00A704D7"/>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03A"/>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0EB"/>
    <w:rsid w:val="00B3128B"/>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46015"/>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0A6A"/>
    <w:rsid w:val="00BA255E"/>
    <w:rsid w:val="00BA651C"/>
    <w:rsid w:val="00BA6A98"/>
    <w:rsid w:val="00BA7592"/>
    <w:rsid w:val="00BB053F"/>
    <w:rsid w:val="00BB0C40"/>
    <w:rsid w:val="00BB23B3"/>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C7624"/>
    <w:rsid w:val="00BD1BBF"/>
    <w:rsid w:val="00BD1D60"/>
    <w:rsid w:val="00BD1DA6"/>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1BEF"/>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704"/>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26C5"/>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27FC6"/>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5BA9"/>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AAA"/>
    <w:rsid w:val="00E20CBA"/>
    <w:rsid w:val="00E233E9"/>
    <w:rsid w:val="00E26D4C"/>
    <w:rsid w:val="00E30868"/>
    <w:rsid w:val="00E3633C"/>
    <w:rsid w:val="00E3664A"/>
    <w:rsid w:val="00E36775"/>
    <w:rsid w:val="00E42898"/>
    <w:rsid w:val="00E42BB1"/>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56B6"/>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3DF"/>
    <w:rsid w:val="00EA47A7"/>
    <w:rsid w:val="00EA4868"/>
    <w:rsid w:val="00EA4D54"/>
    <w:rsid w:val="00EA5448"/>
    <w:rsid w:val="00EA5969"/>
    <w:rsid w:val="00EA68B0"/>
    <w:rsid w:val="00EA6F9A"/>
    <w:rsid w:val="00EA7B26"/>
    <w:rsid w:val="00EB0E51"/>
    <w:rsid w:val="00EB14C0"/>
    <w:rsid w:val="00EB3F9E"/>
    <w:rsid w:val="00EB4B8B"/>
    <w:rsid w:val="00EB6A56"/>
    <w:rsid w:val="00EC1A43"/>
    <w:rsid w:val="00EC3A84"/>
    <w:rsid w:val="00EC6C43"/>
    <w:rsid w:val="00EC6E8F"/>
    <w:rsid w:val="00EC7802"/>
    <w:rsid w:val="00EC7809"/>
    <w:rsid w:val="00EC7F92"/>
    <w:rsid w:val="00ED388A"/>
    <w:rsid w:val="00ED3C0B"/>
    <w:rsid w:val="00ED4093"/>
    <w:rsid w:val="00ED5780"/>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17441"/>
    <w:rsid w:val="00F2440E"/>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755F2"/>
    <w:rsid w:val="00F81326"/>
    <w:rsid w:val="00F81FFD"/>
    <w:rsid w:val="00F82D91"/>
    <w:rsid w:val="00F82E08"/>
    <w:rsid w:val="00F8352E"/>
    <w:rsid w:val="00F83AC5"/>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4A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1"/>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119</Pages>
  <Words>46899</Words>
  <Characters>255180</Characters>
  <Application>Microsoft Office Word</Application>
  <DocSecurity>0</DocSecurity>
  <Lines>2126</Lines>
  <Paragraphs>602</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301477</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C Phillips</cp:lastModifiedBy>
  <cp:revision>4</cp:revision>
  <cp:lastPrinted>2019-04-29T19:46:00Z</cp:lastPrinted>
  <dcterms:created xsi:type="dcterms:W3CDTF">2025-07-26T13:41:00Z</dcterms:created>
  <dcterms:modified xsi:type="dcterms:W3CDTF">2025-07-26T13:42:00Z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2025-01-29T19:23:27Z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ac14daea-d8a3-4518-a278-fa24ba6bc481</vt:lpwstr>
  </property>
  <property fmtid="{D5CDD505-2E9C-101B-9397-08002B2CF9AE}" pid="8" name="MSIP_Label_c144db1d-993e-40da-980d-6eea152adc50_ContentBits">
    <vt:lpwstr>0</vt:lpwstr>
  </property>
</Properties>
</file>