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0A64717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ADAB7" w14:textId="77777777" w:rsidR="00152993" w:rsidRDefault="00D825C5" w:rsidP="00380F77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B5947F" w14:textId="77777777" w:rsidR="00152993" w:rsidRDefault="00705E33" w:rsidP="00F52184">
            <w:pPr>
              <w:pStyle w:val="Header"/>
            </w:pPr>
            <w:hyperlink r:id="rId8" w:anchor="summary" w:history="1">
              <w:r w:rsidRPr="00380F77"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82D5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BE1626" w14:textId="77777777" w:rsidR="00152993" w:rsidRDefault="00705E33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4A60DA63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1FA5539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5B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255" w14:textId="0F6FA8B7" w:rsidR="00152993" w:rsidRDefault="00BA7E1E">
            <w:pPr>
              <w:pStyle w:val="NormalArial"/>
            </w:pPr>
            <w:r>
              <w:t xml:space="preserve">July </w:t>
            </w:r>
            <w:r w:rsidR="0025333E">
              <w:t>1</w:t>
            </w:r>
            <w:r w:rsidR="00F52184">
              <w:t>0</w:t>
            </w:r>
            <w:r w:rsidR="00705E33">
              <w:t>, 2025</w:t>
            </w:r>
          </w:p>
        </w:tc>
      </w:tr>
    </w:tbl>
    <w:p w14:paraId="6BA42F7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49AB308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BE539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52184" w14:paraId="70AD57C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DD3238F" w14:textId="77777777" w:rsidR="00F52184" w:rsidRPr="00EC55B3" w:rsidRDefault="00F52184" w:rsidP="00F5218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07DCC5" w14:textId="3491ECEC" w:rsidR="00F52184" w:rsidRDefault="00F52184" w:rsidP="00F52184">
            <w:pPr>
              <w:pStyle w:val="NormalArial"/>
            </w:pPr>
            <w:r>
              <w:t>Gregory Forero</w:t>
            </w:r>
          </w:p>
        </w:tc>
      </w:tr>
      <w:tr w:rsidR="00F52184" w14:paraId="136385F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0CF11D" w14:textId="77777777" w:rsidR="00F52184" w:rsidRPr="00EC55B3" w:rsidRDefault="00F52184" w:rsidP="00F5218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C8AC991" w14:textId="375A7A33" w:rsidR="00F52184" w:rsidRDefault="00F52184" w:rsidP="00F52184">
            <w:pPr>
              <w:pStyle w:val="NormalArial"/>
            </w:pPr>
            <w:hyperlink r:id="rId9" w:history="1">
              <w:r w:rsidRPr="006971E4">
                <w:rPr>
                  <w:rStyle w:val="Hyperlink"/>
                </w:rPr>
                <w:t>gf@hgpstorage.com</w:t>
              </w:r>
            </w:hyperlink>
          </w:p>
        </w:tc>
      </w:tr>
      <w:tr w:rsidR="00F52184" w14:paraId="620C964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16F060" w14:textId="77777777" w:rsidR="00F52184" w:rsidRPr="00EC55B3" w:rsidRDefault="00F52184" w:rsidP="00F5218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710940D" w14:textId="42908C83" w:rsidR="00F52184" w:rsidRDefault="00F52184" w:rsidP="00F52184">
            <w:pPr>
              <w:pStyle w:val="NormalArial"/>
            </w:pPr>
            <w:r>
              <w:t>HGP Storage</w:t>
            </w:r>
          </w:p>
        </w:tc>
      </w:tr>
      <w:tr w:rsidR="00F52184" w14:paraId="72B45DD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D2C29" w14:textId="77777777" w:rsidR="00F52184" w:rsidRPr="00EC55B3" w:rsidRDefault="00F52184" w:rsidP="00F5218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0C3CDA2" w14:textId="38089CFF" w:rsidR="00F52184" w:rsidRDefault="00F52184" w:rsidP="00F52184">
            <w:pPr>
              <w:pStyle w:val="NormalArial"/>
            </w:pPr>
            <w:r>
              <w:t>203-252-0080</w:t>
            </w:r>
          </w:p>
        </w:tc>
      </w:tr>
      <w:tr w:rsidR="00F52184" w14:paraId="5B38BE0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C80344F" w14:textId="77777777" w:rsidR="00F52184" w:rsidRPr="00EC55B3" w:rsidRDefault="00F52184" w:rsidP="00F5218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2D6372D2" w14:textId="77777777" w:rsidR="00F52184" w:rsidRDefault="00F52184" w:rsidP="00F52184">
            <w:pPr>
              <w:pStyle w:val="NormalArial"/>
            </w:pPr>
          </w:p>
        </w:tc>
      </w:tr>
      <w:tr w:rsidR="00F52184" w14:paraId="5EE9855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DEC6E" w14:textId="77777777" w:rsidR="00F52184" w:rsidRPr="00EC55B3" w:rsidDel="00075A94" w:rsidRDefault="00F52184" w:rsidP="00F5218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C3F70E" w14:textId="4B1212FF" w:rsidR="00F52184" w:rsidRDefault="00F52184" w:rsidP="00F52184">
            <w:pPr>
              <w:pStyle w:val="NormalArial"/>
            </w:pPr>
            <w:r>
              <w:t>Not applicable</w:t>
            </w:r>
          </w:p>
        </w:tc>
      </w:tr>
    </w:tbl>
    <w:p w14:paraId="3FAC34D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3B63FB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C74E437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5BC4999" w14:textId="77777777" w:rsidR="00F52184" w:rsidRDefault="00F52184" w:rsidP="00F52184">
      <w:pPr>
        <w:pStyle w:val="NormalArial"/>
        <w:spacing w:before="120" w:after="120"/>
        <w:rPr>
          <w:b/>
          <w:bCs/>
        </w:rPr>
      </w:pPr>
      <w:r w:rsidRPr="00A53CEA">
        <w:rPr>
          <w:b/>
          <w:bCs/>
        </w:rPr>
        <w:t>Executive Summary</w:t>
      </w:r>
    </w:p>
    <w:p w14:paraId="361D7AF9" w14:textId="145FF9DF" w:rsidR="00F52184" w:rsidRPr="00A53CEA" w:rsidRDefault="00F52184" w:rsidP="00F52184">
      <w:pPr>
        <w:pStyle w:val="NormalArial"/>
        <w:numPr>
          <w:ilvl w:val="0"/>
          <w:numId w:val="11"/>
        </w:numPr>
        <w:spacing w:before="120" w:after="120"/>
      </w:pPr>
      <w:r>
        <w:t>Nodal Operating Guide Revision Request (</w:t>
      </w:r>
      <w:r w:rsidRPr="00A53CEA">
        <w:t>NOGRR</w:t>
      </w:r>
      <w:r>
        <w:t xml:space="preserve">) </w:t>
      </w:r>
      <w:r w:rsidRPr="00A53CEA">
        <w:t>272, while well-intentioned, presents significant implementation, equity, and legal concerns. As currently drafted, it imposes binding, uncompensated technical mandates solely on Energy Storage Resources (ESRs).</w:t>
      </w:r>
    </w:p>
    <w:p w14:paraId="2403678B" w14:textId="77777777" w:rsidR="00F52184" w:rsidRPr="00A53CEA" w:rsidRDefault="00F52184" w:rsidP="00F52184">
      <w:pPr>
        <w:pStyle w:val="NormalArial"/>
        <w:numPr>
          <w:ilvl w:val="0"/>
          <w:numId w:val="11"/>
        </w:numPr>
        <w:spacing w:before="120" w:after="120"/>
      </w:pPr>
      <w:r w:rsidRPr="00A53CEA">
        <w:t>HGP respectfully notes that key provisions may inadvertently conflict with Texas Utilities Code § 39.918, which prohibits discriminatory or anticompetitive treatment of energy storage.</w:t>
      </w:r>
    </w:p>
    <w:p w14:paraId="31A8051B" w14:textId="670BBAD9" w:rsidR="00F52184" w:rsidRPr="00A53CEA" w:rsidRDefault="00F52184" w:rsidP="00F52184">
      <w:pPr>
        <w:pStyle w:val="NormalArial"/>
        <w:numPr>
          <w:ilvl w:val="0"/>
          <w:numId w:val="11"/>
        </w:numPr>
        <w:spacing w:before="120" w:after="120"/>
      </w:pPr>
      <w:r w:rsidRPr="00A53CEA">
        <w:t>ERCOT has not applied these same obligations to synchronous generators—particularly combined-cycle gas turbines (</w:t>
      </w:r>
      <w:r>
        <w:t>“</w:t>
      </w:r>
      <w:r w:rsidRPr="00A53CEA">
        <w:t>CCGTs</w:t>
      </w:r>
      <w:r>
        <w:t>”</w:t>
      </w:r>
      <w:r w:rsidRPr="00A53CEA">
        <w:t>)—highlighting a clear regulatory asymmetry.</w:t>
      </w:r>
    </w:p>
    <w:p w14:paraId="15D8ACD6" w14:textId="77777777" w:rsidR="00F52184" w:rsidRPr="00A53CEA" w:rsidRDefault="00F52184" w:rsidP="00F52184">
      <w:pPr>
        <w:pStyle w:val="NormalArial"/>
        <w:numPr>
          <w:ilvl w:val="0"/>
          <w:numId w:val="11"/>
        </w:numPr>
        <w:spacing w:before="120" w:after="120"/>
      </w:pPr>
      <w:r w:rsidRPr="00A53CEA">
        <w:t>We encourage ERCOT to reevaluate NOGRR272 through the lens of Texas law and, if uncertainty remains, to revert the issue to Texas lawmakers for clarification.</w:t>
      </w:r>
    </w:p>
    <w:p w14:paraId="346B40EB" w14:textId="08CF52E2" w:rsidR="00F52184" w:rsidRPr="00A53CEA" w:rsidRDefault="00F52184" w:rsidP="00F52184">
      <w:pPr>
        <w:pStyle w:val="NormalArial"/>
        <w:numPr>
          <w:ilvl w:val="0"/>
          <w:numId w:val="11"/>
        </w:numPr>
        <w:spacing w:before="120" w:after="120"/>
      </w:pPr>
      <w:r w:rsidRPr="00A53CEA">
        <w:t xml:space="preserve">We recommend ERCOT instead pursue </w:t>
      </w:r>
      <w:r>
        <w:t>Nodal Protocol Revision Request (</w:t>
      </w:r>
      <w:r w:rsidRPr="00A53CEA">
        <w:t>NPRR</w:t>
      </w:r>
      <w:r>
        <w:t xml:space="preserve">) </w:t>
      </w:r>
      <w:r w:rsidRPr="00A53CEA">
        <w:t>1278,</w:t>
      </w:r>
      <w:r w:rsidRPr="00F52184">
        <w:t xml:space="preserve"> </w:t>
      </w:r>
      <w:r w:rsidRPr="00F52184">
        <w:t>Establishing Advanced Grid Support Service as an Ancillary Service</w:t>
      </w:r>
      <w:r>
        <w:t>,</w:t>
      </w:r>
      <w:r w:rsidRPr="00A53CEA">
        <w:t xml:space="preserve"> which would establish Advanced Grid Support (AGS) as a compensated, market-based Ancillary Service.</w:t>
      </w:r>
    </w:p>
    <w:p w14:paraId="34DF7248" w14:textId="77777777" w:rsidR="00F52184" w:rsidRDefault="00F52184" w:rsidP="00F52184">
      <w:pPr>
        <w:pStyle w:val="NormalArial"/>
        <w:spacing w:before="120" w:after="120"/>
        <w:rPr>
          <w:b/>
          <w:bCs/>
        </w:rPr>
      </w:pPr>
      <w:r w:rsidRPr="00A53CEA">
        <w:rPr>
          <w:b/>
          <w:bCs/>
        </w:rPr>
        <w:t>HGP’s Broader Commitment to Grid Reliability</w:t>
      </w:r>
    </w:p>
    <w:p w14:paraId="7B9EB7F0" w14:textId="77777777" w:rsidR="00F52184" w:rsidRPr="00A53CEA" w:rsidRDefault="00F52184" w:rsidP="00F52184">
      <w:pPr>
        <w:pStyle w:val="NormalArial"/>
        <w:spacing w:before="120" w:after="120"/>
      </w:pPr>
      <w:r w:rsidRPr="00A53CEA">
        <w:t xml:space="preserve">HGP </w:t>
      </w:r>
      <w:r>
        <w:t>continues to be</w:t>
      </w:r>
      <w:r w:rsidRPr="00A53CEA">
        <w:t xml:space="preserve"> committed to helping build a resilient, reliable, and dispatchable ERCOT grid. Our development strategy reflects an “all-of-the-above” approach—</w:t>
      </w:r>
      <w:r w:rsidRPr="00A53CEA">
        <w:lastRenderedPageBreak/>
        <w:t>including utility-scale battery storage, hybrid projects, and gas-fired generation where it makes sense for grid stability.</w:t>
      </w:r>
    </w:p>
    <w:p w14:paraId="13036A4D" w14:textId="7F0EBD04" w:rsidR="00F52184" w:rsidRPr="00A53CEA" w:rsidRDefault="00F52184" w:rsidP="00F52184">
      <w:pPr>
        <w:pStyle w:val="NormalArial"/>
        <w:spacing w:before="120" w:after="120"/>
      </w:pPr>
      <w:r w:rsidRPr="00A53CEA">
        <w:t xml:space="preserve">However, the current market and regulatory environment make this nearly impossible to execute in practice. Between rapidly shifting interconnection and performance </w:t>
      </w:r>
      <w:r>
        <w:t>p</w:t>
      </w:r>
      <w:r w:rsidRPr="00A53CEA">
        <w:t xml:space="preserve">rotocols, uncompensated mandates on emerging technologies, and a low-priced, </w:t>
      </w:r>
      <w:r w:rsidRPr="00F52184">
        <w:t>Operating Reserve Demand Curve</w:t>
      </w:r>
      <w:r>
        <w:t xml:space="preserve"> (</w:t>
      </w:r>
      <w:r w:rsidRPr="00A53CEA">
        <w:t>ORDC</w:t>
      </w:r>
      <w:r>
        <w:t>)</w:t>
      </w:r>
      <w:r w:rsidRPr="00A53CEA">
        <w:t xml:space="preserve">-suppressed energy market, projects that are both reliability-focused and capital-intensive—including gas or firm storage-backed </w:t>
      </w:r>
      <w:r>
        <w:t>R</w:t>
      </w:r>
      <w:r w:rsidRPr="00A53CEA">
        <w:t>esources—are increasingly non-viable.</w:t>
      </w:r>
    </w:p>
    <w:p w14:paraId="0511C60C" w14:textId="77777777" w:rsidR="00F52184" w:rsidRPr="00A53CEA" w:rsidRDefault="00F52184" w:rsidP="00F52184">
      <w:pPr>
        <w:pStyle w:val="NormalArial"/>
        <w:spacing w:before="120" w:after="120"/>
      </w:pPr>
      <w:r w:rsidRPr="00A53CEA">
        <w:t>This isn’t simply a matter of project economics. It’s about whether developers can credibly forecast regulatory risk, revenue certainty, and performance requirements over the multi-year development timelines required to bring new flexible assets online.</w:t>
      </w:r>
    </w:p>
    <w:p w14:paraId="15E76512" w14:textId="5A79FE5B" w:rsidR="00F52184" w:rsidRPr="00A53CEA" w:rsidRDefault="00F52184" w:rsidP="00F52184">
      <w:pPr>
        <w:pStyle w:val="NormalArial"/>
        <w:spacing w:before="120" w:after="120"/>
      </w:pPr>
      <w:r w:rsidRPr="00A53CEA">
        <w:t xml:space="preserve">Rather than enabling this next generation of flexible, firming infrastructure, protocols like NOGRR272—when structured as mandates rather than compensated services—push </w:t>
      </w:r>
      <w:r>
        <w:t>M</w:t>
      </w:r>
      <w:r w:rsidRPr="00A53CEA">
        <w:t xml:space="preserve">arket </w:t>
      </w:r>
      <w:r>
        <w:t>P</w:t>
      </w:r>
      <w:r w:rsidRPr="00A53CEA">
        <w:t>articipants toward deferral, downsizing, or market exit.</w:t>
      </w:r>
    </w:p>
    <w:p w14:paraId="1F1C62B1" w14:textId="73763C35" w:rsidR="00F52184" w:rsidRPr="00A53CEA" w:rsidRDefault="00F52184" w:rsidP="00F52184">
      <w:pPr>
        <w:pStyle w:val="NormalArial"/>
        <w:spacing w:before="120" w:after="120"/>
        <w:rPr>
          <w:b/>
          <w:bCs/>
        </w:rPr>
      </w:pPr>
      <w:r w:rsidRPr="00A53CEA">
        <w:rPr>
          <w:b/>
          <w:bCs/>
        </w:rPr>
        <w:t>Legal Risk: Potential Inconsistency with Texas Utilities Code § 39.918</w:t>
      </w:r>
    </w:p>
    <w:p w14:paraId="1F02E90F" w14:textId="77777777" w:rsidR="00F52184" w:rsidRDefault="00F52184" w:rsidP="00F52184">
      <w:pPr>
        <w:pStyle w:val="NormalArial"/>
        <w:spacing w:before="120" w:after="120"/>
        <w:rPr>
          <w:b/>
          <w:bCs/>
        </w:rPr>
      </w:pPr>
      <w:r w:rsidRPr="00A53CEA">
        <w:rPr>
          <w:b/>
          <w:bCs/>
        </w:rPr>
        <w:t>Texas Utilities Code § 39.918(a) states:</w:t>
      </w:r>
    </w:p>
    <w:p w14:paraId="7FFD3811" w14:textId="77777777" w:rsidR="00F52184" w:rsidRPr="00A53CEA" w:rsidRDefault="00F52184" w:rsidP="00F52184">
      <w:pPr>
        <w:pStyle w:val="NormalArial"/>
        <w:spacing w:before="120" w:after="120"/>
      </w:pPr>
      <w:r w:rsidRPr="00A53CEA">
        <w:rPr>
          <w:i/>
          <w:iCs/>
        </w:rPr>
        <w:t>“The commission or an independent organization certified under Section 39.151 may not adopt or enforce a rule, protocol, or standard that is unreasonably discriminatory or anticompetitive against energy storage facilities or resources.”</w:t>
      </w:r>
    </w:p>
    <w:p w14:paraId="305CD013" w14:textId="77777777" w:rsidR="00F52184" w:rsidRPr="00A53CEA" w:rsidRDefault="00F52184" w:rsidP="00F52184">
      <w:pPr>
        <w:pStyle w:val="NormalArial"/>
        <w:spacing w:before="120" w:after="120"/>
      </w:pPr>
      <w:r w:rsidRPr="00A53CEA">
        <w:t>NOGRR272 proposes requirements that are:</w:t>
      </w:r>
    </w:p>
    <w:p w14:paraId="73A731F4" w14:textId="77777777" w:rsidR="00F52184" w:rsidRPr="00A53CEA" w:rsidRDefault="00F52184" w:rsidP="00F52184">
      <w:pPr>
        <w:pStyle w:val="NormalArial"/>
        <w:numPr>
          <w:ilvl w:val="0"/>
          <w:numId w:val="12"/>
        </w:numPr>
        <w:spacing w:before="120" w:after="120"/>
      </w:pPr>
      <w:r w:rsidRPr="00A53CEA">
        <w:t>Exclusive to ESRs (e.g., grid-forming operation, specific phasor behavior during faults);</w:t>
      </w:r>
    </w:p>
    <w:p w14:paraId="703461A9" w14:textId="1EAE2135" w:rsidR="00F52184" w:rsidRPr="00A53CEA" w:rsidRDefault="00F52184" w:rsidP="00F52184">
      <w:pPr>
        <w:pStyle w:val="NormalArial"/>
        <w:numPr>
          <w:ilvl w:val="0"/>
          <w:numId w:val="12"/>
        </w:numPr>
        <w:spacing w:before="120" w:after="120"/>
      </w:pPr>
      <w:r w:rsidRPr="00A53CEA">
        <w:t xml:space="preserve">Not required of other </w:t>
      </w:r>
      <w:r>
        <w:t>R</w:t>
      </w:r>
      <w:r w:rsidRPr="00A53CEA">
        <w:t>esources, including synchronous generation and other inverter-connected technologies;</w:t>
      </w:r>
    </w:p>
    <w:p w14:paraId="249392B2" w14:textId="77777777" w:rsidR="00F52184" w:rsidRPr="00A53CEA" w:rsidRDefault="00F52184" w:rsidP="00F52184">
      <w:pPr>
        <w:pStyle w:val="NormalArial"/>
        <w:numPr>
          <w:ilvl w:val="0"/>
          <w:numId w:val="12"/>
        </w:numPr>
        <w:spacing w:before="120" w:after="120"/>
      </w:pPr>
      <w:r w:rsidRPr="00A53CEA">
        <w:t>Uncompensated, despite delivering measurable reliability benefits.</w:t>
      </w:r>
    </w:p>
    <w:p w14:paraId="4C6F8BB5" w14:textId="77777777" w:rsidR="00F52184" w:rsidRPr="00A53CEA" w:rsidRDefault="00F52184" w:rsidP="00F52184">
      <w:pPr>
        <w:pStyle w:val="NormalArial"/>
        <w:spacing w:before="120" w:after="120"/>
      </w:pPr>
      <w:r w:rsidRPr="00A53CEA">
        <w:t>We believe this creates a discriminatory framework that, even unintentional</w:t>
      </w:r>
      <w:r>
        <w:t>ly</w:t>
      </w:r>
      <w:r w:rsidRPr="00A53CEA">
        <w:t>, risks violating § 39.918</w:t>
      </w:r>
      <w:r>
        <w:t>.</w:t>
      </w:r>
    </w:p>
    <w:p w14:paraId="7AC0C627" w14:textId="77777777" w:rsidR="00F52184" w:rsidRPr="00FC03F2" w:rsidRDefault="00F52184" w:rsidP="00F52184">
      <w:pPr>
        <w:pStyle w:val="NormalArial"/>
        <w:spacing w:before="120" w:after="120"/>
        <w:rPr>
          <w:b/>
          <w:bCs/>
        </w:rPr>
      </w:pPr>
      <w:r w:rsidRPr="00FC03F2">
        <w:rPr>
          <w:b/>
          <w:bCs/>
        </w:rPr>
        <w:t>Conclusion</w:t>
      </w:r>
    </w:p>
    <w:p w14:paraId="507EC938" w14:textId="77777777" w:rsidR="00F52184" w:rsidRPr="00FC03F2" w:rsidRDefault="00F52184" w:rsidP="00F52184">
      <w:pPr>
        <w:pStyle w:val="NormalArial"/>
        <w:spacing w:before="120" w:after="120"/>
      </w:pPr>
      <w:r w:rsidRPr="00FC03F2">
        <w:t>HGP stands ready to support ERCOT in building a modern, resilient, dispatchable grid. But policies like NOGRR272—when structured as uncompensated mandates targeting only one class of resources—undermine rather than enable that future.</w:t>
      </w:r>
    </w:p>
    <w:p w14:paraId="2AFA3759" w14:textId="77777777" w:rsidR="00F52184" w:rsidRPr="00FC03F2" w:rsidRDefault="00F52184" w:rsidP="00F52184">
      <w:pPr>
        <w:pStyle w:val="NormalArial"/>
        <w:spacing w:before="120" w:after="120"/>
      </w:pPr>
      <w:r w:rsidRPr="00FC03F2">
        <w:t>ERCOT must ensure that its protocols:</w:t>
      </w:r>
    </w:p>
    <w:p w14:paraId="5C2A082E" w14:textId="77777777" w:rsidR="00F52184" w:rsidRPr="00FC03F2" w:rsidRDefault="00F52184" w:rsidP="00F52184">
      <w:pPr>
        <w:pStyle w:val="NormalArial"/>
        <w:numPr>
          <w:ilvl w:val="0"/>
          <w:numId w:val="13"/>
        </w:numPr>
        <w:spacing w:before="120" w:after="120"/>
      </w:pPr>
      <w:r w:rsidRPr="00FC03F2">
        <w:t>Are consistent with Texas law;</w:t>
      </w:r>
    </w:p>
    <w:p w14:paraId="5388A50D" w14:textId="77777777" w:rsidR="00F52184" w:rsidRPr="00FC03F2" w:rsidRDefault="00F52184" w:rsidP="00F52184">
      <w:pPr>
        <w:pStyle w:val="NormalArial"/>
        <w:numPr>
          <w:ilvl w:val="0"/>
          <w:numId w:val="13"/>
        </w:numPr>
        <w:spacing w:before="120" w:after="120"/>
      </w:pPr>
      <w:r w:rsidRPr="00FC03F2">
        <w:lastRenderedPageBreak/>
        <w:t>Treat resources fairly and equitably;</w:t>
      </w:r>
    </w:p>
    <w:p w14:paraId="3C30C37B" w14:textId="77777777" w:rsidR="00F52184" w:rsidRDefault="00F52184" w:rsidP="00F52184">
      <w:pPr>
        <w:pStyle w:val="NormalArial"/>
        <w:numPr>
          <w:ilvl w:val="0"/>
          <w:numId w:val="13"/>
        </w:numPr>
        <w:spacing w:before="120" w:after="120"/>
      </w:pPr>
      <w:r w:rsidRPr="00FC03F2">
        <w:t>And foster—not inhibit—the development of the diverse mix of flexible assets the grid urgently needs.</w:t>
      </w:r>
    </w:p>
    <w:p w14:paraId="05ADAE32" w14:textId="193CB237" w:rsidR="00152993" w:rsidRDefault="00F52184" w:rsidP="00F52184">
      <w:pPr>
        <w:pStyle w:val="NormalArial"/>
        <w:spacing w:before="120" w:after="120"/>
      </w:pPr>
      <w:r w:rsidRPr="00FC03F2">
        <w:t>We urge ERCOT to revise NOGRR272 or shift to a market-based, inclusive AGS framework that respects both investment realities and statutory limits. We welcome continued engagement and offer our support in shaping that path forward.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64F3E168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D2E04D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FA4FDBD" w14:textId="09E68BDF" w:rsidR="00152993" w:rsidRPr="00F52184" w:rsidRDefault="00380F77" w:rsidP="00F52184">
      <w:pPr>
        <w:pStyle w:val="BodyText"/>
        <w:rPr>
          <w:rFonts w:ascii="Arial" w:hAnsi="Arial" w:cs="Arial"/>
          <w:bCs/>
        </w:rPr>
      </w:pPr>
      <w:r w:rsidRPr="00380F77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EA8A69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A722AF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750E535E" w14:textId="1547AD46" w:rsidR="00152993" w:rsidRPr="00F52184" w:rsidRDefault="00F52184">
      <w:pPr>
        <w:pStyle w:val="BodyText"/>
        <w:rPr>
          <w:rFonts w:ascii="Arial" w:hAnsi="Arial" w:cs="Arial"/>
          <w:bCs/>
        </w:rPr>
      </w:pPr>
      <w:r w:rsidRPr="00380F77">
        <w:rPr>
          <w:rFonts w:ascii="Arial" w:hAnsi="Arial" w:cs="Arial"/>
          <w:bCs/>
        </w:rPr>
        <w:t>None</w:t>
      </w:r>
    </w:p>
    <w:sectPr w:rsidR="00152993" w:rsidRPr="00F52184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F270" w14:textId="77777777" w:rsidR="003B7386" w:rsidRDefault="003B7386">
      <w:r>
        <w:separator/>
      </w:r>
    </w:p>
  </w:endnote>
  <w:endnote w:type="continuationSeparator" w:id="0">
    <w:p w14:paraId="0C20D2E1" w14:textId="77777777" w:rsidR="003B7386" w:rsidRDefault="003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FA29" w14:textId="155BD5FB" w:rsidR="003D0994" w:rsidRDefault="00380F7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272NOGRR-</w:t>
    </w:r>
    <w:r w:rsidR="0025333E">
      <w:rPr>
        <w:rFonts w:ascii="Arial" w:hAnsi="Arial"/>
        <w:sz w:val="18"/>
      </w:rPr>
      <w:t>1</w:t>
    </w:r>
    <w:r w:rsidR="00F52184">
      <w:rPr>
        <w:rFonts w:ascii="Arial" w:hAnsi="Arial"/>
        <w:sz w:val="18"/>
      </w:rPr>
      <w:t>6</w:t>
    </w:r>
    <w:r w:rsidR="00BA7E1E">
      <w:rPr>
        <w:rFonts w:ascii="Arial" w:hAnsi="Arial"/>
        <w:sz w:val="18"/>
      </w:rPr>
      <w:t xml:space="preserve"> </w:t>
    </w:r>
    <w:r w:rsidR="00F52184">
      <w:rPr>
        <w:rFonts w:ascii="Arial" w:hAnsi="Arial"/>
        <w:sz w:val="18"/>
      </w:rPr>
      <w:t>HGP Storage</w:t>
    </w:r>
    <w:r>
      <w:rPr>
        <w:rFonts w:ascii="Arial" w:hAnsi="Arial"/>
        <w:sz w:val="18"/>
      </w:rPr>
      <w:t xml:space="preserve"> Comments </w:t>
    </w:r>
    <w:r w:rsidR="00BA7E1E">
      <w:rPr>
        <w:rFonts w:ascii="Arial" w:hAnsi="Arial"/>
        <w:sz w:val="18"/>
      </w:rPr>
      <w:t>07</w:t>
    </w:r>
    <w:r w:rsidR="00F52184">
      <w:rPr>
        <w:rFonts w:ascii="Arial" w:hAnsi="Arial"/>
        <w:sz w:val="18"/>
      </w:rPr>
      <w:t>10</w:t>
    </w:r>
    <w:r w:rsidR="00BA7E1E"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</w:p>
  <w:p w14:paraId="3252E4E4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BA51" w14:textId="77777777" w:rsidR="003B7386" w:rsidRDefault="003B7386">
      <w:r>
        <w:separator/>
      </w:r>
    </w:p>
  </w:footnote>
  <w:footnote w:type="continuationSeparator" w:id="0">
    <w:p w14:paraId="2C5E4316" w14:textId="77777777" w:rsidR="003B7386" w:rsidRDefault="003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C8AD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23003F56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F92520"/>
    <w:multiLevelType w:val="hybridMultilevel"/>
    <w:tmpl w:val="DA56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36"/>
    <w:multiLevelType w:val="hybridMultilevel"/>
    <w:tmpl w:val="8BE6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D1133"/>
    <w:multiLevelType w:val="multilevel"/>
    <w:tmpl w:val="0FA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2AB8"/>
    <w:multiLevelType w:val="hybridMultilevel"/>
    <w:tmpl w:val="681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6A6"/>
    <w:multiLevelType w:val="multilevel"/>
    <w:tmpl w:val="21C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D07AF"/>
    <w:multiLevelType w:val="hybridMultilevel"/>
    <w:tmpl w:val="D23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099B"/>
    <w:multiLevelType w:val="multilevel"/>
    <w:tmpl w:val="709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F7A48"/>
    <w:multiLevelType w:val="hybridMultilevel"/>
    <w:tmpl w:val="D71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10CC8"/>
    <w:multiLevelType w:val="hybridMultilevel"/>
    <w:tmpl w:val="E63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F15473"/>
    <w:multiLevelType w:val="hybridMultilevel"/>
    <w:tmpl w:val="F0B2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D5F61"/>
    <w:multiLevelType w:val="hybridMultilevel"/>
    <w:tmpl w:val="AEA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4573">
    <w:abstractNumId w:val="0"/>
  </w:num>
  <w:num w:numId="2" w16cid:durableId="1878086299">
    <w:abstractNumId w:val="10"/>
  </w:num>
  <w:num w:numId="3" w16cid:durableId="1653557385">
    <w:abstractNumId w:val="2"/>
  </w:num>
  <w:num w:numId="4" w16cid:durableId="689721133">
    <w:abstractNumId w:val="11"/>
  </w:num>
  <w:num w:numId="5" w16cid:durableId="320931086">
    <w:abstractNumId w:val="8"/>
  </w:num>
  <w:num w:numId="6" w16cid:durableId="287391639">
    <w:abstractNumId w:val="1"/>
  </w:num>
  <w:num w:numId="7" w16cid:durableId="1411728596">
    <w:abstractNumId w:val="6"/>
  </w:num>
  <w:num w:numId="8" w16cid:durableId="1677147731">
    <w:abstractNumId w:val="9"/>
  </w:num>
  <w:num w:numId="9" w16cid:durableId="150218745">
    <w:abstractNumId w:val="12"/>
  </w:num>
  <w:num w:numId="10" w16cid:durableId="51926035">
    <w:abstractNumId w:val="4"/>
  </w:num>
  <w:num w:numId="11" w16cid:durableId="1535508494">
    <w:abstractNumId w:val="3"/>
  </w:num>
  <w:num w:numId="12" w16cid:durableId="743260640">
    <w:abstractNumId w:val="7"/>
  </w:num>
  <w:num w:numId="13" w16cid:durableId="1086224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75D"/>
    <w:rsid w:val="00012122"/>
    <w:rsid w:val="00037668"/>
    <w:rsid w:val="000378A6"/>
    <w:rsid w:val="00043558"/>
    <w:rsid w:val="00061660"/>
    <w:rsid w:val="0006491D"/>
    <w:rsid w:val="00072799"/>
    <w:rsid w:val="00075A94"/>
    <w:rsid w:val="0009321E"/>
    <w:rsid w:val="00097208"/>
    <w:rsid w:val="000C6156"/>
    <w:rsid w:val="000F2684"/>
    <w:rsid w:val="00102476"/>
    <w:rsid w:val="00106297"/>
    <w:rsid w:val="001076F2"/>
    <w:rsid w:val="001174AD"/>
    <w:rsid w:val="00124B57"/>
    <w:rsid w:val="00132855"/>
    <w:rsid w:val="00152993"/>
    <w:rsid w:val="00162711"/>
    <w:rsid w:val="00163B91"/>
    <w:rsid w:val="00164E03"/>
    <w:rsid w:val="00170297"/>
    <w:rsid w:val="00170BAA"/>
    <w:rsid w:val="00171173"/>
    <w:rsid w:val="00176C2C"/>
    <w:rsid w:val="001A227D"/>
    <w:rsid w:val="001C4279"/>
    <w:rsid w:val="001C69B9"/>
    <w:rsid w:val="001E2032"/>
    <w:rsid w:val="001E3B23"/>
    <w:rsid w:val="001E7BE5"/>
    <w:rsid w:val="00211E0E"/>
    <w:rsid w:val="002269D8"/>
    <w:rsid w:val="0023166B"/>
    <w:rsid w:val="00237F13"/>
    <w:rsid w:val="0024668B"/>
    <w:rsid w:val="002478C6"/>
    <w:rsid w:val="0025085D"/>
    <w:rsid w:val="00251F66"/>
    <w:rsid w:val="0025333E"/>
    <w:rsid w:val="0027089C"/>
    <w:rsid w:val="002771E6"/>
    <w:rsid w:val="00284C4E"/>
    <w:rsid w:val="00291387"/>
    <w:rsid w:val="00291E43"/>
    <w:rsid w:val="002A0CB4"/>
    <w:rsid w:val="002B6B4D"/>
    <w:rsid w:val="002C38AF"/>
    <w:rsid w:val="002C4956"/>
    <w:rsid w:val="002C64D2"/>
    <w:rsid w:val="002E0B01"/>
    <w:rsid w:val="002F3216"/>
    <w:rsid w:val="002F6804"/>
    <w:rsid w:val="003010C0"/>
    <w:rsid w:val="003049FF"/>
    <w:rsid w:val="00307DA8"/>
    <w:rsid w:val="00315E0F"/>
    <w:rsid w:val="003220D5"/>
    <w:rsid w:val="00326237"/>
    <w:rsid w:val="0032797A"/>
    <w:rsid w:val="00332A97"/>
    <w:rsid w:val="00337D09"/>
    <w:rsid w:val="00342CFD"/>
    <w:rsid w:val="00350C00"/>
    <w:rsid w:val="00360B9C"/>
    <w:rsid w:val="003619C1"/>
    <w:rsid w:val="00366113"/>
    <w:rsid w:val="003663F5"/>
    <w:rsid w:val="00372FF8"/>
    <w:rsid w:val="00373353"/>
    <w:rsid w:val="0037584A"/>
    <w:rsid w:val="00380F77"/>
    <w:rsid w:val="00396B1D"/>
    <w:rsid w:val="003B7386"/>
    <w:rsid w:val="003C270C"/>
    <w:rsid w:val="003C405A"/>
    <w:rsid w:val="003D0994"/>
    <w:rsid w:val="003E3824"/>
    <w:rsid w:val="003E7D74"/>
    <w:rsid w:val="003F3F85"/>
    <w:rsid w:val="00423824"/>
    <w:rsid w:val="004277A8"/>
    <w:rsid w:val="0043567D"/>
    <w:rsid w:val="00477981"/>
    <w:rsid w:val="004A670D"/>
    <w:rsid w:val="004A7DD2"/>
    <w:rsid w:val="004B7B90"/>
    <w:rsid w:val="004C5C71"/>
    <w:rsid w:val="004C6B45"/>
    <w:rsid w:val="004D37D7"/>
    <w:rsid w:val="004E2C19"/>
    <w:rsid w:val="004E6648"/>
    <w:rsid w:val="004F0123"/>
    <w:rsid w:val="004F285F"/>
    <w:rsid w:val="004F7777"/>
    <w:rsid w:val="005015F1"/>
    <w:rsid w:val="00504FC9"/>
    <w:rsid w:val="00512079"/>
    <w:rsid w:val="005154C9"/>
    <w:rsid w:val="0055032D"/>
    <w:rsid w:val="005D284C"/>
    <w:rsid w:val="005F53CF"/>
    <w:rsid w:val="00601917"/>
    <w:rsid w:val="00603F65"/>
    <w:rsid w:val="006141E0"/>
    <w:rsid w:val="00633E23"/>
    <w:rsid w:val="006501C3"/>
    <w:rsid w:val="006602D1"/>
    <w:rsid w:val="00664E28"/>
    <w:rsid w:val="00673B94"/>
    <w:rsid w:val="00680AC6"/>
    <w:rsid w:val="006835D8"/>
    <w:rsid w:val="00685FBC"/>
    <w:rsid w:val="00692278"/>
    <w:rsid w:val="006C316E"/>
    <w:rsid w:val="006C7516"/>
    <w:rsid w:val="006D0F7C"/>
    <w:rsid w:val="006E11D4"/>
    <w:rsid w:val="00705E33"/>
    <w:rsid w:val="00715A4E"/>
    <w:rsid w:val="00721347"/>
    <w:rsid w:val="007269C4"/>
    <w:rsid w:val="00734EAF"/>
    <w:rsid w:val="007369CC"/>
    <w:rsid w:val="007417D3"/>
    <w:rsid w:val="0074209E"/>
    <w:rsid w:val="00764AFD"/>
    <w:rsid w:val="00766639"/>
    <w:rsid w:val="00773DCA"/>
    <w:rsid w:val="00782231"/>
    <w:rsid w:val="00782AEE"/>
    <w:rsid w:val="00790549"/>
    <w:rsid w:val="00792D4D"/>
    <w:rsid w:val="00794502"/>
    <w:rsid w:val="007A2569"/>
    <w:rsid w:val="007B045B"/>
    <w:rsid w:val="007D37C2"/>
    <w:rsid w:val="007D4A5D"/>
    <w:rsid w:val="007E60E3"/>
    <w:rsid w:val="007F2CA8"/>
    <w:rsid w:val="007F4D61"/>
    <w:rsid w:val="007F676A"/>
    <w:rsid w:val="007F7161"/>
    <w:rsid w:val="008069C1"/>
    <w:rsid w:val="0081030D"/>
    <w:rsid w:val="00822EA5"/>
    <w:rsid w:val="00824CD2"/>
    <w:rsid w:val="0083561F"/>
    <w:rsid w:val="00845593"/>
    <w:rsid w:val="00852ABD"/>
    <w:rsid w:val="008534CB"/>
    <w:rsid w:val="0085559E"/>
    <w:rsid w:val="00862A29"/>
    <w:rsid w:val="00883512"/>
    <w:rsid w:val="00896B1B"/>
    <w:rsid w:val="008E559E"/>
    <w:rsid w:val="00900D28"/>
    <w:rsid w:val="00912CCE"/>
    <w:rsid w:val="00916080"/>
    <w:rsid w:val="00921A68"/>
    <w:rsid w:val="00923AA4"/>
    <w:rsid w:val="00960706"/>
    <w:rsid w:val="00982743"/>
    <w:rsid w:val="009936AA"/>
    <w:rsid w:val="009B01C4"/>
    <w:rsid w:val="009C7C63"/>
    <w:rsid w:val="009D7442"/>
    <w:rsid w:val="009D7621"/>
    <w:rsid w:val="009E1552"/>
    <w:rsid w:val="009F0034"/>
    <w:rsid w:val="00A015C4"/>
    <w:rsid w:val="00A15172"/>
    <w:rsid w:val="00A42F89"/>
    <w:rsid w:val="00A53A29"/>
    <w:rsid w:val="00A66BA2"/>
    <w:rsid w:val="00A7053C"/>
    <w:rsid w:val="00A857B0"/>
    <w:rsid w:val="00A97EA8"/>
    <w:rsid w:val="00AF1DC4"/>
    <w:rsid w:val="00B0408F"/>
    <w:rsid w:val="00B06E67"/>
    <w:rsid w:val="00B1098C"/>
    <w:rsid w:val="00B11F86"/>
    <w:rsid w:val="00B11F9A"/>
    <w:rsid w:val="00B152DA"/>
    <w:rsid w:val="00B714B4"/>
    <w:rsid w:val="00B74436"/>
    <w:rsid w:val="00B97C3A"/>
    <w:rsid w:val="00BA7E1E"/>
    <w:rsid w:val="00BB0766"/>
    <w:rsid w:val="00BB0BA0"/>
    <w:rsid w:val="00BD21F3"/>
    <w:rsid w:val="00BD5124"/>
    <w:rsid w:val="00BE1CE9"/>
    <w:rsid w:val="00BE3099"/>
    <w:rsid w:val="00BE4CE1"/>
    <w:rsid w:val="00C0598D"/>
    <w:rsid w:val="00C11956"/>
    <w:rsid w:val="00C12B5A"/>
    <w:rsid w:val="00C14E5E"/>
    <w:rsid w:val="00C158EE"/>
    <w:rsid w:val="00C32747"/>
    <w:rsid w:val="00C34FEB"/>
    <w:rsid w:val="00C4748E"/>
    <w:rsid w:val="00C507B1"/>
    <w:rsid w:val="00C54FEB"/>
    <w:rsid w:val="00C602E5"/>
    <w:rsid w:val="00C658BA"/>
    <w:rsid w:val="00C748FD"/>
    <w:rsid w:val="00C96ED3"/>
    <w:rsid w:val="00CC2B34"/>
    <w:rsid w:val="00CC75C1"/>
    <w:rsid w:val="00CE2AFB"/>
    <w:rsid w:val="00CF6607"/>
    <w:rsid w:val="00D070B3"/>
    <w:rsid w:val="00D20082"/>
    <w:rsid w:val="00D24DCF"/>
    <w:rsid w:val="00D4046E"/>
    <w:rsid w:val="00D41D01"/>
    <w:rsid w:val="00D5185A"/>
    <w:rsid w:val="00D818CC"/>
    <w:rsid w:val="00D825C5"/>
    <w:rsid w:val="00D84F55"/>
    <w:rsid w:val="00DB3472"/>
    <w:rsid w:val="00DC2F4A"/>
    <w:rsid w:val="00DD3B4F"/>
    <w:rsid w:val="00DD4739"/>
    <w:rsid w:val="00DD55EB"/>
    <w:rsid w:val="00DE5F33"/>
    <w:rsid w:val="00DF2B17"/>
    <w:rsid w:val="00DF5397"/>
    <w:rsid w:val="00E030B4"/>
    <w:rsid w:val="00E07B54"/>
    <w:rsid w:val="00E11F78"/>
    <w:rsid w:val="00E16E7B"/>
    <w:rsid w:val="00E20BF3"/>
    <w:rsid w:val="00E22EAC"/>
    <w:rsid w:val="00E26D05"/>
    <w:rsid w:val="00E32582"/>
    <w:rsid w:val="00E37BC6"/>
    <w:rsid w:val="00E42FBA"/>
    <w:rsid w:val="00E621E1"/>
    <w:rsid w:val="00E7771C"/>
    <w:rsid w:val="00E804CC"/>
    <w:rsid w:val="00E812A9"/>
    <w:rsid w:val="00E84FD9"/>
    <w:rsid w:val="00EA52F2"/>
    <w:rsid w:val="00EA68AA"/>
    <w:rsid w:val="00EC55B3"/>
    <w:rsid w:val="00ED549D"/>
    <w:rsid w:val="00EF11EA"/>
    <w:rsid w:val="00EF26D6"/>
    <w:rsid w:val="00EF3BC6"/>
    <w:rsid w:val="00F04987"/>
    <w:rsid w:val="00F11823"/>
    <w:rsid w:val="00F22374"/>
    <w:rsid w:val="00F42226"/>
    <w:rsid w:val="00F50CC6"/>
    <w:rsid w:val="00F52184"/>
    <w:rsid w:val="00F81613"/>
    <w:rsid w:val="00F912BE"/>
    <w:rsid w:val="00F94AEC"/>
    <w:rsid w:val="00F96FB2"/>
    <w:rsid w:val="00FA33B7"/>
    <w:rsid w:val="00FB129F"/>
    <w:rsid w:val="00FB384D"/>
    <w:rsid w:val="00FB51D8"/>
    <w:rsid w:val="00FC0FAF"/>
    <w:rsid w:val="00FC19BC"/>
    <w:rsid w:val="00FD08E8"/>
    <w:rsid w:val="00FD38F2"/>
    <w:rsid w:val="00FD6592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EAA72"/>
  <w15:docId w15:val="{F88B361C-199A-4773-B762-77ABD5A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619C1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3619C1"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rsid w:val="003619C1"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rsid w:val="003619C1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rsid w:val="003619C1"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rsid w:val="003619C1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rsid w:val="003619C1"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3619C1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3619C1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3619C1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9C1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3619C1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3619C1"/>
    <w:pPr>
      <w:spacing w:after="120"/>
    </w:pPr>
  </w:style>
  <w:style w:type="paragraph" w:customStyle="1" w:styleId="TXUHeader">
    <w:name w:val="TXUHeader"/>
    <w:basedOn w:val="TXUNormal"/>
    <w:rsid w:val="003619C1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3619C1"/>
    <w:rPr>
      <w:sz w:val="24"/>
    </w:rPr>
  </w:style>
  <w:style w:type="paragraph" w:customStyle="1" w:styleId="TXUSubject">
    <w:name w:val="TXUSubject"/>
    <w:basedOn w:val="TXUNormal"/>
    <w:next w:val="TXUNormal"/>
    <w:rsid w:val="003619C1"/>
    <w:pPr>
      <w:spacing w:after="240"/>
    </w:pPr>
    <w:rPr>
      <w:b/>
    </w:rPr>
  </w:style>
  <w:style w:type="paragraph" w:customStyle="1" w:styleId="TXUFooter">
    <w:name w:val="TXUFooter"/>
    <w:basedOn w:val="TXUNormal"/>
    <w:rsid w:val="003619C1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3619C1"/>
    <w:rPr>
      <w:sz w:val="20"/>
    </w:rPr>
  </w:style>
  <w:style w:type="paragraph" w:customStyle="1" w:styleId="Comments">
    <w:name w:val="Comments"/>
    <w:basedOn w:val="Normal"/>
    <w:rsid w:val="003619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3619C1"/>
    <w:rPr>
      <w:color w:val="0000FF"/>
      <w:u w:val="single"/>
    </w:rPr>
  </w:style>
  <w:style w:type="paragraph" w:styleId="BodyText">
    <w:name w:val="Body Text"/>
    <w:basedOn w:val="Normal"/>
    <w:rsid w:val="003619C1"/>
    <w:pPr>
      <w:spacing w:before="120" w:after="120"/>
    </w:pPr>
  </w:style>
  <w:style w:type="paragraph" w:styleId="BodyTextIndent">
    <w:name w:val="Body Text Indent"/>
    <w:basedOn w:val="Normal"/>
    <w:rsid w:val="003619C1"/>
    <w:pPr>
      <w:spacing w:before="120" w:after="120"/>
      <w:ind w:left="720"/>
    </w:pPr>
  </w:style>
  <w:style w:type="paragraph" w:customStyle="1" w:styleId="Bullet">
    <w:name w:val="Bullet"/>
    <w:basedOn w:val="Normal"/>
    <w:rsid w:val="003619C1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sid w:val="003619C1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D4739"/>
    <w:rPr>
      <w:b/>
      <w:bCs/>
    </w:rPr>
  </w:style>
  <w:style w:type="paragraph" w:styleId="Revision">
    <w:name w:val="Revision"/>
    <w:hidden/>
    <w:rsid w:val="00705E33"/>
    <w:rPr>
      <w:sz w:val="24"/>
      <w:szCs w:val="24"/>
    </w:rPr>
  </w:style>
  <w:style w:type="character" w:styleId="UnresolvedMention">
    <w:name w:val="Unresolved Mention"/>
    <w:rsid w:val="00705E3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D41D01"/>
    <w:rPr>
      <w:rFonts w:ascii="Arial" w:hAnsi="Arial"/>
      <w:sz w:val="24"/>
      <w:szCs w:val="24"/>
    </w:rPr>
  </w:style>
  <w:style w:type="paragraph" w:styleId="ListParagraph">
    <w:name w:val="List Paragraph"/>
    <w:basedOn w:val="Normal"/>
    <w:qFormat/>
    <w:rsid w:val="00F4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@hgpstor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1B5-9496-4CC8-8468-E58AA4E1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ERCOT/if</dc:creator>
  <cp:keywords/>
  <dc:description/>
  <cp:lastModifiedBy>ERCOT</cp:lastModifiedBy>
  <cp:revision>3</cp:revision>
  <cp:lastPrinted>2001-06-20T16:28:00Z</cp:lastPrinted>
  <dcterms:created xsi:type="dcterms:W3CDTF">2025-07-10T14:33:00Z</dcterms:created>
  <dcterms:modified xsi:type="dcterms:W3CDTF">2025-07-10T14:39:00Z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2025-05-29T19:58:26Z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62553af9-2a7b-43c8-97cd-cc6f4d39d002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