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8528" w14:textId="09DCAE8B" w:rsidR="000D2AA6" w:rsidRDefault="00287C66" w:rsidP="00287C66">
      <w:pPr>
        <w:jc w:val="center"/>
        <w:rPr>
          <w:b/>
          <w:bCs/>
          <w:sz w:val="28"/>
          <w:szCs w:val="28"/>
        </w:rPr>
      </w:pPr>
      <w:r w:rsidRPr="00287C66">
        <w:rPr>
          <w:b/>
          <w:bCs/>
          <w:sz w:val="28"/>
          <w:szCs w:val="28"/>
        </w:rPr>
        <w:t>Planning Working Group (PLWG) Meeting Minutes</w:t>
      </w:r>
    </w:p>
    <w:p w14:paraId="1EE0C269" w14:textId="6CEBECD7" w:rsidR="00A765CC" w:rsidRPr="00A765CC" w:rsidRDefault="002D22AD" w:rsidP="00287C66">
      <w:pPr>
        <w:jc w:val="center"/>
        <w:rPr>
          <w:b/>
          <w:bCs/>
          <w:sz w:val="28"/>
          <w:szCs w:val="28"/>
        </w:rPr>
      </w:pPr>
      <w:r>
        <w:rPr>
          <w:b/>
          <w:bCs/>
          <w:sz w:val="28"/>
          <w:szCs w:val="28"/>
        </w:rPr>
        <w:t>June 17</w:t>
      </w:r>
      <w:r w:rsidR="00287C66" w:rsidRPr="00287C66">
        <w:rPr>
          <w:b/>
          <w:bCs/>
          <w:sz w:val="28"/>
          <w:szCs w:val="28"/>
        </w:rPr>
        <w:t>, 2025 (</w:t>
      </w:r>
      <w:r w:rsidR="00B24967">
        <w:rPr>
          <w:b/>
          <w:bCs/>
          <w:sz w:val="28"/>
          <w:szCs w:val="28"/>
        </w:rPr>
        <w:t xml:space="preserve">In Person + </w:t>
      </w:r>
      <w:r w:rsidR="00287C66" w:rsidRPr="00287C66">
        <w:rPr>
          <w:b/>
          <w:bCs/>
          <w:sz w:val="28"/>
          <w:szCs w:val="28"/>
        </w:rPr>
        <w:t>WebEx)</w:t>
      </w:r>
    </w:p>
    <w:tbl>
      <w:tblPr>
        <w:tblW w:w="4952" w:type="pct"/>
        <w:tblCellMar>
          <w:top w:w="15" w:type="dxa"/>
          <w:left w:w="15" w:type="dxa"/>
          <w:bottom w:w="15" w:type="dxa"/>
          <w:right w:w="15" w:type="dxa"/>
        </w:tblCellMar>
        <w:tblLook w:val="04A0" w:firstRow="1" w:lastRow="0" w:firstColumn="1" w:lastColumn="0" w:noHBand="0" w:noVBand="1"/>
      </w:tblPr>
      <w:tblGrid>
        <w:gridCol w:w="540"/>
        <w:gridCol w:w="7110"/>
        <w:gridCol w:w="1620"/>
      </w:tblGrid>
      <w:tr w:rsidR="0056135A" w:rsidRPr="00A765CC" w14:paraId="2C1C752A" w14:textId="77777777" w:rsidTr="0056135A">
        <w:trPr>
          <w:trHeight w:val="630"/>
        </w:trPr>
        <w:tc>
          <w:tcPr>
            <w:tcW w:w="291" w:type="pct"/>
            <w:hideMark/>
          </w:tcPr>
          <w:p w14:paraId="2F8EFA68" w14:textId="77777777" w:rsidR="0056135A" w:rsidRPr="00A765CC" w:rsidRDefault="0056135A" w:rsidP="00A765CC">
            <w:r w:rsidRPr="00A765CC">
              <w:rPr>
                <w:b/>
                <w:bCs/>
              </w:rPr>
              <w:t>1.</w:t>
            </w:r>
          </w:p>
        </w:tc>
        <w:tc>
          <w:tcPr>
            <w:tcW w:w="3835" w:type="pct"/>
            <w:tcBorders>
              <w:right w:val="nil"/>
            </w:tcBorders>
            <w:tcMar>
              <w:top w:w="15" w:type="dxa"/>
              <w:left w:w="15" w:type="dxa"/>
              <w:bottom w:w="15" w:type="dxa"/>
              <w:right w:w="0" w:type="dxa"/>
            </w:tcMar>
            <w:hideMark/>
          </w:tcPr>
          <w:p w14:paraId="323D7672" w14:textId="77777777" w:rsidR="0056135A" w:rsidRDefault="0056135A" w:rsidP="00A765CC">
            <w:pPr>
              <w:rPr>
                <w:b/>
                <w:bCs/>
              </w:rPr>
            </w:pPr>
            <w:r w:rsidRPr="00A765CC">
              <w:rPr>
                <w:b/>
                <w:bCs/>
              </w:rPr>
              <w:t>Antitrust Admonition</w:t>
            </w:r>
          </w:p>
          <w:p w14:paraId="1B292D78" w14:textId="391B0657" w:rsidR="0056135A" w:rsidRPr="00A765CC" w:rsidRDefault="0056135A" w:rsidP="00A765CC">
            <w:r>
              <w:t>Antitrust admonition was given.</w:t>
            </w:r>
          </w:p>
        </w:tc>
        <w:tc>
          <w:tcPr>
            <w:tcW w:w="874" w:type="pct"/>
            <w:hideMark/>
          </w:tcPr>
          <w:p w14:paraId="15C2053A" w14:textId="77777777" w:rsidR="0056135A" w:rsidRPr="00A765CC" w:rsidRDefault="0056135A" w:rsidP="00A765CC">
            <w:r w:rsidRPr="00A765CC">
              <w:rPr>
                <w:b/>
                <w:bCs/>
              </w:rPr>
              <w:t>Chair</w:t>
            </w:r>
          </w:p>
        </w:tc>
      </w:tr>
      <w:tr w:rsidR="0056135A" w:rsidRPr="00A765CC" w14:paraId="4A04B9CE" w14:textId="77777777" w:rsidTr="0056135A">
        <w:trPr>
          <w:trHeight w:val="630"/>
        </w:trPr>
        <w:tc>
          <w:tcPr>
            <w:tcW w:w="291" w:type="pct"/>
            <w:hideMark/>
          </w:tcPr>
          <w:p w14:paraId="5AC78C3F" w14:textId="77777777" w:rsidR="0056135A" w:rsidRPr="00A765CC" w:rsidRDefault="0056135A" w:rsidP="00A765CC">
            <w:r w:rsidRPr="00A765CC">
              <w:rPr>
                <w:b/>
                <w:bCs/>
              </w:rPr>
              <w:t>2.</w:t>
            </w:r>
          </w:p>
        </w:tc>
        <w:tc>
          <w:tcPr>
            <w:tcW w:w="3835" w:type="pct"/>
            <w:tcBorders>
              <w:right w:val="nil"/>
            </w:tcBorders>
            <w:tcMar>
              <w:top w:w="15" w:type="dxa"/>
              <w:left w:w="15" w:type="dxa"/>
              <w:bottom w:w="15" w:type="dxa"/>
              <w:right w:w="0" w:type="dxa"/>
            </w:tcMar>
            <w:hideMark/>
          </w:tcPr>
          <w:p w14:paraId="0D6A44C6" w14:textId="77777777" w:rsidR="0056135A" w:rsidRDefault="0056135A" w:rsidP="00A765CC">
            <w:pPr>
              <w:rPr>
                <w:b/>
                <w:bCs/>
              </w:rPr>
            </w:pPr>
            <w:r w:rsidRPr="00A765CC">
              <w:rPr>
                <w:b/>
                <w:bCs/>
              </w:rPr>
              <w:t>Agenda Review</w:t>
            </w:r>
          </w:p>
          <w:p w14:paraId="345C2B5F" w14:textId="03AFE6BC" w:rsidR="0056135A" w:rsidRPr="00A765CC" w:rsidRDefault="0056135A" w:rsidP="00A765CC">
            <w:r>
              <w:t>Agenda was reviewed.</w:t>
            </w:r>
          </w:p>
        </w:tc>
        <w:tc>
          <w:tcPr>
            <w:tcW w:w="874" w:type="pct"/>
            <w:hideMark/>
          </w:tcPr>
          <w:p w14:paraId="4EF8B739" w14:textId="77777777" w:rsidR="0056135A" w:rsidRPr="00A765CC" w:rsidRDefault="0056135A" w:rsidP="00A765CC">
            <w:r w:rsidRPr="00A765CC">
              <w:rPr>
                <w:b/>
                <w:bCs/>
              </w:rPr>
              <w:t>Chair</w:t>
            </w:r>
          </w:p>
        </w:tc>
      </w:tr>
      <w:tr w:rsidR="0056135A" w:rsidRPr="00A765CC" w14:paraId="7FD5B6DD" w14:textId="77777777" w:rsidTr="0056135A">
        <w:trPr>
          <w:trHeight w:val="630"/>
        </w:trPr>
        <w:tc>
          <w:tcPr>
            <w:tcW w:w="291" w:type="pct"/>
            <w:hideMark/>
          </w:tcPr>
          <w:p w14:paraId="3258EB6E" w14:textId="77777777" w:rsidR="0056135A" w:rsidRPr="00A765CC" w:rsidRDefault="0056135A" w:rsidP="00A765CC">
            <w:r w:rsidRPr="00A765CC">
              <w:rPr>
                <w:b/>
                <w:bCs/>
              </w:rPr>
              <w:t>3.</w:t>
            </w:r>
          </w:p>
        </w:tc>
        <w:tc>
          <w:tcPr>
            <w:tcW w:w="3835" w:type="pct"/>
            <w:tcBorders>
              <w:right w:val="nil"/>
            </w:tcBorders>
            <w:tcMar>
              <w:top w:w="15" w:type="dxa"/>
              <w:left w:w="15" w:type="dxa"/>
              <w:bottom w:w="15" w:type="dxa"/>
              <w:right w:w="0" w:type="dxa"/>
            </w:tcMar>
            <w:hideMark/>
          </w:tcPr>
          <w:p w14:paraId="6418ACD8" w14:textId="1888D432" w:rsidR="0056135A" w:rsidRDefault="0056135A" w:rsidP="00A765CC">
            <w:pPr>
              <w:rPr>
                <w:b/>
                <w:bCs/>
              </w:rPr>
            </w:pPr>
            <w:r w:rsidRPr="00A765CC">
              <w:rPr>
                <w:b/>
                <w:bCs/>
              </w:rPr>
              <w:t>Review of PLWG Meeting Minutes (</w:t>
            </w:r>
            <w:r w:rsidR="002D22AD">
              <w:rPr>
                <w:b/>
                <w:bCs/>
              </w:rPr>
              <w:t>May 20th</w:t>
            </w:r>
            <w:r w:rsidRPr="00A765CC">
              <w:rPr>
                <w:b/>
                <w:bCs/>
              </w:rPr>
              <w:t>)</w:t>
            </w:r>
          </w:p>
          <w:p w14:paraId="184C9B67" w14:textId="66E993B2" w:rsidR="0056135A" w:rsidRPr="00A765CC" w:rsidRDefault="0056135A" w:rsidP="00A765CC">
            <w:r>
              <w:t>Meeting minutes reviewed. No feedback received.</w:t>
            </w:r>
          </w:p>
        </w:tc>
        <w:tc>
          <w:tcPr>
            <w:tcW w:w="874" w:type="pct"/>
            <w:hideMark/>
          </w:tcPr>
          <w:p w14:paraId="4DF279FC" w14:textId="77777777" w:rsidR="0056135A" w:rsidRPr="00A765CC" w:rsidRDefault="0056135A" w:rsidP="00A765CC">
            <w:r w:rsidRPr="00A765CC">
              <w:rPr>
                <w:b/>
                <w:bCs/>
              </w:rPr>
              <w:t>Chair</w:t>
            </w:r>
          </w:p>
        </w:tc>
      </w:tr>
      <w:tr w:rsidR="0056135A" w:rsidRPr="00A765CC" w14:paraId="0FD7E72D" w14:textId="77777777" w:rsidTr="00240829">
        <w:trPr>
          <w:trHeight w:val="345"/>
        </w:trPr>
        <w:tc>
          <w:tcPr>
            <w:tcW w:w="291" w:type="pct"/>
            <w:hideMark/>
          </w:tcPr>
          <w:p w14:paraId="66C479BD" w14:textId="77591D9E" w:rsidR="0056135A" w:rsidRPr="00A765CC" w:rsidRDefault="002D22AD" w:rsidP="00A765CC">
            <w:r>
              <w:rPr>
                <w:b/>
                <w:bCs/>
              </w:rPr>
              <w:t>4</w:t>
            </w:r>
            <w:r w:rsidR="0056135A" w:rsidRPr="00A765CC">
              <w:rPr>
                <w:b/>
                <w:bCs/>
              </w:rPr>
              <w:t>.</w:t>
            </w:r>
          </w:p>
        </w:tc>
        <w:tc>
          <w:tcPr>
            <w:tcW w:w="3835" w:type="pct"/>
            <w:tcBorders>
              <w:right w:val="nil"/>
            </w:tcBorders>
            <w:tcMar>
              <w:top w:w="15" w:type="dxa"/>
              <w:left w:w="15" w:type="dxa"/>
              <w:bottom w:w="15" w:type="dxa"/>
              <w:right w:w="0" w:type="dxa"/>
            </w:tcMar>
            <w:hideMark/>
          </w:tcPr>
          <w:p w14:paraId="1A7F28EB" w14:textId="77777777" w:rsidR="0056135A" w:rsidRPr="00A765CC" w:rsidRDefault="0056135A" w:rsidP="00A765CC">
            <w:r w:rsidRPr="00A765CC">
              <w:rPr>
                <w:b/>
                <w:bCs/>
              </w:rPr>
              <w:t>PGRR 122 – Reliability Performance Criteria for Loss of Load</w:t>
            </w:r>
          </w:p>
        </w:tc>
        <w:tc>
          <w:tcPr>
            <w:tcW w:w="874" w:type="pct"/>
            <w:hideMark/>
          </w:tcPr>
          <w:p w14:paraId="1B51905F" w14:textId="77777777" w:rsidR="0056135A" w:rsidRPr="00A765CC" w:rsidRDefault="0056135A" w:rsidP="00A765CC">
            <w:r w:rsidRPr="00A765CC">
              <w:rPr>
                <w:b/>
                <w:bCs/>
              </w:rPr>
              <w:t>ERCOT/PLWG</w:t>
            </w:r>
          </w:p>
        </w:tc>
      </w:tr>
      <w:tr w:rsidR="00240829" w:rsidRPr="00A765CC" w14:paraId="028401F1" w14:textId="77777777" w:rsidTr="00240829">
        <w:trPr>
          <w:trHeight w:val="990"/>
        </w:trPr>
        <w:tc>
          <w:tcPr>
            <w:tcW w:w="291" w:type="pct"/>
          </w:tcPr>
          <w:p w14:paraId="58CA2D1A" w14:textId="2F21FB06" w:rsidR="00240829" w:rsidRPr="00A765CC" w:rsidRDefault="00240829" w:rsidP="00A765CC">
            <w:pPr>
              <w:rPr>
                <w:b/>
                <w:bCs/>
              </w:rPr>
            </w:pPr>
          </w:p>
        </w:tc>
        <w:tc>
          <w:tcPr>
            <w:tcW w:w="3835" w:type="pct"/>
            <w:tcBorders>
              <w:right w:val="nil"/>
            </w:tcBorders>
            <w:tcMar>
              <w:top w:w="15" w:type="dxa"/>
              <w:left w:w="15" w:type="dxa"/>
              <w:bottom w:w="15" w:type="dxa"/>
              <w:right w:w="0" w:type="dxa"/>
            </w:tcMar>
          </w:tcPr>
          <w:p w14:paraId="7952D764" w14:textId="7E6D7E38" w:rsidR="00437B10" w:rsidRDefault="00437B10" w:rsidP="00AC0571">
            <w:r>
              <w:t xml:space="preserve">No new comments </w:t>
            </w:r>
            <w:r w:rsidR="000F52EF">
              <w:t xml:space="preserve">had been </w:t>
            </w:r>
            <w:r>
              <w:t>posted since</w:t>
            </w:r>
            <w:r w:rsidR="00571EE8">
              <w:t xml:space="preserve"> </w:t>
            </w:r>
            <w:r w:rsidR="000E090B">
              <w:t>last PLWG</w:t>
            </w:r>
            <w:r w:rsidR="00571EE8">
              <w:t xml:space="preserve"> meeting.</w:t>
            </w:r>
          </w:p>
          <w:p w14:paraId="31AC8F8E" w14:textId="34AFCAF0" w:rsidR="00882831" w:rsidRDefault="006F69E7" w:rsidP="00AC0571">
            <w:r>
              <w:t xml:space="preserve">Jeff Billo (ERCOT) </w:t>
            </w:r>
            <w:r w:rsidR="00571EE8">
              <w:t>shared that ERCOT has contemplated comments</w:t>
            </w:r>
            <w:r w:rsidR="000E090B">
              <w:t>,</w:t>
            </w:r>
            <w:r w:rsidR="00571EE8">
              <w:t xml:space="preserve"> but</w:t>
            </w:r>
            <w:r w:rsidR="000E090B">
              <w:t xml:space="preserve"> these are not yet</w:t>
            </w:r>
            <w:r w:rsidR="00571EE8">
              <w:t xml:space="preserve"> finalized. </w:t>
            </w:r>
            <w:r w:rsidR="004B3EC7">
              <w:t xml:space="preserve">Discussion on </w:t>
            </w:r>
            <w:r w:rsidR="00080683">
              <w:t xml:space="preserve">voltage ride through </w:t>
            </w:r>
            <w:r w:rsidR="004B3EC7">
              <w:t>requirements for load</w:t>
            </w:r>
            <w:r w:rsidR="00080683">
              <w:t xml:space="preserve"> </w:t>
            </w:r>
            <w:r w:rsidR="000E090B">
              <w:t>occurred</w:t>
            </w:r>
            <w:r w:rsidR="00080683">
              <w:t xml:space="preserve"> at </w:t>
            </w:r>
            <w:r w:rsidR="00197DE6">
              <w:t xml:space="preserve">the Large Load </w:t>
            </w:r>
            <w:r>
              <w:t xml:space="preserve">Workshop held on </w:t>
            </w:r>
            <w:r w:rsidR="000D2DD4">
              <w:t>June 13</w:t>
            </w:r>
            <w:r w:rsidR="000D2DD4" w:rsidRPr="000D2DD4">
              <w:rPr>
                <w:vertAlign w:val="superscript"/>
              </w:rPr>
              <w:t>th</w:t>
            </w:r>
            <w:r w:rsidR="00080683">
              <w:t xml:space="preserve">. Nothing new </w:t>
            </w:r>
            <w:r w:rsidR="002A1E26">
              <w:t>to share at</w:t>
            </w:r>
            <w:r w:rsidR="00080683">
              <w:t xml:space="preserve"> PLWG today.</w:t>
            </w:r>
          </w:p>
          <w:p w14:paraId="18F3123E" w14:textId="50D53720" w:rsidR="0098096C" w:rsidRDefault="0098096C" w:rsidP="00AC0571">
            <w:r>
              <w:t>Clayton Greer – Will the comments encompass anything further than changing the</w:t>
            </w:r>
            <w:r w:rsidR="001606CD">
              <w:t xml:space="preserve"> maximum load loss</w:t>
            </w:r>
            <w:r>
              <w:t xml:space="preserve"> limit from 1,000 MW to 2,600 MW?</w:t>
            </w:r>
          </w:p>
          <w:p w14:paraId="7DF1DA2F" w14:textId="1FA7A718" w:rsidR="0098096C" w:rsidRDefault="007B7AAD" w:rsidP="00AC0571">
            <w:r>
              <w:t>Jeff</w:t>
            </w:r>
            <w:r w:rsidR="0098096C">
              <w:t xml:space="preserve"> – Yes, anticipate</w:t>
            </w:r>
            <w:r w:rsidR="001E095D">
              <w:t xml:space="preserve"> comments will be</w:t>
            </w:r>
            <w:r w:rsidR="0098096C">
              <w:t xml:space="preserve"> more extensive </w:t>
            </w:r>
            <w:r w:rsidR="001E095D">
              <w:t>and will i</w:t>
            </w:r>
            <w:r w:rsidR="0098096C">
              <w:t>nclud</w:t>
            </w:r>
            <w:r w:rsidR="001E095D">
              <w:t>e</w:t>
            </w:r>
            <w:r w:rsidR="0098096C">
              <w:t xml:space="preserve"> language changes.</w:t>
            </w:r>
            <w:r w:rsidR="00A4756E">
              <w:t xml:space="preserve"> </w:t>
            </w:r>
            <w:r>
              <w:t xml:space="preserve">ERCOT previously shared concepts for concepts at the April PLWG meeting. </w:t>
            </w:r>
            <w:r w:rsidR="000F52EF">
              <w:t>Still processing stakeholder feedback from that meeting.</w:t>
            </w:r>
            <w:r w:rsidR="00A4756E">
              <w:t xml:space="preserve"> </w:t>
            </w:r>
          </w:p>
          <w:p w14:paraId="5930F538" w14:textId="69E85AB5" w:rsidR="00451EE9" w:rsidRDefault="00E57A9B" w:rsidP="00AC0571">
            <w:r>
              <w:t xml:space="preserve">Clayton - </w:t>
            </w:r>
            <w:r w:rsidR="00451EE9">
              <w:t>Did that include a definition for “electrically close”?</w:t>
            </w:r>
          </w:p>
          <w:p w14:paraId="7230DC93" w14:textId="3E4D456D" w:rsidR="00E57A9B" w:rsidRDefault="00D43EAD" w:rsidP="00AC0571">
            <w:r>
              <w:t>Jeff</w:t>
            </w:r>
            <w:r w:rsidR="00451EE9">
              <w:t xml:space="preserve"> – No</w:t>
            </w:r>
            <w:r>
              <w:t>, not explicitly</w:t>
            </w:r>
            <w:r w:rsidR="002A1E26">
              <w:t xml:space="preserve">. PGRR122 is not intended to lay out the </w:t>
            </w:r>
            <w:r w:rsidR="00414574">
              <w:t xml:space="preserve">modeling details or </w:t>
            </w:r>
            <w:r w:rsidR="002A1E26">
              <w:t>study assumptions</w:t>
            </w:r>
            <w:r w:rsidR="00414574">
              <w:t xml:space="preserve">, rather it will establish the criteria. Likewise, it will not build out </w:t>
            </w:r>
            <w:r w:rsidR="008D5A7F">
              <w:t>a process or flow chart. The flow chart introduced at the workshop is meant to be</w:t>
            </w:r>
            <w:r w:rsidR="00E57A9B">
              <w:t xml:space="preserve"> an interim </w:t>
            </w:r>
            <w:r w:rsidR="008D5A7F">
              <w:t xml:space="preserve">process, and ERCOT would eventually </w:t>
            </w:r>
            <w:r w:rsidR="00E57A9B">
              <w:t xml:space="preserve">follow-up with a </w:t>
            </w:r>
            <w:r w:rsidR="008D5A7F">
              <w:t>new PGRR to address</w:t>
            </w:r>
            <w:r w:rsidR="00E57A9B">
              <w:t>.</w:t>
            </w:r>
          </w:p>
          <w:p w14:paraId="5F31332F" w14:textId="0AA88B74" w:rsidR="00240829" w:rsidRPr="00717207" w:rsidRDefault="00C020F5" w:rsidP="00AC0571">
            <w:r>
              <w:rPr>
                <w:b/>
                <w:bCs/>
                <w:i/>
                <w:iCs/>
              </w:rPr>
              <w:t xml:space="preserve">No action taken. </w:t>
            </w:r>
            <w:r w:rsidR="00F231D6" w:rsidRPr="00084DDC">
              <w:rPr>
                <w:b/>
                <w:bCs/>
                <w:i/>
                <w:iCs/>
              </w:rPr>
              <w:t>Continue</w:t>
            </w:r>
            <w:r w:rsidR="003979F5">
              <w:rPr>
                <w:b/>
                <w:bCs/>
                <w:i/>
                <w:iCs/>
              </w:rPr>
              <w:t>d</w:t>
            </w:r>
            <w:r w:rsidR="00F231D6" w:rsidRPr="00084DDC">
              <w:rPr>
                <w:b/>
                <w:bCs/>
                <w:i/>
                <w:iCs/>
              </w:rPr>
              <w:t xml:space="preserve"> to table</w:t>
            </w:r>
            <w:r w:rsidR="003979F5">
              <w:rPr>
                <w:b/>
                <w:bCs/>
                <w:i/>
                <w:iCs/>
              </w:rPr>
              <w:t xml:space="preserve"> PGRR122</w:t>
            </w:r>
            <w:r w:rsidR="00F26190" w:rsidRPr="00084DDC">
              <w:rPr>
                <w:b/>
                <w:bCs/>
                <w:i/>
                <w:iCs/>
              </w:rPr>
              <w:t>.</w:t>
            </w:r>
            <w:r w:rsidR="00D96247">
              <w:rPr>
                <w:b/>
                <w:bCs/>
                <w:i/>
                <w:iCs/>
              </w:rPr>
              <w:t xml:space="preserve"> </w:t>
            </w:r>
          </w:p>
        </w:tc>
        <w:tc>
          <w:tcPr>
            <w:tcW w:w="874" w:type="pct"/>
          </w:tcPr>
          <w:p w14:paraId="7D856BC3" w14:textId="0EAA6140" w:rsidR="00240829" w:rsidRDefault="00240829" w:rsidP="00A765CC">
            <w:pPr>
              <w:rPr>
                <w:b/>
                <w:bCs/>
              </w:rPr>
            </w:pPr>
          </w:p>
        </w:tc>
      </w:tr>
      <w:tr w:rsidR="00695351" w:rsidRPr="00A765CC" w14:paraId="36BDF012" w14:textId="77777777" w:rsidTr="00695351">
        <w:trPr>
          <w:trHeight w:val="990"/>
        </w:trPr>
        <w:tc>
          <w:tcPr>
            <w:tcW w:w="291" w:type="pct"/>
          </w:tcPr>
          <w:p w14:paraId="3DAB29B2" w14:textId="5CFC70BD" w:rsidR="00695351" w:rsidRPr="00F704FD" w:rsidRDefault="002D22AD" w:rsidP="004A695B">
            <w:pPr>
              <w:rPr>
                <w:b/>
                <w:bCs/>
              </w:rPr>
            </w:pPr>
            <w:r>
              <w:rPr>
                <w:b/>
                <w:bCs/>
              </w:rPr>
              <w:t>5</w:t>
            </w:r>
            <w:r w:rsidR="00695351" w:rsidRPr="00A765CC">
              <w:rPr>
                <w:b/>
                <w:bCs/>
              </w:rPr>
              <w:t>.</w:t>
            </w:r>
          </w:p>
        </w:tc>
        <w:tc>
          <w:tcPr>
            <w:tcW w:w="3835" w:type="pct"/>
            <w:tcBorders>
              <w:right w:val="nil"/>
            </w:tcBorders>
            <w:tcMar>
              <w:top w:w="15" w:type="dxa"/>
              <w:left w:w="15" w:type="dxa"/>
              <w:bottom w:w="15" w:type="dxa"/>
              <w:right w:w="0" w:type="dxa"/>
            </w:tcMar>
          </w:tcPr>
          <w:p w14:paraId="6A6B7910" w14:textId="77777777" w:rsidR="00695351" w:rsidRDefault="00695351" w:rsidP="00ED2EBF">
            <w:pPr>
              <w:pStyle w:val="ListParagraph"/>
              <w:ind w:left="525" w:hanging="525"/>
              <w:rPr>
                <w:b/>
                <w:bCs/>
              </w:rPr>
            </w:pPr>
            <w:r w:rsidRPr="00A765CC">
              <w:rPr>
                <w:b/>
                <w:bCs/>
              </w:rPr>
              <w:t>NPRR 1272 – Voltage Support at Private Use Networks</w:t>
            </w:r>
          </w:p>
          <w:p w14:paraId="0960CB11" w14:textId="6A22214F" w:rsidR="002D22AD" w:rsidRPr="002D22AD" w:rsidRDefault="002D22AD" w:rsidP="00AC0571">
            <w:pPr>
              <w:spacing w:before="120"/>
              <w:rPr>
                <w:b/>
                <w:bCs/>
              </w:rPr>
            </w:pPr>
            <w:r w:rsidRPr="002D22AD">
              <w:rPr>
                <w:b/>
                <w:bCs/>
              </w:rPr>
              <w:t>Review Oxy comments</w:t>
            </w:r>
          </w:p>
          <w:p w14:paraId="6637DF7A" w14:textId="0FC7E3FC" w:rsidR="0060249F" w:rsidRDefault="007F12E6" w:rsidP="00AC0571">
            <w:pPr>
              <w:spacing w:before="120"/>
            </w:pPr>
            <w:r>
              <w:t xml:space="preserve">Melissa Trevino </w:t>
            </w:r>
            <w:r w:rsidR="000D4E42">
              <w:t>and Scott Wardle with Oxy</w:t>
            </w:r>
            <w:r w:rsidR="00B1427B">
              <w:t xml:space="preserve"> reviewed comments</w:t>
            </w:r>
            <w:r w:rsidR="000F58C1">
              <w:t xml:space="preserve"> posted on May 20</w:t>
            </w:r>
            <w:r w:rsidR="000F58C1" w:rsidRPr="000F58C1">
              <w:rPr>
                <w:vertAlign w:val="superscript"/>
              </w:rPr>
              <w:t>th</w:t>
            </w:r>
            <w:r w:rsidR="00B1427B">
              <w:t>.</w:t>
            </w:r>
            <w:r>
              <w:t xml:space="preserve"> </w:t>
            </w:r>
            <w:r w:rsidR="00C97EDE">
              <w:t>Oxy is not seeking to change ERCOT’s interpretation</w:t>
            </w:r>
            <w:r w:rsidR="000D4E42">
              <w:t xml:space="preserve"> but rather to clarify the protocols on this issue</w:t>
            </w:r>
            <w:r w:rsidR="00676F39">
              <w:t>. Main purpose was to respond to some concerns that ERCOT had raised in their previous comments</w:t>
            </w:r>
            <w:r w:rsidR="0060249F">
              <w:t>.</w:t>
            </w:r>
            <w:r w:rsidR="00676F39">
              <w:t xml:space="preserve"> </w:t>
            </w:r>
          </w:p>
          <w:p w14:paraId="4D97AD28" w14:textId="0D1CFC04" w:rsidR="00760299" w:rsidRDefault="00A63BA7" w:rsidP="00AC0571">
            <w:pPr>
              <w:spacing w:before="120"/>
            </w:pPr>
            <w:r>
              <w:lastRenderedPageBreak/>
              <w:t xml:space="preserve">The ERCOT personnel who could best speak to this NPRR </w:t>
            </w:r>
            <w:r w:rsidR="008D035F">
              <w:t xml:space="preserve">were not </w:t>
            </w:r>
            <w:r w:rsidR="007A6538">
              <w:t>available to provide</w:t>
            </w:r>
            <w:r w:rsidR="00CA44A4">
              <w:t xml:space="preserve"> feedback.</w:t>
            </w:r>
          </w:p>
          <w:p w14:paraId="719D9E6B" w14:textId="58B98A01" w:rsidR="00695351" w:rsidRPr="002032B5" w:rsidRDefault="00695351" w:rsidP="00AC0571">
            <w:pPr>
              <w:spacing w:before="120"/>
              <w:rPr>
                <w:b/>
                <w:bCs/>
                <w:i/>
                <w:iCs/>
              </w:rPr>
            </w:pPr>
            <w:r w:rsidRPr="002032B5">
              <w:rPr>
                <w:b/>
                <w:bCs/>
                <w:i/>
                <w:iCs/>
              </w:rPr>
              <w:t xml:space="preserve">Action Taken: </w:t>
            </w:r>
            <w:r w:rsidR="002032B5">
              <w:rPr>
                <w:b/>
                <w:bCs/>
                <w:i/>
                <w:iCs/>
              </w:rPr>
              <w:t>Continue</w:t>
            </w:r>
            <w:r w:rsidR="003979F5">
              <w:rPr>
                <w:b/>
                <w:bCs/>
                <w:i/>
                <w:iCs/>
              </w:rPr>
              <w:t>d</w:t>
            </w:r>
            <w:r w:rsidR="002032B5">
              <w:rPr>
                <w:b/>
                <w:bCs/>
                <w:i/>
                <w:iCs/>
              </w:rPr>
              <w:t xml:space="preserve"> to table </w:t>
            </w:r>
            <w:r w:rsidRPr="002032B5">
              <w:rPr>
                <w:b/>
                <w:bCs/>
                <w:i/>
                <w:iCs/>
              </w:rPr>
              <w:t>NPRR1272</w:t>
            </w:r>
            <w:r w:rsidR="00A63BA7">
              <w:rPr>
                <w:b/>
                <w:bCs/>
                <w:i/>
                <w:iCs/>
              </w:rPr>
              <w:t>.</w:t>
            </w:r>
          </w:p>
        </w:tc>
        <w:tc>
          <w:tcPr>
            <w:tcW w:w="874" w:type="pct"/>
          </w:tcPr>
          <w:p w14:paraId="44CC8882" w14:textId="77777777" w:rsidR="00695351" w:rsidRDefault="00695351" w:rsidP="004A695B">
            <w:pPr>
              <w:rPr>
                <w:b/>
                <w:bCs/>
              </w:rPr>
            </w:pPr>
            <w:r>
              <w:rPr>
                <w:b/>
                <w:bCs/>
              </w:rPr>
              <w:lastRenderedPageBreak/>
              <w:t>PLWG</w:t>
            </w:r>
          </w:p>
          <w:p w14:paraId="4205E8D8" w14:textId="79F2109E" w:rsidR="002D22AD" w:rsidRDefault="002D22AD" w:rsidP="004A695B">
            <w:pPr>
              <w:rPr>
                <w:b/>
                <w:bCs/>
              </w:rPr>
            </w:pPr>
            <w:r>
              <w:rPr>
                <w:b/>
                <w:bCs/>
              </w:rPr>
              <w:t>Melissa Trevino / Oxy</w:t>
            </w:r>
          </w:p>
          <w:p w14:paraId="46D3645C" w14:textId="77777777" w:rsidR="002D22AD" w:rsidRPr="00F704FD" w:rsidRDefault="002D22AD" w:rsidP="004A695B">
            <w:pPr>
              <w:rPr>
                <w:b/>
                <w:bCs/>
              </w:rPr>
            </w:pPr>
          </w:p>
        </w:tc>
      </w:tr>
      <w:tr w:rsidR="0056135A" w:rsidRPr="00A765CC" w14:paraId="775359B9" w14:textId="77777777" w:rsidTr="0056135A">
        <w:trPr>
          <w:trHeight w:val="645"/>
        </w:trPr>
        <w:tc>
          <w:tcPr>
            <w:tcW w:w="291" w:type="pct"/>
            <w:hideMark/>
          </w:tcPr>
          <w:p w14:paraId="06707E77" w14:textId="4F61FEEA" w:rsidR="0056135A" w:rsidRPr="00A765CC" w:rsidRDefault="002D22AD" w:rsidP="00A765CC">
            <w:r>
              <w:rPr>
                <w:b/>
                <w:bCs/>
              </w:rPr>
              <w:t>6</w:t>
            </w:r>
            <w:r w:rsidR="0056135A" w:rsidRPr="00A765CC">
              <w:rPr>
                <w:b/>
                <w:bCs/>
              </w:rPr>
              <w:t>.</w:t>
            </w:r>
          </w:p>
        </w:tc>
        <w:tc>
          <w:tcPr>
            <w:tcW w:w="3835" w:type="pct"/>
            <w:tcBorders>
              <w:right w:val="nil"/>
            </w:tcBorders>
            <w:tcMar>
              <w:top w:w="15" w:type="dxa"/>
              <w:left w:w="15" w:type="dxa"/>
              <w:bottom w:w="15" w:type="dxa"/>
              <w:right w:w="0" w:type="dxa"/>
            </w:tcMar>
            <w:hideMark/>
          </w:tcPr>
          <w:p w14:paraId="2D95913B" w14:textId="2321FA7F" w:rsidR="0056135A" w:rsidRDefault="00240829" w:rsidP="00A765CC">
            <w:pPr>
              <w:rPr>
                <w:b/>
                <w:bCs/>
              </w:rPr>
            </w:pPr>
            <w:r>
              <w:rPr>
                <w:b/>
                <w:bCs/>
              </w:rPr>
              <w:t>PGRR 124 – ESR Maintenance Exception to Modification</w:t>
            </w:r>
          </w:p>
          <w:p w14:paraId="2B718500" w14:textId="0FB39965" w:rsidR="00584F84" w:rsidRDefault="0060249F" w:rsidP="00A765CC">
            <w:r>
              <w:t>Eric Goff</w:t>
            </w:r>
            <w:r w:rsidR="00E741C8">
              <w:t xml:space="preserve"> – </w:t>
            </w:r>
            <w:r w:rsidR="00FA7D72">
              <w:t>Tesla is st</w:t>
            </w:r>
            <w:r w:rsidR="00E741C8">
              <w:t>ill working on setting up offline discussion with ERCOT on this item</w:t>
            </w:r>
            <w:r w:rsidR="00FA7D72">
              <w:t xml:space="preserve"> and is not prepared for a policy</w:t>
            </w:r>
            <w:r w:rsidR="00E741C8">
              <w:t xml:space="preserve"> discussion </w:t>
            </w:r>
            <w:r w:rsidR="00FA7D72">
              <w:t>t</w:t>
            </w:r>
            <w:r w:rsidR="00E741C8">
              <w:t>oday.</w:t>
            </w:r>
            <w:r w:rsidR="00FA7D72">
              <w:t xml:space="preserve"> The proposal addresses when a battery site</w:t>
            </w:r>
            <w:r w:rsidR="00584F84">
              <w:t xml:space="preserve"> does augmentation </w:t>
            </w:r>
            <w:r w:rsidR="005F312E">
              <w:t>without</w:t>
            </w:r>
            <w:r w:rsidR="00584F84">
              <w:t xml:space="preserve"> </w:t>
            </w:r>
            <w:r w:rsidR="005B46AA">
              <w:t xml:space="preserve">changing capacity. </w:t>
            </w:r>
            <w:r w:rsidR="005F312E">
              <w:t xml:space="preserve">This is done by adding </w:t>
            </w:r>
            <w:r w:rsidR="005B46AA">
              <w:t>equipment and then limit</w:t>
            </w:r>
            <w:r w:rsidR="005F312E">
              <w:t>ing output</w:t>
            </w:r>
            <w:r w:rsidR="005B46AA">
              <w:t xml:space="preserve"> through firmware. This could happen on a regular maintenance cycle</w:t>
            </w:r>
            <w:r w:rsidR="005F312E">
              <w:t xml:space="preserve"> with some frequency.</w:t>
            </w:r>
          </w:p>
          <w:p w14:paraId="58968668" w14:textId="77AC64E0" w:rsidR="00F27AF0" w:rsidRDefault="00F27AF0" w:rsidP="00A765CC">
            <w:r>
              <w:t xml:space="preserve">Sun Wook Kang (ERCOT) </w:t>
            </w:r>
            <w:r w:rsidR="00784C58">
              <w:t>–</w:t>
            </w:r>
            <w:r>
              <w:t xml:space="preserve"> </w:t>
            </w:r>
            <w:r w:rsidR="00D242BD">
              <w:t>Noted that a</w:t>
            </w:r>
            <w:r w:rsidR="00784C58">
              <w:t xml:space="preserve"> process is </w:t>
            </w:r>
            <w:r w:rsidR="00D242BD">
              <w:t xml:space="preserve">already </w:t>
            </w:r>
            <w:r w:rsidR="00784C58">
              <w:t>in place</w:t>
            </w:r>
            <w:r w:rsidR="00D242BD">
              <w:t xml:space="preserve"> via</w:t>
            </w:r>
            <w:r w:rsidR="00D2353D">
              <w:t xml:space="preserve"> PGRR109</w:t>
            </w:r>
            <w:r w:rsidR="00784C58">
              <w:t>.</w:t>
            </w:r>
            <w:r w:rsidR="00D242BD">
              <w:t xml:space="preserve"> ERCOT wants</w:t>
            </w:r>
            <w:r w:rsidR="00784C58">
              <w:t xml:space="preserve"> to</w:t>
            </w:r>
            <w:r w:rsidR="00D242BD">
              <w:t xml:space="preserve"> better</w:t>
            </w:r>
            <w:r w:rsidR="00784C58">
              <w:t xml:space="preserve"> understand what is involved in the </w:t>
            </w:r>
            <w:r w:rsidR="00D242BD">
              <w:t>m</w:t>
            </w:r>
            <w:r w:rsidR="00784C58">
              <w:t xml:space="preserve">egapack changeout. </w:t>
            </w:r>
          </w:p>
          <w:p w14:paraId="43CC771A" w14:textId="5F51B3B3" w:rsidR="00D2353D" w:rsidRDefault="001C7ECC" w:rsidP="00A765CC">
            <w:r>
              <w:t>Tesla and ERCOT hope</w:t>
            </w:r>
            <w:r w:rsidR="00D2353D">
              <w:t xml:space="preserve"> to have the meeting before July PLWG.</w:t>
            </w:r>
          </w:p>
          <w:p w14:paraId="24B05946" w14:textId="07E80610" w:rsidR="0056135A" w:rsidRPr="00A765CC" w:rsidRDefault="009D2313" w:rsidP="00A765CC">
            <w:pPr>
              <w:rPr>
                <w:b/>
                <w:bCs/>
                <w:i/>
                <w:iCs/>
              </w:rPr>
            </w:pPr>
            <w:r>
              <w:rPr>
                <w:b/>
                <w:bCs/>
                <w:i/>
                <w:iCs/>
              </w:rPr>
              <w:t xml:space="preserve">Action: </w:t>
            </w:r>
            <w:r w:rsidR="00E741C8">
              <w:rPr>
                <w:b/>
                <w:bCs/>
                <w:i/>
                <w:iCs/>
              </w:rPr>
              <w:t>Continue</w:t>
            </w:r>
            <w:r w:rsidR="00064D14">
              <w:rPr>
                <w:b/>
                <w:bCs/>
                <w:i/>
                <w:iCs/>
              </w:rPr>
              <w:t>d</w:t>
            </w:r>
            <w:r w:rsidR="00E741C8">
              <w:rPr>
                <w:b/>
                <w:bCs/>
                <w:i/>
                <w:iCs/>
              </w:rPr>
              <w:t xml:space="preserve"> to table PGRR124.</w:t>
            </w:r>
          </w:p>
        </w:tc>
        <w:tc>
          <w:tcPr>
            <w:tcW w:w="874" w:type="pct"/>
            <w:hideMark/>
          </w:tcPr>
          <w:p w14:paraId="1C5D9531" w14:textId="437E432A" w:rsidR="0056135A" w:rsidRPr="00A765CC" w:rsidRDefault="00240829" w:rsidP="00A765CC">
            <w:r>
              <w:rPr>
                <w:b/>
                <w:bCs/>
              </w:rPr>
              <w:t>Tesla</w:t>
            </w:r>
            <w:r w:rsidR="00AC0571">
              <w:rPr>
                <w:b/>
                <w:bCs/>
              </w:rPr>
              <w:t xml:space="preserve"> / Eric Goff</w:t>
            </w:r>
          </w:p>
        </w:tc>
      </w:tr>
      <w:tr w:rsidR="0056135A" w:rsidRPr="00A765CC" w14:paraId="766C8DD2" w14:textId="77777777" w:rsidTr="0056135A">
        <w:trPr>
          <w:trHeight w:val="630"/>
        </w:trPr>
        <w:tc>
          <w:tcPr>
            <w:tcW w:w="291" w:type="pct"/>
            <w:hideMark/>
          </w:tcPr>
          <w:p w14:paraId="53A6027F" w14:textId="4726A23C" w:rsidR="0056135A" w:rsidRPr="00A765CC" w:rsidRDefault="002D22AD" w:rsidP="00A765CC">
            <w:r>
              <w:rPr>
                <w:b/>
                <w:bCs/>
              </w:rPr>
              <w:t>7</w:t>
            </w:r>
            <w:r w:rsidR="0056135A" w:rsidRPr="00A765CC">
              <w:rPr>
                <w:b/>
                <w:bCs/>
              </w:rPr>
              <w:t>.</w:t>
            </w:r>
          </w:p>
        </w:tc>
        <w:tc>
          <w:tcPr>
            <w:tcW w:w="3835" w:type="pct"/>
            <w:tcBorders>
              <w:right w:val="nil"/>
            </w:tcBorders>
            <w:tcMar>
              <w:top w:w="15" w:type="dxa"/>
              <w:left w:w="15" w:type="dxa"/>
              <w:bottom w:w="15" w:type="dxa"/>
              <w:right w:w="0" w:type="dxa"/>
            </w:tcMar>
            <w:hideMark/>
          </w:tcPr>
          <w:p w14:paraId="22BA9862" w14:textId="1ADCDF81" w:rsidR="0056135A" w:rsidRPr="00A765CC" w:rsidRDefault="00CD6C60" w:rsidP="00A765CC">
            <w:r w:rsidRPr="00CD6C60">
              <w:rPr>
                <w:b/>
                <w:bCs/>
              </w:rPr>
              <w:t>NPRR 1274</w:t>
            </w:r>
            <w:r w:rsidR="00EE3DB5">
              <w:rPr>
                <w:b/>
                <w:bCs/>
              </w:rPr>
              <w:t xml:space="preserve"> –</w:t>
            </w:r>
            <w:r w:rsidRPr="00CD6C60">
              <w:rPr>
                <w:b/>
                <w:bCs/>
              </w:rPr>
              <w:t xml:space="preserve"> RPG</w:t>
            </w:r>
            <w:r w:rsidR="00EE3DB5">
              <w:rPr>
                <w:b/>
                <w:bCs/>
              </w:rPr>
              <w:t xml:space="preserve"> </w:t>
            </w:r>
            <w:r w:rsidRPr="00CD6C60">
              <w:rPr>
                <w:b/>
                <w:bCs/>
              </w:rPr>
              <w:t>Estimated Capital Cost Thresholds of Proposed Transmission Projects</w:t>
            </w:r>
          </w:p>
        </w:tc>
        <w:tc>
          <w:tcPr>
            <w:tcW w:w="874" w:type="pct"/>
            <w:hideMark/>
          </w:tcPr>
          <w:p w14:paraId="6B749DB3" w14:textId="596466E5" w:rsidR="0056135A" w:rsidRPr="00A765CC" w:rsidRDefault="002D22AD" w:rsidP="00CD6C60">
            <w:r>
              <w:rPr>
                <w:b/>
                <w:bCs/>
              </w:rPr>
              <w:t>ERCOT</w:t>
            </w:r>
          </w:p>
        </w:tc>
      </w:tr>
      <w:tr w:rsidR="00EA5F83" w:rsidRPr="00A765CC" w14:paraId="053FD644" w14:textId="77777777" w:rsidTr="0056135A">
        <w:trPr>
          <w:trHeight w:val="630"/>
        </w:trPr>
        <w:tc>
          <w:tcPr>
            <w:tcW w:w="291" w:type="pct"/>
          </w:tcPr>
          <w:p w14:paraId="1009EF01" w14:textId="77777777" w:rsidR="00EA5F83" w:rsidRPr="00A765CC" w:rsidRDefault="00EA5F83" w:rsidP="00A765CC"/>
        </w:tc>
        <w:tc>
          <w:tcPr>
            <w:tcW w:w="3835" w:type="pct"/>
            <w:tcBorders>
              <w:right w:val="nil"/>
            </w:tcBorders>
            <w:tcMar>
              <w:top w:w="15" w:type="dxa"/>
              <w:left w:w="15" w:type="dxa"/>
              <w:bottom w:w="15" w:type="dxa"/>
              <w:right w:w="0" w:type="dxa"/>
            </w:tcMar>
          </w:tcPr>
          <w:p w14:paraId="6822B29B" w14:textId="6B073FC0" w:rsidR="00E741C8" w:rsidRPr="00004735" w:rsidRDefault="00EA5F83" w:rsidP="00AC0571">
            <w:pPr>
              <w:rPr>
                <w:b/>
                <w:bCs/>
              </w:rPr>
            </w:pPr>
            <w:r w:rsidRPr="00EE3DB5">
              <w:rPr>
                <w:b/>
                <w:bCs/>
              </w:rPr>
              <w:t xml:space="preserve">Review </w:t>
            </w:r>
            <w:r w:rsidR="002D22AD">
              <w:rPr>
                <w:b/>
                <w:bCs/>
              </w:rPr>
              <w:t>TEBA comments</w:t>
            </w:r>
          </w:p>
        </w:tc>
        <w:tc>
          <w:tcPr>
            <w:tcW w:w="874" w:type="pct"/>
          </w:tcPr>
          <w:p w14:paraId="162ADBD2" w14:textId="5FBE3917" w:rsidR="00EA5F83" w:rsidRPr="00EE3DB5" w:rsidRDefault="002D22AD" w:rsidP="00A765CC">
            <w:pPr>
              <w:rPr>
                <w:b/>
                <w:bCs/>
              </w:rPr>
            </w:pPr>
            <w:r>
              <w:rPr>
                <w:b/>
                <w:bCs/>
              </w:rPr>
              <w:t>Bryn Baker / Eric Goff</w:t>
            </w:r>
          </w:p>
        </w:tc>
      </w:tr>
      <w:tr w:rsidR="00086AAB" w:rsidRPr="00A765CC" w14:paraId="54663111" w14:textId="77777777" w:rsidTr="0056135A">
        <w:trPr>
          <w:trHeight w:val="630"/>
        </w:trPr>
        <w:tc>
          <w:tcPr>
            <w:tcW w:w="291" w:type="pct"/>
          </w:tcPr>
          <w:p w14:paraId="110BAB65" w14:textId="77777777" w:rsidR="00086AAB" w:rsidRPr="00A765CC" w:rsidRDefault="00086AAB" w:rsidP="00A765CC"/>
        </w:tc>
        <w:tc>
          <w:tcPr>
            <w:tcW w:w="3835" w:type="pct"/>
            <w:tcBorders>
              <w:right w:val="nil"/>
            </w:tcBorders>
            <w:tcMar>
              <w:top w:w="15" w:type="dxa"/>
              <w:left w:w="15" w:type="dxa"/>
              <w:bottom w:w="15" w:type="dxa"/>
              <w:right w:w="0" w:type="dxa"/>
            </w:tcMar>
          </w:tcPr>
          <w:p w14:paraId="17470CD9" w14:textId="7C70E483" w:rsidR="003979F5" w:rsidRDefault="00C90849" w:rsidP="00AC0571">
            <w:r>
              <w:t>Robert Golen (ERCOT) – ERCOT has held internal discussions regarding the Oncor and Joint</w:t>
            </w:r>
            <w:r w:rsidR="009D1329">
              <w:t xml:space="preserve"> Commenter</w:t>
            </w:r>
            <w:r>
              <w:t xml:space="preserve"> comments</w:t>
            </w:r>
            <w:r w:rsidR="001B0E0D">
              <w:t xml:space="preserve"> posted</w:t>
            </w:r>
            <w:r>
              <w:t xml:space="preserve">. </w:t>
            </w:r>
            <w:r w:rsidR="001B0E0D">
              <w:t xml:space="preserve">Expect forthcoming requests for </w:t>
            </w:r>
            <w:r>
              <w:t>additional information</w:t>
            </w:r>
            <w:r w:rsidR="00EC1FAB">
              <w:t xml:space="preserve">. </w:t>
            </w:r>
            <w:r w:rsidR="001B0E0D">
              <w:t>ERCOT would like</w:t>
            </w:r>
            <w:r w:rsidR="00EC1FAB">
              <w:t xml:space="preserve"> to table for another month</w:t>
            </w:r>
            <w:r w:rsidR="001B0E0D">
              <w:t xml:space="preserve"> and address at July PLWG.</w:t>
            </w:r>
          </w:p>
          <w:p w14:paraId="07BAEB48" w14:textId="7395CBD8" w:rsidR="00160004" w:rsidRDefault="0095459B" w:rsidP="00AC0571">
            <w:r>
              <w:t xml:space="preserve">Eric Goff </w:t>
            </w:r>
            <w:r w:rsidR="00004735">
              <w:t xml:space="preserve">spoke </w:t>
            </w:r>
            <w:r w:rsidR="00C177E5">
              <w:t xml:space="preserve">on behalf of the Texas Energy Buyers Alliance (TEBA) comments posted on </w:t>
            </w:r>
            <w:r w:rsidR="00C96AA8">
              <w:t>June 12</w:t>
            </w:r>
            <w:r w:rsidR="00C96AA8" w:rsidRPr="00C96AA8">
              <w:rPr>
                <w:vertAlign w:val="superscript"/>
              </w:rPr>
              <w:t>th</w:t>
            </w:r>
            <w:r w:rsidR="00C96AA8">
              <w:t xml:space="preserve">. TEBA </w:t>
            </w:r>
            <w:r w:rsidR="00E67353">
              <w:t>willing to accept</w:t>
            </w:r>
            <w:r w:rsidR="001A6E6D">
              <w:t xml:space="preserve"> Oncor’s proposed doubling of the threshold, </w:t>
            </w:r>
            <w:r w:rsidR="00E67353">
              <w:t xml:space="preserve">in </w:t>
            </w:r>
            <w:r w:rsidR="001A6E6D">
              <w:t xml:space="preserve">exchange for including </w:t>
            </w:r>
            <w:r w:rsidR="00004735">
              <w:t>in ERCOT’s planning processes an ongoing</w:t>
            </w:r>
            <w:r w:rsidR="001A6E6D">
              <w:t xml:space="preserve"> review of grid-enhancing technologies</w:t>
            </w:r>
            <w:r w:rsidR="00004735">
              <w:t xml:space="preserve"> to potentially lower the cost or enhance reliability of transmission projects.</w:t>
            </w:r>
            <w:r w:rsidR="003F53F5">
              <w:t xml:space="preserve"> TEBA will lay out language in an associated PLWG (</w:t>
            </w:r>
            <w:r w:rsidR="00AD4B5C">
              <w:t>to be written and</w:t>
            </w:r>
            <w:r w:rsidR="003F53F5">
              <w:t xml:space="preserve"> posted).</w:t>
            </w:r>
          </w:p>
        </w:tc>
        <w:tc>
          <w:tcPr>
            <w:tcW w:w="874" w:type="pct"/>
          </w:tcPr>
          <w:p w14:paraId="28E0D55E" w14:textId="77777777" w:rsidR="00086AAB" w:rsidRDefault="00086AAB" w:rsidP="00A765CC"/>
        </w:tc>
      </w:tr>
      <w:tr w:rsidR="0056135A" w:rsidRPr="00A765CC" w14:paraId="79D420D4" w14:textId="77777777" w:rsidTr="0056135A">
        <w:trPr>
          <w:trHeight w:val="630"/>
        </w:trPr>
        <w:tc>
          <w:tcPr>
            <w:tcW w:w="291" w:type="pct"/>
            <w:hideMark/>
          </w:tcPr>
          <w:p w14:paraId="3D89BA09" w14:textId="77777777" w:rsidR="0056135A" w:rsidRPr="00A765CC" w:rsidRDefault="0056135A" w:rsidP="00A765CC"/>
        </w:tc>
        <w:tc>
          <w:tcPr>
            <w:tcW w:w="3835" w:type="pct"/>
            <w:tcBorders>
              <w:right w:val="nil"/>
            </w:tcBorders>
            <w:tcMar>
              <w:top w:w="15" w:type="dxa"/>
              <w:left w:w="15" w:type="dxa"/>
              <w:bottom w:w="15" w:type="dxa"/>
              <w:right w:w="0" w:type="dxa"/>
            </w:tcMar>
            <w:hideMark/>
          </w:tcPr>
          <w:p w14:paraId="67B2B1C6" w14:textId="311CDA6A" w:rsidR="00B9650A" w:rsidRPr="0040036D" w:rsidRDefault="00B9650A" w:rsidP="00AC0571">
            <w:pPr>
              <w:rPr>
                <w:b/>
                <w:bCs/>
                <w:i/>
                <w:iCs/>
              </w:rPr>
            </w:pPr>
            <w:r w:rsidRPr="0040036D">
              <w:rPr>
                <w:b/>
                <w:bCs/>
                <w:i/>
                <w:iCs/>
              </w:rPr>
              <w:t xml:space="preserve">Action Taken: </w:t>
            </w:r>
            <w:r w:rsidR="003979F5">
              <w:rPr>
                <w:b/>
                <w:bCs/>
                <w:i/>
                <w:iCs/>
              </w:rPr>
              <w:t>Continued to table</w:t>
            </w:r>
            <w:r w:rsidRPr="0040036D">
              <w:rPr>
                <w:b/>
                <w:bCs/>
                <w:i/>
                <w:iCs/>
              </w:rPr>
              <w:t xml:space="preserve"> </w:t>
            </w:r>
            <w:r w:rsidR="0040036D" w:rsidRPr="0040036D">
              <w:rPr>
                <w:b/>
                <w:bCs/>
                <w:i/>
                <w:iCs/>
              </w:rPr>
              <w:t>NPRR1274</w:t>
            </w:r>
            <w:r w:rsidRPr="0040036D">
              <w:rPr>
                <w:b/>
                <w:bCs/>
                <w:i/>
                <w:iCs/>
              </w:rPr>
              <w:t>.</w:t>
            </w:r>
          </w:p>
        </w:tc>
        <w:tc>
          <w:tcPr>
            <w:tcW w:w="874" w:type="pct"/>
            <w:hideMark/>
          </w:tcPr>
          <w:p w14:paraId="4D5AF636" w14:textId="77777777" w:rsidR="0056135A" w:rsidRPr="00A765CC" w:rsidRDefault="0056135A" w:rsidP="00A765CC"/>
        </w:tc>
      </w:tr>
      <w:tr w:rsidR="0056135A" w:rsidRPr="00A765CC" w14:paraId="5C311365" w14:textId="77777777" w:rsidTr="0056135A">
        <w:trPr>
          <w:trHeight w:val="630"/>
        </w:trPr>
        <w:tc>
          <w:tcPr>
            <w:tcW w:w="291" w:type="pct"/>
            <w:hideMark/>
          </w:tcPr>
          <w:p w14:paraId="59FC715B" w14:textId="66913879" w:rsidR="0056135A" w:rsidRPr="00A765CC" w:rsidRDefault="002D22AD" w:rsidP="00A765CC">
            <w:r>
              <w:rPr>
                <w:b/>
                <w:bCs/>
              </w:rPr>
              <w:t>8</w:t>
            </w:r>
            <w:r w:rsidR="0056135A" w:rsidRPr="00A765CC">
              <w:rPr>
                <w:b/>
                <w:bCs/>
              </w:rPr>
              <w:t>.</w:t>
            </w:r>
          </w:p>
        </w:tc>
        <w:tc>
          <w:tcPr>
            <w:tcW w:w="3835" w:type="pct"/>
            <w:tcBorders>
              <w:right w:val="nil"/>
            </w:tcBorders>
            <w:tcMar>
              <w:top w:w="15" w:type="dxa"/>
              <w:left w:w="15" w:type="dxa"/>
              <w:bottom w:w="15" w:type="dxa"/>
              <w:right w:w="0" w:type="dxa"/>
            </w:tcMar>
            <w:hideMark/>
          </w:tcPr>
          <w:p w14:paraId="4DF78FA5" w14:textId="4E5556FA" w:rsidR="0056135A" w:rsidRDefault="002D22AD" w:rsidP="00A765CC">
            <w:pPr>
              <w:rPr>
                <w:b/>
                <w:bCs/>
              </w:rPr>
            </w:pPr>
            <w:r>
              <w:rPr>
                <w:b/>
                <w:bCs/>
              </w:rPr>
              <w:t>PGRR 126 – Related to NPRR1284, Guaranteed Reliability Load Process</w:t>
            </w:r>
          </w:p>
          <w:p w14:paraId="44959224" w14:textId="707570CF" w:rsidR="000A3627" w:rsidRPr="000A3627" w:rsidRDefault="000A3627" w:rsidP="00EA5F83">
            <w:pPr>
              <w:rPr>
                <w:b/>
                <w:bCs/>
              </w:rPr>
            </w:pPr>
          </w:p>
        </w:tc>
        <w:tc>
          <w:tcPr>
            <w:tcW w:w="874" w:type="pct"/>
            <w:hideMark/>
          </w:tcPr>
          <w:p w14:paraId="39144000" w14:textId="220309CB" w:rsidR="0056135A" w:rsidRPr="002D22AD" w:rsidRDefault="002D22AD" w:rsidP="00A765CC">
            <w:pPr>
              <w:rPr>
                <w:b/>
                <w:bCs/>
              </w:rPr>
            </w:pPr>
            <w:r w:rsidRPr="002D22AD">
              <w:rPr>
                <w:b/>
                <w:bCs/>
              </w:rPr>
              <w:t>Clayton Greer</w:t>
            </w:r>
          </w:p>
        </w:tc>
      </w:tr>
      <w:tr w:rsidR="00C82359" w:rsidRPr="00A765CC" w14:paraId="78EC6F2A" w14:textId="77777777" w:rsidTr="0056135A">
        <w:trPr>
          <w:trHeight w:val="630"/>
        </w:trPr>
        <w:tc>
          <w:tcPr>
            <w:tcW w:w="291" w:type="pct"/>
          </w:tcPr>
          <w:p w14:paraId="6A684F1C" w14:textId="77777777" w:rsidR="00C82359" w:rsidRDefault="00C82359" w:rsidP="00A765CC">
            <w:pPr>
              <w:rPr>
                <w:b/>
                <w:bCs/>
              </w:rPr>
            </w:pPr>
          </w:p>
        </w:tc>
        <w:tc>
          <w:tcPr>
            <w:tcW w:w="3835" w:type="pct"/>
            <w:tcBorders>
              <w:right w:val="nil"/>
            </w:tcBorders>
            <w:tcMar>
              <w:top w:w="15" w:type="dxa"/>
              <w:left w:w="15" w:type="dxa"/>
              <w:bottom w:w="15" w:type="dxa"/>
              <w:right w:w="0" w:type="dxa"/>
            </w:tcMar>
          </w:tcPr>
          <w:p w14:paraId="105E7CCA" w14:textId="6CCB5C5E" w:rsidR="00C82359" w:rsidRDefault="00C82359" w:rsidP="00A765CC">
            <w:r>
              <w:t>Clayton Greer (Cholla</w:t>
            </w:r>
            <w:r w:rsidR="00617077">
              <w:t xml:space="preserve"> Petroleum</w:t>
            </w:r>
            <w:r>
              <w:t xml:space="preserve">) </w:t>
            </w:r>
            <w:r w:rsidR="0062599C">
              <w:t>walked through a presentation on this PGRR</w:t>
            </w:r>
            <w:r w:rsidR="00696B1C">
              <w:t xml:space="preserve"> and related </w:t>
            </w:r>
            <w:r w:rsidR="0062599C">
              <w:t>NPRR</w:t>
            </w:r>
            <w:r w:rsidR="00696B1C">
              <w:t>1284</w:t>
            </w:r>
            <w:r w:rsidR="0062599C">
              <w:t>.</w:t>
            </w:r>
            <w:r w:rsidR="00562075">
              <w:t xml:space="preserve"> The goal of the NPRR/PGRR is to provide a </w:t>
            </w:r>
            <w:r w:rsidR="00562075">
              <w:lastRenderedPageBreak/>
              <w:t>bridging solution for loads that can provide flexibility</w:t>
            </w:r>
            <w:r w:rsidR="009D03C0">
              <w:t xml:space="preserve"> through curtailment or the use of backup generation.</w:t>
            </w:r>
          </w:p>
          <w:p w14:paraId="073F8134" w14:textId="52B1D0F8" w:rsidR="00071722" w:rsidRDefault="00EC014C" w:rsidP="00A765CC">
            <w:r>
              <w:t>Melissa</w:t>
            </w:r>
            <w:r w:rsidR="000676FC">
              <w:t xml:space="preserve"> Trevino (Oxy)</w:t>
            </w:r>
            <w:r>
              <w:t xml:space="preserve"> – </w:t>
            </w:r>
            <w:r w:rsidR="009407F3">
              <w:t>What happens to</w:t>
            </w:r>
            <w:r w:rsidR="000676FC">
              <w:t xml:space="preserve"> a</w:t>
            </w:r>
            <w:r w:rsidR="009407F3">
              <w:t xml:space="preserve"> load seeking to interconnect</w:t>
            </w:r>
            <w:r w:rsidR="00051512">
              <w:t xml:space="preserve"> that </w:t>
            </w:r>
            <w:r w:rsidR="000676FC">
              <w:t>cannot be curtailed and thus won’t</w:t>
            </w:r>
            <w:r w:rsidR="00051512">
              <w:t xml:space="preserve"> use this process</w:t>
            </w:r>
            <w:r w:rsidR="001E2DA7">
              <w:t xml:space="preserve"> when there is</w:t>
            </w:r>
            <w:r w:rsidR="0079440F">
              <w:t xml:space="preserve"> a second curtailable load goes faster through the queue</w:t>
            </w:r>
            <w:r w:rsidR="00051512">
              <w:t xml:space="preserve">? </w:t>
            </w:r>
            <w:r w:rsidR="00984C84">
              <w:t>C</w:t>
            </w:r>
            <w:r w:rsidR="00051512">
              <w:t xml:space="preserve">oncerned </w:t>
            </w:r>
            <w:r w:rsidR="00083EEB">
              <w:t>that first load</w:t>
            </w:r>
            <w:r w:rsidR="00051512">
              <w:t xml:space="preserve"> may be at risk of no longer connecting</w:t>
            </w:r>
            <w:r w:rsidR="00984C84">
              <w:t xml:space="preserve"> as the timing of when you </w:t>
            </w:r>
            <w:r w:rsidR="00083EEB">
              <w:t>c</w:t>
            </w:r>
            <w:r w:rsidR="00984C84">
              <w:t>onnect to the system matters.</w:t>
            </w:r>
          </w:p>
          <w:p w14:paraId="31336AB2" w14:textId="27133684" w:rsidR="005606EF" w:rsidRDefault="00D05C38" w:rsidP="00A765CC">
            <w:r>
              <w:t>Clayton – Would need ERCOT to weigh-in on how the studies would be affected.</w:t>
            </w:r>
          </w:p>
          <w:p w14:paraId="2A4C5A65" w14:textId="1A7C5EA4" w:rsidR="00E94349" w:rsidRDefault="00E94349" w:rsidP="00E94349">
            <w:r>
              <w:t>Martha</w:t>
            </w:r>
            <w:r w:rsidR="00633799">
              <w:t xml:space="preserve"> Henson</w:t>
            </w:r>
            <w:r>
              <w:t xml:space="preserve"> (Oncor) – </w:t>
            </w:r>
            <w:r w:rsidR="00AF46DF">
              <w:t>S</w:t>
            </w:r>
            <w:r>
              <w:t>ome concerns about the complexity</w:t>
            </w:r>
            <w:r w:rsidR="00AF46DF">
              <w:t xml:space="preserve"> from standpoint of </w:t>
            </w:r>
            <w:r w:rsidR="00633799">
              <w:t xml:space="preserve">both the planning studies and </w:t>
            </w:r>
            <w:r w:rsidR="00AF46DF">
              <w:t>operations</w:t>
            </w:r>
            <w:r>
              <w:t xml:space="preserve">. </w:t>
            </w:r>
            <w:r w:rsidR="00AF46DF">
              <w:t xml:space="preserve">Asked Clayton to </w:t>
            </w:r>
            <w:r>
              <w:t>elaborate on how the curtailment piece is facilitated.</w:t>
            </w:r>
          </w:p>
          <w:p w14:paraId="400516F7" w14:textId="656CE264" w:rsidR="004B027E" w:rsidRDefault="00D05C38" w:rsidP="00E94349">
            <w:r>
              <w:t xml:space="preserve">Clayton - </w:t>
            </w:r>
            <w:r w:rsidR="004B027E">
              <w:t>Similar in operation to a RAS</w:t>
            </w:r>
            <w:r w:rsidR="00900960">
              <w:t>. Preprogrammed so that if a contingency occurred, there is an automatic notification to the transmission operator notifying the load that it needs to curtail.</w:t>
            </w:r>
            <w:r>
              <w:t xml:space="preserve"> Expects participants would also need to sign a Market Participant agreement with ERCOT. Would also need to write a NOGRR on the operational process.</w:t>
            </w:r>
          </w:p>
          <w:p w14:paraId="4E349880" w14:textId="24EE6EA3" w:rsidR="00E94349" w:rsidRDefault="00E94349" w:rsidP="00E94349">
            <w:r>
              <w:t>Catherine Kauffman (TMV)</w:t>
            </w:r>
            <w:r w:rsidR="004412DB">
              <w:t xml:space="preserve"> – Do you anticipate there being</w:t>
            </w:r>
            <w:r w:rsidR="00C37078">
              <w:t xml:space="preserve"> an expanded set of reporting requirements of contingencies that would signal curtailment to the load?</w:t>
            </w:r>
          </w:p>
          <w:p w14:paraId="4B371C94" w14:textId="384070C9" w:rsidR="00C37078" w:rsidRDefault="00C37078" w:rsidP="00E94349">
            <w:r>
              <w:t>Clayton – Yes, expect so. Would also need reporting requirements on total MW of load curtailed</w:t>
            </w:r>
            <w:r w:rsidR="008344A2">
              <w:t>,</w:t>
            </w:r>
            <w:r w:rsidR="00AD5F8E">
              <w:t xml:space="preserve"> </w:t>
            </w:r>
            <w:r w:rsidR="00A86551">
              <w:t xml:space="preserve">for </w:t>
            </w:r>
            <w:r w:rsidR="008344A2">
              <w:t xml:space="preserve">inclusion in price adders, </w:t>
            </w:r>
            <w:r w:rsidR="00AD5F8E">
              <w:t>reported in a confidential manner – potentially aggregated or identifying details masked. These details will need to be worked out.</w:t>
            </w:r>
          </w:p>
          <w:p w14:paraId="45B395D4" w14:textId="3558400E" w:rsidR="00E94349" w:rsidRDefault="00E94349" w:rsidP="00E94349">
            <w:r>
              <w:t xml:space="preserve">Xuan Wu (PEC) </w:t>
            </w:r>
            <w:r w:rsidR="00EA5B9D">
              <w:t>–</w:t>
            </w:r>
            <w:r w:rsidR="00820FF5">
              <w:t xml:space="preserve"> Would we need to perform planning studies every year to update the loads’ curtailment plan, because the topology is always changin</w:t>
            </w:r>
            <w:r w:rsidR="003506FA">
              <w:t>g?</w:t>
            </w:r>
          </w:p>
          <w:p w14:paraId="6157E3E4" w14:textId="4B4126C1" w:rsidR="00820FF5" w:rsidRDefault="00820FF5" w:rsidP="00E94349">
            <w:r>
              <w:t>Clayton – No,</w:t>
            </w:r>
            <w:r w:rsidR="00962844">
              <w:t xml:space="preserve"> these l</w:t>
            </w:r>
            <w:r w:rsidR="00A618CF">
              <w:t>oads shouldn’t be r</w:t>
            </w:r>
            <w:r w:rsidR="00A64A4D">
              <w:t xml:space="preserve">esponsive to additional contingencies </w:t>
            </w:r>
            <w:r w:rsidR="00962844">
              <w:t xml:space="preserve">found </w:t>
            </w:r>
            <w:r w:rsidR="00A64A4D">
              <w:t xml:space="preserve">after signing </w:t>
            </w:r>
            <w:r w:rsidR="00962844">
              <w:t xml:space="preserve">a </w:t>
            </w:r>
            <w:r w:rsidR="00A64A4D">
              <w:t>contract.</w:t>
            </w:r>
          </w:p>
          <w:p w14:paraId="2CFFCB68" w14:textId="23EA0CF5" w:rsidR="002A51AD" w:rsidRDefault="000A3629" w:rsidP="00E94349">
            <w:r>
              <w:t>Mina Turner (AEP) – How will you address compliance issues with NERC standards?</w:t>
            </w:r>
          </w:p>
          <w:p w14:paraId="6C5AF29C" w14:textId="0B1D5FE8" w:rsidR="00AD252D" w:rsidRDefault="00AD252D" w:rsidP="00E94349">
            <w:r>
              <w:t xml:space="preserve">Clayton – This is no different from the current process where the load on the system has changed in ways we did not anticipate and </w:t>
            </w:r>
            <w:r w:rsidR="007102CB">
              <w:t>then need projects that are reviewed in RPG. Don’t see how this would violate any other standard that’s out there.</w:t>
            </w:r>
          </w:p>
          <w:p w14:paraId="535E3DF7" w14:textId="75B6EEF4" w:rsidR="007102CB" w:rsidRDefault="007102CB" w:rsidP="00E94349">
            <w:r>
              <w:t xml:space="preserve">Kevin </w:t>
            </w:r>
            <w:r w:rsidR="00AF76CC">
              <w:t>–</w:t>
            </w:r>
            <w:r>
              <w:t xml:space="preserve"> </w:t>
            </w:r>
            <w:r w:rsidR="00AF76CC">
              <w:t>Are we assuming that all large loads have a kill switch on them?</w:t>
            </w:r>
          </w:p>
          <w:p w14:paraId="56F2EB3D" w14:textId="0239B7B9" w:rsidR="00AF76CC" w:rsidRDefault="00AF76CC" w:rsidP="00E94349">
            <w:r>
              <w:lastRenderedPageBreak/>
              <w:t>Clayton – Yes, legislation made that mandatory and would be in place before this program would be in effect.</w:t>
            </w:r>
          </w:p>
          <w:p w14:paraId="4AECE0AD" w14:textId="7DEF50DC" w:rsidR="00EA5B9D" w:rsidRDefault="00EA5B9D" w:rsidP="00E94349">
            <w:r w:rsidRPr="00BB4C48">
              <w:t xml:space="preserve">Chris Matos </w:t>
            </w:r>
            <w:r w:rsidR="00472C92" w:rsidRPr="00BB4C48">
              <w:t>–</w:t>
            </w:r>
            <w:r w:rsidRPr="00BB4C48">
              <w:t xml:space="preserve"> </w:t>
            </w:r>
            <w:r w:rsidR="00CA2FC5" w:rsidRPr="00BB4C48">
              <w:t xml:space="preserve">Noted that SB 6 did not make kill switches mandatory but rather permissible. </w:t>
            </w:r>
            <w:r w:rsidR="00BB24C4" w:rsidRPr="00BB4C48">
              <w:t xml:space="preserve">Would this process sufficiently </w:t>
            </w:r>
            <w:r w:rsidR="00472C92" w:rsidRPr="00BB4C48">
              <w:t>allow a significant number of MW?</w:t>
            </w:r>
            <w:r w:rsidR="00E565EE" w:rsidRPr="00BB4C48">
              <w:t xml:space="preserve"> Is it scalable?</w:t>
            </w:r>
          </w:p>
          <w:p w14:paraId="340FA7E5" w14:textId="13BE69F5" w:rsidR="00CA71DA" w:rsidRDefault="00CA71DA" w:rsidP="00E94349">
            <w:r>
              <w:t xml:space="preserve">Harshad – </w:t>
            </w:r>
            <w:r w:rsidR="00EB4DBD">
              <w:t>It would be site dependent. The c</w:t>
            </w:r>
            <w:r>
              <w:t>omplication is looking</w:t>
            </w:r>
            <w:r w:rsidR="00EB4DBD">
              <w:t xml:space="preserve"> </w:t>
            </w:r>
            <w:r>
              <w:t>at multiple conditions</w:t>
            </w:r>
            <w:r w:rsidR="00EB4DBD">
              <w:t xml:space="preserve"> / violations</w:t>
            </w:r>
            <w:r>
              <w:t xml:space="preserve"> in real time.</w:t>
            </w:r>
          </w:p>
          <w:p w14:paraId="3CA075AF" w14:textId="131BEBD6" w:rsidR="00EB4DBD" w:rsidRDefault="00EB4DBD" w:rsidP="00E94349">
            <w:r>
              <w:t>Chris – Reservations that</w:t>
            </w:r>
            <w:r w:rsidR="003B086D">
              <w:t xml:space="preserve"> this process would not necessarily mitigate the concerns in a meaningful way, especially where large loads tend to coalesce.</w:t>
            </w:r>
          </w:p>
          <w:p w14:paraId="2B7962ED" w14:textId="0BB20940" w:rsidR="00BB4C48" w:rsidRDefault="00E623B2" w:rsidP="00E94349">
            <w:r>
              <w:t>Melissa Trevino (Oxy) – Concerned that this creates preferential</w:t>
            </w:r>
            <w:r w:rsidR="00A7009C">
              <w:t xml:space="preserve"> treatment for flexible loads over firm loads</w:t>
            </w:r>
            <w:r>
              <w:t xml:space="preserve"> but will w</w:t>
            </w:r>
            <w:r w:rsidR="00A7009C">
              <w:t>ith</w:t>
            </w:r>
            <w:r>
              <w:t>h</w:t>
            </w:r>
            <w:r w:rsidR="00A7009C">
              <w:t xml:space="preserve">old judgment until </w:t>
            </w:r>
            <w:r>
              <w:t>ERCOT can speak to the study impacts.</w:t>
            </w:r>
          </w:p>
          <w:p w14:paraId="22C056E2" w14:textId="3A0E1C2E" w:rsidR="00F7270A" w:rsidRDefault="00177F77" w:rsidP="00E94349">
            <w:r>
              <w:t xml:space="preserve">Clayton – </w:t>
            </w:r>
            <w:r w:rsidR="000A605D">
              <w:t>Believes</w:t>
            </w:r>
            <w:r>
              <w:t xml:space="preserve"> it’s good policy to have preferential treatment for flexible loads over firm loads.</w:t>
            </w:r>
            <w:r w:rsidR="00A15972">
              <w:t xml:space="preserve"> We want to promote as many flexible loads</w:t>
            </w:r>
            <w:r w:rsidR="006E5E1F">
              <w:t xml:space="preserve"> as possible</w:t>
            </w:r>
            <w:r w:rsidR="00A15972">
              <w:t xml:space="preserve"> onto the system while we’re generation limited for the foreseeable future.</w:t>
            </w:r>
          </w:p>
          <w:p w14:paraId="705DA20A" w14:textId="4D952385" w:rsidR="006B0ED7" w:rsidRDefault="006B0ED7" w:rsidP="00E94349">
            <w:r>
              <w:t xml:space="preserve">Mina Turner (AEP) </w:t>
            </w:r>
            <w:r w:rsidR="004158FC">
              <w:t>–</w:t>
            </w:r>
            <w:r>
              <w:t xml:space="preserve"> </w:t>
            </w:r>
            <w:r w:rsidR="004158FC">
              <w:t>If ERCOT sees a limitation in the day-ahead market and needs the flexibility, would the load be flexible enough to come down for the whole day?</w:t>
            </w:r>
          </w:p>
          <w:p w14:paraId="77F0D84D" w14:textId="5E8290B5" w:rsidR="006B2A88" w:rsidRDefault="006B2A88" w:rsidP="00E94349">
            <w:r>
              <w:t>Clayton – No, the load would only be called upon to curtail if one of the contingencies in which it was registered was invoked. These loads are not signing up to be the “easy button” at all times.</w:t>
            </w:r>
            <w:r w:rsidR="005D45C9">
              <w:t xml:space="preserve"> You wouldn’t attract anyone to this program if that were the case. Also, if there’s a long list of contingencies it would deter people from signing up; a short list of contingencies is a lower probability of occurring.</w:t>
            </w:r>
          </w:p>
          <w:p w14:paraId="2F173C40" w14:textId="6AF3B31F" w:rsidR="00937AAA" w:rsidRDefault="00937AAA" w:rsidP="00E94349">
            <w:r>
              <w:t>Maribel</w:t>
            </w:r>
            <w:r w:rsidR="00D92670">
              <w:t xml:space="preserve"> Khayat (AEP)</w:t>
            </w:r>
            <w:r>
              <w:t xml:space="preserve"> – </w:t>
            </w:r>
            <w:r w:rsidR="00354F7A">
              <w:t xml:space="preserve">Not clear how scenarios could be crafted in a way to not put the system at risk </w:t>
            </w:r>
            <w:r w:rsidR="005A03E3">
              <w:t>of a security violation. Reliability cannot be a voluntary service.</w:t>
            </w:r>
          </w:p>
          <w:p w14:paraId="7C37346E" w14:textId="1E8C3CB6" w:rsidR="005A03E3" w:rsidRDefault="008C1864" w:rsidP="00E94349">
            <w:r>
              <w:t>Harsh Na</w:t>
            </w:r>
            <w:r w:rsidR="0015628A">
              <w:t>ik</w:t>
            </w:r>
            <w:r>
              <w:t xml:space="preserve"> (Oncor) </w:t>
            </w:r>
            <w:r w:rsidR="00524E80">
              <w:t>–</w:t>
            </w:r>
            <w:r>
              <w:t xml:space="preserve"> </w:t>
            </w:r>
            <w:r w:rsidR="00446F0B">
              <w:t>Similarities to CLR treatment. Should explore the</w:t>
            </w:r>
            <w:r w:rsidR="00D43B8B">
              <w:t xml:space="preserve"> fallback for if load reduction doesn’t happen when called upon</w:t>
            </w:r>
            <w:r w:rsidR="00446F0B">
              <w:t>, such as a loss of telemetry.</w:t>
            </w:r>
            <w:r w:rsidR="00896A81">
              <w:t xml:space="preserve"> If there is a failure and the overload is bad, then you would be exposing the grid to severe risk.</w:t>
            </w:r>
          </w:p>
          <w:p w14:paraId="1DAD8854" w14:textId="5DE28B36" w:rsidR="00524E80" w:rsidRDefault="00017743" w:rsidP="00E94349">
            <w:r>
              <w:t>Additional Q &amp; A discussion.</w:t>
            </w:r>
          </w:p>
          <w:p w14:paraId="3EAFDD35" w14:textId="7DE80406" w:rsidR="005A6957" w:rsidRPr="00017743" w:rsidRDefault="00017743" w:rsidP="00017743">
            <w:pPr>
              <w:rPr>
                <w:b/>
                <w:bCs/>
              </w:rPr>
            </w:pPr>
            <w:r w:rsidRPr="00017743">
              <w:rPr>
                <w:b/>
                <w:bCs/>
              </w:rPr>
              <w:t>Action Taken: Tabled until receive the related NPRR1284 and associated NOGRR (TBD) referrals to take up discussion together.</w:t>
            </w:r>
          </w:p>
        </w:tc>
        <w:tc>
          <w:tcPr>
            <w:tcW w:w="874" w:type="pct"/>
          </w:tcPr>
          <w:p w14:paraId="7BC613A4" w14:textId="77777777" w:rsidR="00C82359" w:rsidRPr="002D22AD" w:rsidRDefault="00C82359" w:rsidP="00A765CC">
            <w:pPr>
              <w:rPr>
                <w:b/>
                <w:bCs/>
              </w:rPr>
            </w:pPr>
          </w:p>
        </w:tc>
      </w:tr>
      <w:tr w:rsidR="002D22AD" w:rsidRPr="00A765CC" w14:paraId="64547453" w14:textId="77777777" w:rsidTr="0056135A">
        <w:trPr>
          <w:trHeight w:val="630"/>
        </w:trPr>
        <w:tc>
          <w:tcPr>
            <w:tcW w:w="291" w:type="pct"/>
          </w:tcPr>
          <w:p w14:paraId="009DD5FD" w14:textId="632DD849" w:rsidR="002D22AD" w:rsidRDefault="002D22AD" w:rsidP="00A765CC">
            <w:pPr>
              <w:rPr>
                <w:b/>
                <w:bCs/>
              </w:rPr>
            </w:pPr>
            <w:r>
              <w:rPr>
                <w:b/>
                <w:bCs/>
              </w:rPr>
              <w:lastRenderedPageBreak/>
              <w:t>9.</w:t>
            </w:r>
          </w:p>
        </w:tc>
        <w:tc>
          <w:tcPr>
            <w:tcW w:w="3835" w:type="pct"/>
            <w:tcBorders>
              <w:right w:val="nil"/>
            </w:tcBorders>
            <w:tcMar>
              <w:top w:w="15" w:type="dxa"/>
              <w:left w:w="15" w:type="dxa"/>
              <w:bottom w:w="15" w:type="dxa"/>
              <w:right w:w="0" w:type="dxa"/>
            </w:tcMar>
          </w:tcPr>
          <w:p w14:paraId="41C75601" w14:textId="77777777" w:rsidR="002D22AD" w:rsidRDefault="002D22AD" w:rsidP="00A765CC">
            <w:pPr>
              <w:rPr>
                <w:b/>
                <w:bCs/>
              </w:rPr>
            </w:pPr>
            <w:r>
              <w:rPr>
                <w:b/>
                <w:bCs/>
              </w:rPr>
              <w:t>NPRR 1280 – Establish Process for Permanent Bypass of Series Capacitors</w:t>
            </w:r>
          </w:p>
          <w:p w14:paraId="649518B3" w14:textId="586810B0" w:rsidR="00D777FC" w:rsidRDefault="00D777FC" w:rsidP="00A765CC">
            <w:r w:rsidRPr="004348F5">
              <w:t xml:space="preserve">Sun Wook Kang (ERCOT) </w:t>
            </w:r>
            <w:r w:rsidR="005B42CC">
              <w:t>introduced NPRR1280.</w:t>
            </w:r>
            <w:r w:rsidR="00EF4CB0">
              <w:t xml:space="preserve"> The goal of this language is to create a formal process to review the permanent bypassing of existing series capacitors at RPG.</w:t>
            </w:r>
          </w:p>
          <w:p w14:paraId="0A7A7362" w14:textId="12972080" w:rsidR="004C3110" w:rsidRDefault="00A95893" w:rsidP="00A95893">
            <w:r>
              <w:t>Warren</w:t>
            </w:r>
            <w:r w:rsidR="00031B2A">
              <w:t xml:space="preserve"> Lasher</w:t>
            </w:r>
            <w:r>
              <w:t xml:space="preserve"> </w:t>
            </w:r>
            <w:r w:rsidR="00800C68">
              <w:t>(T</w:t>
            </w:r>
            <w:r w:rsidR="0001526F">
              <w:t>exas Oil &amp; Gas Association</w:t>
            </w:r>
            <w:r w:rsidR="00800C68">
              <w:t xml:space="preserve">) </w:t>
            </w:r>
            <w:r>
              <w:t xml:space="preserve">- </w:t>
            </w:r>
            <w:r w:rsidR="00A9053C">
              <w:t>Some projects provide stability or congestion relief. ERCOT would need to provide independen</w:t>
            </w:r>
            <w:r w:rsidR="007F3003">
              <w:t>t</w:t>
            </w:r>
            <w:r w:rsidR="00A9053C">
              <w:t xml:space="preserve"> review for congestion analysis. May come in as a Tier 3 but would need to be bumped up to Tier 2 for the independent review.</w:t>
            </w:r>
            <w:r>
              <w:t xml:space="preserve"> </w:t>
            </w:r>
            <w:r w:rsidR="004C3110">
              <w:t>Consumers have paid for these devices. I</w:t>
            </w:r>
            <w:r>
              <w:t>f</w:t>
            </w:r>
            <w:r w:rsidR="004C3110">
              <w:t xml:space="preserve"> there’s a negative</w:t>
            </w:r>
            <w:r>
              <w:t xml:space="preserve"> ramification then that should be known before.</w:t>
            </w:r>
            <w:r w:rsidR="00D85FD4">
              <w:t xml:space="preserve"> Recommends conducting both steady state and dynamic studies to determine if there </w:t>
            </w:r>
            <w:r w:rsidR="0001526F">
              <w:t>are</w:t>
            </w:r>
            <w:r w:rsidR="00D85FD4">
              <w:t xml:space="preserve"> still benefit</w:t>
            </w:r>
            <w:r w:rsidR="0001526F">
              <w:t>s</w:t>
            </w:r>
            <w:r w:rsidR="00D85FD4">
              <w:t xml:space="preserve"> to having the series capacitors</w:t>
            </w:r>
            <w:r w:rsidR="009D0839">
              <w:t xml:space="preserve"> (such as power transfer).</w:t>
            </w:r>
            <w:r w:rsidR="00255796">
              <w:t xml:space="preserve"> Stakeholders should be able to review the full stability and congestion analysis.</w:t>
            </w:r>
          </w:p>
          <w:p w14:paraId="04C2EB14" w14:textId="7DBEDFF0" w:rsidR="00DB01D8" w:rsidRDefault="009F4328" w:rsidP="00A95893">
            <w:r>
              <w:t xml:space="preserve">Prabhu </w:t>
            </w:r>
            <w:r w:rsidR="00B04B28">
              <w:t>Gnanam (ERCOT) – There are other</w:t>
            </w:r>
            <w:r w:rsidR="00DB01D8">
              <w:t xml:space="preserve"> reliability benefits </w:t>
            </w:r>
            <w:r w:rsidR="003B2498">
              <w:t>for</w:t>
            </w:r>
            <w:r w:rsidR="0001526F">
              <w:t xml:space="preserve"> </w:t>
            </w:r>
            <w:r w:rsidR="003B2498">
              <w:t>bypass</w:t>
            </w:r>
            <w:r w:rsidR="0001526F">
              <w:t>ing the series capacitors</w:t>
            </w:r>
            <w:r w:rsidR="003B2498">
              <w:t xml:space="preserve"> </w:t>
            </w:r>
            <w:r w:rsidR="00DB01D8">
              <w:t>such as SSR.</w:t>
            </w:r>
          </w:p>
          <w:p w14:paraId="54BCD940" w14:textId="08084B4A" w:rsidR="00226F76" w:rsidRDefault="00226F76" w:rsidP="00A95893">
            <w:r>
              <w:t>Sunil Dhakal (Lonestar</w:t>
            </w:r>
            <w:r w:rsidR="00127DC3">
              <w:t xml:space="preserve"> Transmission</w:t>
            </w:r>
            <w:r>
              <w:t>) –</w:t>
            </w:r>
            <w:r w:rsidR="00766CED">
              <w:t xml:space="preserve"> The</w:t>
            </w:r>
            <w:r>
              <w:t xml:space="preserve"> NPRR is limiting projects to Tier 3. If there’s a project the TSP identifies and it will help to bypass a series cap without hampering the stability limit, then this RR doesn’t </w:t>
            </w:r>
            <w:r w:rsidR="001C1FD7">
              <w:t>provide for this. It should be open to any other Tier level.</w:t>
            </w:r>
          </w:p>
          <w:p w14:paraId="0F154D29" w14:textId="77777777" w:rsidR="001C1FD7" w:rsidRDefault="001C1FD7" w:rsidP="00A95893">
            <w:r>
              <w:t xml:space="preserve">Sun Wook </w:t>
            </w:r>
            <w:r w:rsidR="00FB0160">
              <w:t>–</w:t>
            </w:r>
            <w:r>
              <w:t xml:space="preserve"> </w:t>
            </w:r>
            <w:r w:rsidR="00FB0160">
              <w:t>Tier level will be determined by existing language. This PGRR is about bypassing series capacitors. If there is a major transmission project and part of it includes bypassing the series cap, then the project would still be classified as</w:t>
            </w:r>
            <w:r w:rsidR="008670DC">
              <w:t xml:space="preserve"> the relevant Tier (1 or 2) as needed.</w:t>
            </w:r>
          </w:p>
          <w:p w14:paraId="5212FC40" w14:textId="3D834E94" w:rsidR="00C83B73" w:rsidRDefault="00C83B73" w:rsidP="00A95893">
            <w:r>
              <w:t xml:space="preserve">Mina </w:t>
            </w:r>
            <w:r w:rsidR="00766CED">
              <w:t xml:space="preserve">Turner (AEP) </w:t>
            </w:r>
            <w:r>
              <w:t xml:space="preserve">– </w:t>
            </w:r>
            <w:r w:rsidR="008C508C">
              <w:t>W</w:t>
            </w:r>
            <w:r>
              <w:t xml:space="preserve">ould the SSR study requirement </w:t>
            </w:r>
            <w:r w:rsidR="008C508C">
              <w:t>go away</w:t>
            </w:r>
            <w:r>
              <w:t xml:space="preserve"> if the series cap</w:t>
            </w:r>
            <w:r w:rsidR="008C508C">
              <w:t>acitor</w:t>
            </w:r>
            <w:r>
              <w:t>s are permanently bypassed?</w:t>
            </w:r>
          </w:p>
          <w:p w14:paraId="6B63AB69" w14:textId="62EF0CB7" w:rsidR="00C83B73" w:rsidRDefault="00C83B73" w:rsidP="00A95893">
            <w:r>
              <w:t>Sun Wook – Yes.</w:t>
            </w:r>
            <w:r w:rsidR="0018164B">
              <w:t xml:space="preserve"> </w:t>
            </w:r>
            <w:r w:rsidR="000E3830">
              <w:t>We need a transparent process through RPG so that ERCOT knows which series capacitors are</w:t>
            </w:r>
            <w:r w:rsidR="0018164B">
              <w:t xml:space="preserve"> permanently bypassed.</w:t>
            </w:r>
          </w:p>
          <w:p w14:paraId="22D2D9FD" w14:textId="7EB39FB8" w:rsidR="0018164B" w:rsidRDefault="0018164B" w:rsidP="00A95893">
            <w:r>
              <w:t>Harsh Naik</w:t>
            </w:r>
            <w:r w:rsidR="000E3830">
              <w:t xml:space="preserve"> (Oncor)</w:t>
            </w:r>
            <w:r>
              <w:t xml:space="preserve"> – Does ERCOT have criteria for how a transmission project can be justified to bypass the series cap</w:t>
            </w:r>
            <w:r w:rsidR="0086347B">
              <w:t xml:space="preserve"> as a standalone project?</w:t>
            </w:r>
          </w:p>
          <w:p w14:paraId="2DA69C0C" w14:textId="77777777" w:rsidR="0018164B" w:rsidRDefault="0018164B" w:rsidP="00A95893">
            <w:r>
              <w:t>Sun Wook – Not aware of a project unless the TSP has an issue with the series cap such as difficulty maintaining or other TSP criteria used to replace it. Not aware of planning criteria.</w:t>
            </w:r>
          </w:p>
          <w:p w14:paraId="37C21AAA" w14:textId="41C03789" w:rsidR="00487504" w:rsidRDefault="00487504" w:rsidP="00A95893">
            <w:r>
              <w:t xml:space="preserve">Harsh </w:t>
            </w:r>
            <w:r w:rsidR="0086347B">
              <w:t>–</w:t>
            </w:r>
            <w:r>
              <w:t xml:space="preserve"> </w:t>
            </w:r>
            <w:r w:rsidR="0086347B">
              <w:t>ERCOT is not</w:t>
            </w:r>
            <w:r>
              <w:t xml:space="preserve"> actively asking the TSPs to proactively</w:t>
            </w:r>
            <w:r w:rsidR="0086347B">
              <w:t xml:space="preserve"> look to bypass the series caps</w:t>
            </w:r>
            <w:r>
              <w:t>?</w:t>
            </w:r>
            <w:r w:rsidR="0086347B">
              <w:t xml:space="preserve"> This would only be used if conditions have changed such that it can be retired with no </w:t>
            </w:r>
            <w:r w:rsidR="009F7950">
              <w:t>adverse effect?</w:t>
            </w:r>
          </w:p>
          <w:p w14:paraId="4B18F457" w14:textId="040A1C4E" w:rsidR="00487504" w:rsidRDefault="009F7950" w:rsidP="00A95893">
            <w:r>
              <w:lastRenderedPageBreak/>
              <w:t>Sun Wook – Provided example of a reinforced transmission system</w:t>
            </w:r>
            <w:r w:rsidR="00A6492B">
              <w:t xml:space="preserve"> with approved upgrade projects. The </w:t>
            </w:r>
            <w:r w:rsidR="00D83937">
              <w:t xml:space="preserve">expectation is </w:t>
            </w:r>
            <w:r w:rsidR="00A6492B">
              <w:t>the TSP would propose a project</w:t>
            </w:r>
            <w:r w:rsidR="006046C2">
              <w:t xml:space="preserve"> if there is no benefit to retaining t</w:t>
            </w:r>
            <w:r w:rsidR="00D83937">
              <w:t xml:space="preserve">he series capacitor in that region. </w:t>
            </w:r>
          </w:p>
          <w:p w14:paraId="7BF94237" w14:textId="7124C0F1" w:rsidR="00CF6259" w:rsidRDefault="00CF6259" w:rsidP="00A95893">
            <w:r>
              <w:t xml:space="preserve">Harsh – Why not have it be reversed where there </w:t>
            </w:r>
            <w:r w:rsidR="00450A6D">
              <w:t>are</w:t>
            </w:r>
            <w:r>
              <w:t xml:space="preserve"> criteria to approve a transmission project to bypass the series cap</w:t>
            </w:r>
            <w:r w:rsidR="00961A60">
              <w:t>s</w:t>
            </w:r>
            <w:r>
              <w:t xml:space="preserve">? </w:t>
            </w:r>
            <w:r w:rsidR="00961A60">
              <w:t>There are multiple RRs ongoing dealing with the issues created</w:t>
            </w:r>
            <w:r w:rsidR="009B1692">
              <w:t xml:space="preserve"> by series capacitors. </w:t>
            </w:r>
          </w:p>
          <w:p w14:paraId="5D55A1A0" w14:textId="7E7C4C66" w:rsidR="00051E13" w:rsidRDefault="00CB4D61" w:rsidP="00A95893">
            <w:r>
              <w:t xml:space="preserve">Prabhu - </w:t>
            </w:r>
            <w:r w:rsidR="009B1692">
              <w:t>Like what Warren said, consumers have paid for this transmission element.</w:t>
            </w:r>
            <w:r w:rsidR="004D14E0">
              <w:t xml:space="preserve"> Therefore, </w:t>
            </w:r>
            <w:r>
              <w:t xml:space="preserve">this </w:t>
            </w:r>
            <w:r w:rsidR="004D14E0">
              <w:t>would likely be an economic project</w:t>
            </w:r>
            <w:r>
              <w:t>, even though there is a reliability component</w:t>
            </w:r>
            <w:r w:rsidR="004D14E0">
              <w:t>.</w:t>
            </w:r>
          </w:p>
          <w:p w14:paraId="24425565" w14:textId="42CD84F4" w:rsidR="009B1692" w:rsidRDefault="00051E13" w:rsidP="00A95893">
            <w:r>
              <w:t xml:space="preserve">Aditi </w:t>
            </w:r>
            <w:r w:rsidR="00453B7F">
              <w:t xml:space="preserve">Upadhyay </w:t>
            </w:r>
            <w:r>
              <w:t>(Lonestar) – Now that PGRR120 is approved</w:t>
            </w:r>
            <w:r w:rsidR="0025482D">
              <w:t>, doesn’t that give us a reason for a project? Since NPRR1283 describes SSFR as a reliability risk, can’t we submit a series cap bypass project as a reliability project?</w:t>
            </w:r>
            <w:r w:rsidR="009B1692">
              <w:t xml:space="preserve"> </w:t>
            </w:r>
          </w:p>
          <w:p w14:paraId="12D0F32B" w14:textId="22E765E1" w:rsidR="0025482D" w:rsidRDefault="00E139C9" w:rsidP="00A95893">
            <w:r>
              <w:t xml:space="preserve">Sun Wook - Mitigation plan could be on the transmission or generation side. Unaware of </w:t>
            </w:r>
            <w:r w:rsidR="00B95A49">
              <w:t xml:space="preserve">any </w:t>
            </w:r>
            <w:r>
              <w:t>planning criteria for TSP</w:t>
            </w:r>
            <w:r w:rsidR="00B95A49">
              <w:t>s to use</w:t>
            </w:r>
            <w:r>
              <w:t xml:space="preserve"> to submit a project to bypass series cap.</w:t>
            </w:r>
          </w:p>
          <w:p w14:paraId="37CCE650" w14:textId="0C26C42B" w:rsidR="00294F53" w:rsidRDefault="00A22E59" w:rsidP="00A95893">
            <w:r>
              <w:t xml:space="preserve">Aditi - </w:t>
            </w:r>
            <w:r w:rsidR="00294F53">
              <w:t>Can we submit an RPG project as a reliability project?</w:t>
            </w:r>
            <w:r>
              <w:t xml:space="preserve"> We are being impacted by PGRR120, we have at least 10 generators in queue that will be impacted if we don’t sign the SGIA by April 2026.</w:t>
            </w:r>
          </w:p>
          <w:p w14:paraId="52AC2ABC" w14:textId="5BFD93AD" w:rsidR="00904060" w:rsidRDefault="0007180D" w:rsidP="00A95893">
            <w:r>
              <w:t>Prabu – At this time, we don’t have rel</w:t>
            </w:r>
            <w:r w:rsidR="00904060">
              <w:t>iability criteria for the project to be approved.</w:t>
            </w:r>
            <w:r w:rsidR="00CB2FC7">
              <w:t xml:space="preserve"> That would be an economic project.</w:t>
            </w:r>
          </w:p>
          <w:p w14:paraId="6D26A9E6" w14:textId="100B7141" w:rsidR="00C666C7" w:rsidRDefault="00C666C7" w:rsidP="00A95893">
            <w:r>
              <w:t>Lonestar plans to submit comments and request</w:t>
            </w:r>
            <w:r w:rsidR="00F92A37">
              <w:t>ed</w:t>
            </w:r>
            <w:r>
              <w:t xml:space="preserve"> tabling. </w:t>
            </w:r>
          </w:p>
          <w:p w14:paraId="42270DF9" w14:textId="11668053" w:rsidR="008727E4" w:rsidRPr="00F92A37" w:rsidRDefault="008727E4" w:rsidP="00A95893">
            <w:pPr>
              <w:rPr>
                <w:b/>
                <w:bCs/>
                <w:i/>
                <w:iCs/>
              </w:rPr>
            </w:pPr>
            <w:r w:rsidRPr="00F92A37">
              <w:rPr>
                <w:b/>
                <w:bCs/>
                <w:i/>
                <w:iCs/>
              </w:rPr>
              <w:t xml:space="preserve">Action Taken: </w:t>
            </w:r>
            <w:r w:rsidR="00F92A37" w:rsidRPr="00F92A37">
              <w:rPr>
                <w:b/>
                <w:bCs/>
                <w:i/>
                <w:iCs/>
              </w:rPr>
              <w:t>Tabled NPRR1280 to allow for further comments.</w:t>
            </w:r>
          </w:p>
        </w:tc>
        <w:tc>
          <w:tcPr>
            <w:tcW w:w="874" w:type="pct"/>
          </w:tcPr>
          <w:p w14:paraId="6F4FD2BC" w14:textId="6AB9EBB2" w:rsidR="002D22AD" w:rsidRPr="002D22AD" w:rsidRDefault="002D22AD" w:rsidP="00A765CC">
            <w:pPr>
              <w:rPr>
                <w:b/>
                <w:bCs/>
              </w:rPr>
            </w:pPr>
            <w:r>
              <w:rPr>
                <w:b/>
                <w:bCs/>
              </w:rPr>
              <w:lastRenderedPageBreak/>
              <w:t>ERCOT</w:t>
            </w:r>
          </w:p>
        </w:tc>
      </w:tr>
      <w:tr w:rsidR="002D22AD" w:rsidRPr="00A765CC" w14:paraId="529DED66" w14:textId="77777777" w:rsidTr="0056135A">
        <w:trPr>
          <w:trHeight w:val="630"/>
        </w:trPr>
        <w:tc>
          <w:tcPr>
            <w:tcW w:w="291" w:type="pct"/>
          </w:tcPr>
          <w:p w14:paraId="18C0D84D" w14:textId="12043ABC" w:rsidR="002D22AD" w:rsidRDefault="002D22AD" w:rsidP="00A765CC">
            <w:pPr>
              <w:rPr>
                <w:b/>
                <w:bCs/>
              </w:rPr>
            </w:pPr>
            <w:r>
              <w:rPr>
                <w:b/>
                <w:bCs/>
              </w:rPr>
              <w:lastRenderedPageBreak/>
              <w:t>10.</w:t>
            </w:r>
          </w:p>
        </w:tc>
        <w:tc>
          <w:tcPr>
            <w:tcW w:w="3835" w:type="pct"/>
            <w:tcBorders>
              <w:right w:val="nil"/>
            </w:tcBorders>
            <w:tcMar>
              <w:top w:w="15" w:type="dxa"/>
              <w:left w:w="15" w:type="dxa"/>
              <w:bottom w:w="15" w:type="dxa"/>
              <w:right w:w="0" w:type="dxa"/>
            </w:tcMar>
          </w:tcPr>
          <w:p w14:paraId="3936D212" w14:textId="059AE962" w:rsidR="002D22AD" w:rsidRDefault="002D22AD" w:rsidP="00A765CC">
            <w:pPr>
              <w:rPr>
                <w:b/>
                <w:bCs/>
              </w:rPr>
            </w:pPr>
            <w:r>
              <w:rPr>
                <w:b/>
                <w:bCs/>
              </w:rPr>
              <w:t>NPRR 1283 – Modification of SSR Mitigation Timeline</w:t>
            </w:r>
          </w:p>
        </w:tc>
        <w:tc>
          <w:tcPr>
            <w:tcW w:w="874" w:type="pct"/>
          </w:tcPr>
          <w:p w14:paraId="0725DD0D" w14:textId="1B5CDB96" w:rsidR="002D22AD" w:rsidRDefault="002D22AD" w:rsidP="00A765CC">
            <w:pPr>
              <w:rPr>
                <w:b/>
                <w:bCs/>
              </w:rPr>
            </w:pPr>
            <w:r>
              <w:rPr>
                <w:b/>
                <w:bCs/>
              </w:rPr>
              <w:t>ERCOT</w:t>
            </w:r>
          </w:p>
        </w:tc>
      </w:tr>
      <w:tr w:rsidR="00580ABD" w:rsidRPr="00A765CC" w14:paraId="15A2BEEA" w14:textId="77777777" w:rsidTr="0056135A">
        <w:trPr>
          <w:trHeight w:val="630"/>
        </w:trPr>
        <w:tc>
          <w:tcPr>
            <w:tcW w:w="291" w:type="pct"/>
          </w:tcPr>
          <w:p w14:paraId="3066AD34" w14:textId="77777777" w:rsidR="00580ABD" w:rsidRDefault="00580ABD" w:rsidP="00A765CC">
            <w:pPr>
              <w:rPr>
                <w:b/>
                <w:bCs/>
              </w:rPr>
            </w:pPr>
          </w:p>
        </w:tc>
        <w:tc>
          <w:tcPr>
            <w:tcW w:w="3835" w:type="pct"/>
            <w:tcBorders>
              <w:right w:val="nil"/>
            </w:tcBorders>
            <w:tcMar>
              <w:top w:w="15" w:type="dxa"/>
              <w:left w:w="15" w:type="dxa"/>
              <w:bottom w:w="15" w:type="dxa"/>
              <w:right w:w="0" w:type="dxa"/>
            </w:tcMar>
          </w:tcPr>
          <w:p w14:paraId="09C56879" w14:textId="05ED8A9C" w:rsidR="00580ABD" w:rsidRDefault="00580ABD" w:rsidP="00A765CC">
            <w:r>
              <w:t>Sun Wook Kang</w:t>
            </w:r>
            <w:r w:rsidR="00F00685">
              <w:t xml:space="preserve"> (ERCOT)</w:t>
            </w:r>
            <w:r>
              <w:t xml:space="preserve"> spoke to this RR</w:t>
            </w:r>
            <w:r w:rsidR="00BF6BDF">
              <w:t>.</w:t>
            </w:r>
          </w:p>
          <w:p w14:paraId="127D1852" w14:textId="77777777" w:rsidR="00E4141A" w:rsidRDefault="00E4141A" w:rsidP="00A765CC">
            <w:r>
              <w:t xml:space="preserve">Katie Rich (Vistra) – ROS sent this over because of the timeline. Some comments at ROS stated that the SSO study timeline may take 12-18 months. </w:t>
            </w:r>
          </w:p>
          <w:p w14:paraId="6C023E21" w14:textId="77777777" w:rsidR="00020392" w:rsidRDefault="00020392" w:rsidP="00A765CC">
            <w:r>
              <w:t xml:space="preserve">Bob Helton (Engie) </w:t>
            </w:r>
            <w:r w:rsidR="00832336">
              <w:t>–</w:t>
            </w:r>
            <w:r>
              <w:t xml:space="preserve"> </w:t>
            </w:r>
            <w:r w:rsidR="00832336">
              <w:t>Not a concern about the need to eventually implement this. But want to give developers time to assess how this change will affect the COD with the change in schedule.</w:t>
            </w:r>
            <w:r w:rsidR="00013E2F">
              <w:t xml:space="preserve"> Only affects those will outstanding SSO studies remaining.</w:t>
            </w:r>
          </w:p>
          <w:p w14:paraId="6E0F7BA1" w14:textId="37013436" w:rsidR="00226934" w:rsidRPr="00226934" w:rsidRDefault="00226934" w:rsidP="00A765CC">
            <w:pPr>
              <w:rPr>
                <w:b/>
                <w:bCs/>
                <w:i/>
                <w:iCs/>
              </w:rPr>
            </w:pPr>
            <w:r w:rsidRPr="00226934">
              <w:rPr>
                <w:b/>
                <w:bCs/>
                <w:i/>
                <w:iCs/>
              </w:rPr>
              <w:t>Action Taken: Move to ROS for a vote.</w:t>
            </w:r>
            <w:r w:rsidR="0075338D">
              <w:rPr>
                <w:b/>
                <w:bCs/>
                <w:i/>
                <w:iCs/>
              </w:rPr>
              <w:t xml:space="preserve"> Anticipate receiving related action item at a future time.</w:t>
            </w:r>
          </w:p>
        </w:tc>
        <w:tc>
          <w:tcPr>
            <w:tcW w:w="874" w:type="pct"/>
          </w:tcPr>
          <w:p w14:paraId="6306C43A" w14:textId="77777777" w:rsidR="00580ABD" w:rsidRDefault="00580ABD" w:rsidP="00A765CC">
            <w:pPr>
              <w:rPr>
                <w:b/>
                <w:bCs/>
              </w:rPr>
            </w:pPr>
          </w:p>
        </w:tc>
      </w:tr>
      <w:tr w:rsidR="0056135A" w:rsidRPr="00A765CC" w14:paraId="7F514BD5" w14:textId="77777777" w:rsidTr="0056135A">
        <w:trPr>
          <w:trHeight w:val="630"/>
        </w:trPr>
        <w:tc>
          <w:tcPr>
            <w:tcW w:w="291" w:type="pct"/>
            <w:hideMark/>
          </w:tcPr>
          <w:p w14:paraId="61C1F80F" w14:textId="22771724" w:rsidR="0056135A" w:rsidRPr="00A765CC" w:rsidRDefault="0056135A" w:rsidP="00A765CC">
            <w:r w:rsidRPr="00A765CC">
              <w:rPr>
                <w:b/>
                <w:bCs/>
              </w:rPr>
              <w:lastRenderedPageBreak/>
              <w:t>1</w:t>
            </w:r>
            <w:r w:rsidR="002D22AD">
              <w:rPr>
                <w:b/>
                <w:bCs/>
              </w:rPr>
              <w:t>1</w:t>
            </w:r>
            <w:r w:rsidRPr="00A765CC">
              <w:rPr>
                <w:b/>
                <w:bCs/>
              </w:rPr>
              <w:t>.</w:t>
            </w:r>
          </w:p>
        </w:tc>
        <w:tc>
          <w:tcPr>
            <w:tcW w:w="3835" w:type="pct"/>
            <w:tcBorders>
              <w:right w:val="nil"/>
            </w:tcBorders>
            <w:tcMar>
              <w:top w:w="15" w:type="dxa"/>
              <w:left w:w="15" w:type="dxa"/>
              <w:bottom w:w="15" w:type="dxa"/>
              <w:right w:w="0" w:type="dxa"/>
            </w:tcMar>
            <w:hideMark/>
          </w:tcPr>
          <w:p w14:paraId="53858653" w14:textId="4324064F" w:rsidR="0056135A" w:rsidRDefault="00B401C9" w:rsidP="00A765CC">
            <w:pPr>
              <w:rPr>
                <w:b/>
                <w:bCs/>
              </w:rPr>
            </w:pPr>
            <w:r>
              <w:rPr>
                <w:b/>
                <w:bCs/>
              </w:rPr>
              <w:t>Review Open Action Items</w:t>
            </w:r>
          </w:p>
          <w:p w14:paraId="695646A4" w14:textId="18A2AF15" w:rsidR="000A38F4" w:rsidRPr="00A765CC" w:rsidRDefault="00DB663A" w:rsidP="00A765CC">
            <w:r>
              <w:t xml:space="preserve">No </w:t>
            </w:r>
            <w:r w:rsidR="009E189A">
              <w:t xml:space="preserve">other business </w:t>
            </w:r>
            <w:r>
              <w:t>discussed.</w:t>
            </w:r>
          </w:p>
        </w:tc>
        <w:tc>
          <w:tcPr>
            <w:tcW w:w="874" w:type="pct"/>
            <w:hideMark/>
          </w:tcPr>
          <w:p w14:paraId="2DE0F0B3" w14:textId="77777777" w:rsidR="0056135A" w:rsidRPr="00A765CC" w:rsidRDefault="0056135A" w:rsidP="00A765CC">
            <w:r w:rsidRPr="00A765CC">
              <w:rPr>
                <w:b/>
                <w:bCs/>
              </w:rPr>
              <w:t>Chair</w:t>
            </w:r>
          </w:p>
        </w:tc>
      </w:tr>
      <w:tr w:rsidR="0056135A" w:rsidRPr="00A765CC" w14:paraId="5AFFCF84" w14:textId="77777777" w:rsidTr="0056135A">
        <w:trPr>
          <w:trHeight w:val="630"/>
        </w:trPr>
        <w:tc>
          <w:tcPr>
            <w:tcW w:w="291" w:type="pct"/>
            <w:hideMark/>
          </w:tcPr>
          <w:p w14:paraId="49254981" w14:textId="483078AF" w:rsidR="0056135A" w:rsidRPr="00A765CC" w:rsidRDefault="0056135A" w:rsidP="00A765CC">
            <w:r w:rsidRPr="00A765CC">
              <w:rPr>
                <w:b/>
                <w:bCs/>
              </w:rPr>
              <w:t>1</w:t>
            </w:r>
            <w:r w:rsidR="002D22AD">
              <w:rPr>
                <w:b/>
                <w:bCs/>
              </w:rPr>
              <w:t>2</w:t>
            </w:r>
            <w:r w:rsidRPr="00A765CC">
              <w:rPr>
                <w:b/>
                <w:bCs/>
              </w:rPr>
              <w:t>.</w:t>
            </w:r>
            <w:r w:rsidRPr="00A765CC">
              <w:t> </w:t>
            </w:r>
          </w:p>
        </w:tc>
        <w:tc>
          <w:tcPr>
            <w:tcW w:w="3835" w:type="pct"/>
            <w:tcBorders>
              <w:right w:val="nil"/>
            </w:tcBorders>
            <w:tcMar>
              <w:top w:w="15" w:type="dxa"/>
              <w:left w:w="15" w:type="dxa"/>
              <w:bottom w:w="15" w:type="dxa"/>
              <w:right w:w="0" w:type="dxa"/>
            </w:tcMar>
            <w:hideMark/>
          </w:tcPr>
          <w:p w14:paraId="7350C123" w14:textId="77777777" w:rsidR="0056135A" w:rsidRDefault="0056135A" w:rsidP="00A765CC">
            <w:pPr>
              <w:rPr>
                <w:b/>
                <w:bCs/>
              </w:rPr>
            </w:pPr>
            <w:r w:rsidRPr="00A765CC">
              <w:rPr>
                <w:b/>
                <w:bCs/>
              </w:rPr>
              <w:t>Adjourn</w:t>
            </w:r>
          </w:p>
          <w:p w14:paraId="3681AE4F" w14:textId="0ABCF39E" w:rsidR="0056135A" w:rsidRPr="00A765CC" w:rsidRDefault="0056135A" w:rsidP="00A765CC">
            <w:r>
              <w:t>Adjourned until</w:t>
            </w:r>
            <w:r w:rsidR="006F4BF8">
              <w:t xml:space="preserve"> next PLWG meeting scheduled </w:t>
            </w:r>
            <w:r w:rsidR="006F4BF8" w:rsidRPr="00C3637D">
              <w:t>for</w:t>
            </w:r>
            <w:r w:rsidR="00BB527F">
              <w:t xml:space="preserve"> July 29</w:t>
            </w:r>
            <w:r w:rsidR="00C3637D" w:rsidRPr="00C3637D">
              <w:t>.</w:t>
            </w:r>
          </w:p>
        </w:tc>
        <w:tc>
          <w:tcPr>
            <w:tcW w:w="874" w:type="pct"/>
            <w:hideMark/>
          </w:tcPr>
          <w:p w14:paraId="2808DB60" w14:textId="77777777" w:rsidR="0056135A" w:rsidRPr="00A765CC" w:rsidRDefault="0056135A" w:rsidP="00A765CC">
            <w:r w:rsidRPr="00A765CC">
              <w:rPr>
                <w:b/>
                <w:bCs/>
              </w:rPr>
              <w:t>Chair </w:t>
            </w:r>
          </w:p>
        </w:tc>
      </w:tr>
    </w:tbl>
    <w:p w14:paraId="1B3E5208" w14:textId="77777777" w:rsidR="008D4CFB" w:rsidRDefault="008D4CFB"/>
    <w:sectPr w:rsidR="008D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4C6"/>
    <w:multiLevelType w:val="multilevel"/>
    <w:tmpl w:val="0E4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631DC"/>
    <w:multiLevelType w:val="multilevel"/>
    <w:tmpl w:val="F7E8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7857"/>
    <w:multiLevelType w:val="multilevel"/>
    <w:tmpl w:val="C1B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A54B9"/>
    <w:multiLevelType w:val="multilevel"/>
    <w:tmpl w:val="FAC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6392B"/>
    <w:multiLevelType w:val="hybridMultilevel"/>
    <w:tmpl w:val="C878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E7543"/>
    <w:multiLevelType w:val="multilevel"/>
    <w:tmpl w:val="C27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05CDE"/>
    <w:multiLevelType w:val="multilevel"/>
    <w:tmpl w:val="D8D2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744098">
    <w:abstractNumId w:val="3"/>
  </w:num>
  <w:num w:numId="2" w16cid:durableId="542834862">
    <w:abstractNumId w:val="1"/>
  </w:num>
  <w:num w:numId="3" w16cid:durableId="1979676816">
    <w:abstractNumId w:val="6"/>
  </w:num>
  <w:num w:numId="4" w16cid:durableId="911700180">
    <w:abstractNumId w:val="0"/>
  </w:num>
  <w:num w:numId="5" w16cid:durableId="54398409">
    <w:abstractNumId w:val="5"/>
  </w:num>
  <w:num w:numId="6" w16cid:durableId="173692088">
    <w:abstractNumId w:val="2"/>
  </w:num>
  <w:num w:numId="7" w16cid:durableId="133527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CC"/>
    <w:rsid w:val="0000095B"/>
    <w:rsid w:val="00004735"/>
    <w:rsid w:val="00011B31"/>
    <w:rsid w:val="000126BB"/>
    <w:rsid w:val="00013E2F"/>
    <w:rsid w:val="00014FFE"/>
    <w:rsid w:val="0001526F"/>
    <w:rsid w:val="00017743"/>
    <w:rsid w:val="00020392"/>
    <w:rsid w:val="0002118D"/>
    <w:rsid w:val="00026FAB"/>
    <w:rsid w:val="00031B2A"/>
    <w:rsid w:val="000327AC"/>
    <w:rsid w:val="00033842"/>
    <w:rsid w:val="00034273"/>
    <w:rsid w:val="00035287"/>
    <w:rsid w:val="00037898"/>
    <w:rsid w:val="00046FC1"/>
    <w:rsid w:val="0005082D"/>
    <w:rsid w:val="00051512"/>
    <w:rsid w:val="00051E13"/>
    <w:rsid w:val="000538F3"/>
    <w:rsid w:val="000539D4"/>
    <w:rsid w:val="00056A74"/>
    <w:rsid w:val="00057904"/>
    <w:rsid w:val="00060FD0"/>
    <w:rsid w:val="00064D14"/>
    <w:rsid w:val="000676FC"/>
    <w:rsid w:val="0007069A"/>
    <w:rsid w:val="00071722"/>
    <w:rsid w:val="0007180D"/>
    <w:rsid w:val="000720AB"/>
    <w:rsid w:val="00074BF9"/>
    <w:rsid w:val="00077827"/>
    <w:rsid w:val="00080683"/>
    <w:rsid w:val="000818CE"/>
    <w:rsid w:val="00083EEB"/>
    <w:rsid w:val="00084DDC"/>
    <w:rsid w:val="00086AAB"/>
    <w:rsid w:val="00086D21"/>
    <w:rsid w:val="000950F1"/>
    <w:rsid w:val="00097266"/>
    <w:rsid w:val="000A3627"/>
    <w:rsid w:val="000A3629"/>
    <w:rsid w:val="000A38F4"/>
    <w:rsid w:val="000A4BA8"/>
    <w:rsid w:val="000A5FD2"/>
    <w:rsid w:val="000A605D"/>
    <w:rsid w:val="000B21C6"/>
    <w:rsid w:val="000C2A7C"/>
    <w:rsid w:val="000C3E15"/>
    <w:rsid w:val="000D1D6E"/>
    <w:rsid w:val="000D2AA6"/>
    <w:rsid w:val="000D2DD4"/>
    <w:rsid w:val="000D40DF"/>
    <w:rsid w:val="000D4E42"/>
    <w:rsid w:val="000E005A"/>
    <w:rsid w:val="000E090B"/>
    <w:rsid w:val="000E3830"/>
    <w:rsid w:val="000F0944"/>
    <w:rsid w:val="000F3777"/>
    <w:rsid w:val="000F52EF"/>
    <w:rsid w:val="000F58C1"/>
    <w:rsid w:val="000F64AA"/>
    <w:rsid w:val="00100AAA"/>
    <w:rsid w:val="0010298F"/>
    <w:rsid w:val="00116235"/>
    <w:rsid w:val="00120156"/>
    <w:rsid w:val="0012134C"/>
    <w:rsid w:val="00127DC3"/>
    <w:rsid w:val="00132B60"/>
    <w:rsid w:val="001336D5"/>
    <w:rsid w:val="0013518E"/>
    <w:rsid w:val="0014037D"/>
    <w:rsid w:val="00142093"/>
    <w:rsid w:val="00145738"/>
    <w:rsid w:val="001461EE"/>
    <w:rsid w:val="00147697"/>
    <w:rsid w:val="001516C2"/>
    <w:rsid w:val="00154703"/>
    <w:rsid w:val="0015628A"/>
    <w:rsid w:val="00160004"/>
    <w:rsid w:val="001606CD"/>
    <w:rsid w:val="00167D02"/>
    <w:rsid w:val="00172DFC"/>
    <w:rsid w:val="00174AAE"/>
    <w:rsid w:val="00177F77"/>
    <w:rsid w:val="0018164B"/>
    <w:rsid w:val="00185A3F"/>
    <w:rsid w:val="001916D6"/>
    <w:rsid w:val="001945DF"/>
    <w:rsid w:val="001961AB"/>
    <w:rsid w:val="00197DE6"/>
    <w:rsid w:val="001A0DA0"/>
    <w:rsid w:val="001A47FB"/>
    <w:rsid w:val="001A6E6D"/>
    <w:rsid w:val="001B0E0D"/>
    <w:rsid w:val="001B6919"/>
    <w:rsid w:val="001C0CC7"/>
    <w:rsid w:val="001C1FD7"/>
    <w:rsid w:val="001C7ECC"/>
    <w:rsid w:val="001E095D"/>
    <w:rsid w:val="001E2DA7"/>
    <w:rsid w:val="001E484D"/>
    <w:rsid w:val="001E6E50"/>
    <w:rsid w:val="001E7120"/>
    <w:rsid w:val="001F2CAC"/>
    <w:rsid w:val="00202485"/>
    <w:rsid w:val="00202ABA"/>
    <w:rsid w:val="002032B5"/>
    <w:rsid w:val="0021054E"/>
    <w:rsid w:val="00210DB5"/>
    <w:rsid w:val="002144AE"/>
    <w:rsid w:val="002148E2"/>
    <w:rsid w:val="00223659"/>
    <w:rsid w:val="002236BE"/>
    <w:rsid w:val="00226934"/>
    <w:rsid w:val="00226B64"/>
    <w:rsid w:val="00226F76"/>
    <w:rsid w:val="0022768B"/>
    <w:rsid w:val="0023302B"/>
    <w:rsid w:val="002357C9"/>
    <w:rsid w:val="00240054"/>
    <w:rsid w:val="00240829"/>
    <w:rsid w:val="002423CC"/>
    <w:rsid w:val="0024273C"/>
    <w:rsid w:val="0025482D"/>
    <w:rsid w:val="00255796"/>
    <w:rsid w:val="00261595"/>
    <w:rsid w:val="00262FFC"/>
    <w:rsid w:val="002636A3"/>
    <w:rsid w:val="00270EA4"/>
    <w:rsid w:val="002737FC"/>
    <w:rsid w:val="0028124F"/>
    <w:rsid w:val="00287C66"/>
    <w:rsid w:val="00294F53"/>
    <w:rsid w:val="002A06F1"/>
    <w:rsid w:val="002A1E26"/>
    <w:rsid w:val="002A2B5E"/>
    <w:rsid w:val="002A4F3D"/>
    <w:rsid w:val="002A51AD"/>
    <w:rsid w:val="002B1C34"/>
    <w:rsid w:val="002B22B1"/>
    <w:rsid w:val="002D22AD"/>
    <w:rsid w:val="002D27E4"/>
    <w:rsid w:val="002D4682"/>
    <w:rsid w:val="002E0E68"/>
    <w:rsid w:val="002F4621"/>
    <w:rsid w:val="002F4CC1"/>
    <w:rsid w:val="002F4F85"/>
    <w:rsid w:val="002F73A8"/>
    <w:rsid w:val="00302CC0"/>
    <w:rsid w:val="00307040"/>
    <w:rsid w:val="003079B9"/>
    <w:rsid w:val="00312322"/>
    <w:rsid w:val="00314A61"/>
    <w:rsid w:val="0032404E"/>
    <w:rsid w:val="003309F6"/>
    <w:rsid w:val="003330E7"/>
    <w:rsid w:val="00334648"/>
    <w:rsid w:val="00336744"/>
    <w:rsid w:val="00340E3B"/>
    <w:rsid w:val="003506FA"/>
    <w:rsid w:val="00354F7A"/>
    <w:rsid w:val="00360A01"/>
    <w:rsid w:val="003644E0"/>
    <w:rsid w:val="00371379"/>
    <w:rsid w:val="00372075"/>
    <w:rsid w:val="00372584"/>
    <w:rsid w:val="00372AD2"/>
    <w:rsid w:val="00372D8C"/>
    <w:rsid w:val="003767ED"/>
    <w:rsid w:val="00383734"/>
    <w:rsid w:val="003921B3"/>
    <w:rsid w:val="003979F5"/>
    <w:rsid w:val="003A01F9"/>
    <w:rsid w:val="003A110E"/>
    <w:rsid w:val="003B0210"/>
    <w:rsid w:val="003B086D"/>
    <w:rsid w:val="003B0DDC"/>
    <w:rsid w:val="003B2498"/>
    <w:rsid w:val="003B3843"/>
    <w:rsid w:val="003B50FC"/>
    <w:rsid w:val="003B5A7A"/>
    <w:rsid w:val="003B5F4F"/>
    <w:rsid w:val="003B6210"/>
    <w:rsid w:val="003B6F79"/>
    <w:rsid w:val="003C314D"/>
    <w:rsid w:val="003D07B0"/>
    <w:rsid w:val="003D314F"/>
    <w:rsid w:val="003D7964"/>
    <w:rsid w:val="003E3C80"/>
    <w:rsid w:val="003E7955"/>
    <w:rsid w:val="003F266F"/>
    <w:rsid w:val="003F498B"/>
    <w:rsid w:val="003F53F5"/>
    <w:rsid w:val="0040036D"/>
    <w:rsid w:val="00404657"/>
    <w:rsid w:val="0040574A"/>
    <w:rsid w:val="00407275"/>
    <w:rsid w:val="00407AF6"/>
    <w:rsid w:val="00411E9F"/>
    <w:rsid w:val="00414574"/>
    <w:rsid w:val="004158FC"/>
    <w:rsid w:val="00417D21"/>
    <w:rsid w:val="0042242A"/>
    <w:rsid w:val="004224DC"/>
    <w:rsid w:val="00424B33"/>
    <w:rsid w:val="004348F5"/>
    <w:rsid w:val="00437B10"/>
    <w:rsid w:val="004412DB"/>
    <w:rsid w:val="0044245C"/>
    <w:rsid w:val="00446F0B"/>
    <w:rsid w:val="00450A6D"/>
    <w:rsid w:val="00451EE9"/>
    <w:rsid w:val="00453B7F"/>
    <w:rsid w:val="00472C92"/>
    <w:rsid w:val="0047745F"/>
    <w:rsid w:val="004818BA"/>
    <w:rsid w:val="0048355A"/>
    <w:rsid w:val="00484111"/>
    <w:rsid w:val="00487504"/>
    <w:rsid w:val="004875F9"/>
    <w:rsid w:val="00493B0E"/>
    <w:rsid w:val="00495337"/>
    <w:rsid w:val="004A339E"/>
    <w:rsid w:val="004A3C89"/>
    <w:rsid w:val="004A51CE"/>
    <w:rsid w:val="004B027E"/>
    <w:rsid w:val="004B2994"/>
    <w:rsid w:val="004B3EC7"/>
    <w:rsid w:val="004B570D"/>
    <w:rsid w:val="004B65F1"/>
    <w:rsid w:val="004C1898"/>
    <w:rsid w:val="004C1FD5"/>
    <w:rsid w:val="004C3110"/>
    <w:rsid w:val="004D14E0"/>
    <w:rsid w:val="004D202C"/>
    <w:rsid w:val="004F094E"/>
    <w:rsid w:val="004F097A"/>
    <w:rsid w:val="004F0ADE"/>
    <w:rsid w:val="004F3C75"/>
    <w:rsid w:val="004F4333"/>
    <w:rsid w:val="004F50B0"/>
    <w:rsid w:val="004F5AFB"/>
    <w:rsid w:val="004F6DD4"/>
    <w:rsid w:val="004F768A"/>
    <w:rsid w:val="005036B8"/>
    <w:rsid w:val="00511659"/>
    <w:rsid w:val="0051172D"/>
    <w:rsid w:val="00515007"/>
    <w:rsid w:val="005151A7"/>
    <w:rsid w:val="005221D4"/>
    <w:rsid w:val="00524E80"/>
    <w:rsid w:val="00525E4A"/>
    <w:rsid w:val="00536386"/>
    <w:rsid w:val="005432F3"/>
    <w:rsid w:val="005436E5"/>
    <w:rsid w:val="00546810"/>
    <w:rsid w:val="005559E3"/>
    <w:rsid w:val="00557FC1"/>
    <w:rsid w:val="005606EF"/>
    <w:rsid w:val="0056135A"/>
    <w:rsid w:val="00561D53"/>
    <w:rsid w:val="00562075"/>
    <w:rsid w:val="00571EE8"/>
    <w:rsid w:val="00575B8D"/>
    <w:rsid w:val="00580ABD"/>
    <w:rsid w:val="00584F84"/>
    <w:rsid w:val="005873AC"/>
    <w:rsid w:val="00591B75"/>
    <w:rsid w:val="005945B9"/>
    <w:rsid w:val="00596F6A"/>
    <w:rsid w:val="005A03E3"/>
    <w:rsid w:val="005A6957"/>
    <w:rsid w:val="005B2C53"/>
    <w:rsid w:val="005B3CD0"/>
    <w:rsid w:val="005B414D"/>
    <w:rsid w:val="005B42CC"/>
    <w:rsid w:val="005B46AA"/>
    <w:rsid w:val="005B55BD"/>
    <w:rsid w:val="005B75FC"/>
    <w:rsid w:val="005B7D3B"/>
    <w:rsid w:val="005C7DCF"/>
    <w:rsid w:val="005D45C9"/>
    <w:rsid w:val="005E2714"/>
    <w:rsid w:val="005E59BE"/>
    <w:rsid w:val="005F09BE"/>
    <w:rsid w:val="005F312E"/>
    <w:rsid w:val="005F6CE0"/>
    <w:rsid w:val="0060249F"/>
    <w:rsid w:val="00602883"/>
    <w:rsid w:val="006046C2"/>
    <w:rsid w:val="006072F0"/>
    <w:rsid w:val="00607D45"/>
    <w:rsid w:val="00617077"/>
    <w:rsid w:val="00617FE4"/>
    <w:rsid w:val="006254EB"/>
    <w:rsid w:val="0062599C"/>
    <w:rsid w:val="00633799"/>
    <w:rsid w:val="00641B78"/>
    <w:rsid w:val="00643010"/>
    <w:rsid w:val="0065074A"/>
    <w:rsid w:val="006550CE"/>
    <w:rsid w:val="0066223B"/>
    <w:rsid w:val="006628D9"/>
    <w:rsid w:val="0066389B"/>
    <w:rsid w:val="00664F51"/>
    <w:rsid w:val="00667A16"/>
    <w:rsid w:val="006701DF"/>
    <w:rsid w:val="00675C1E"/>
    <w:rsid w:val="006762FD"/>
    <w:rsid w:val="00676F39"/>
    <w:rsid w:val="00682E48"/>
    <w:rsid w:val="00695351"/>
    <w:rsid w:val="00696B1C"/>
    <w:rsid w:val="00696FC8"/>
    <w:rsid w:val="006B0ED7"/>
    <w:rsid w:val="006B2A88"/>
    <w:rsid w:val="006B445C"/>
    <w:rsid w:val="006C1690"/>
    <w:rsid w:val="006C3684"/>
    <w:rsid w:val="006C7475"/>
    <w:rsid w:val="006D0CD0"/>
    <w:rsid w:val="006E5CCB"/>
    <w:rsid w:val="006E5E1F"/>
    <w:rsid w:val="006E7458"/>
    <w:rsid w:val="006F0E55"/>
    <w:rsid w:val="006F1409"/>
    <w:rsid w:val="006F4BF8"/>
    <w:rsid w:val="006F69E7"/>
    <w:rsid w:val="007006BC"/>
    <w:rsid w:val="00700D26"/>
    <w:rsid w:val="00704F48"/>
    <w:rsid w:val="007102CB"/>
    <w:rsid w:val="007104C5"/>
    <w:rsid w:val="00711954"/>
    <w:rsid w:val="00717207"/>
    <w:rsid w:val="00720868"/>
    <w:rsid w:val="00720E78"/>
    <w:rsid w:val="00725854"/>
    <w:rsid w:val="00726DB7"/>
    <w:rsid w:val="00727CC5"/>
    <w:rsid w:val="00731C58"/>
    <w:rsid w:val="00750FEE"/>
    <w:rsid w:val="0075338D"/>
    <w:rsid w:val="00756428"/>
    <w:rsid w:val="00760299"/>
    <w:rsid w:val="0076236C"/>
    <w:rsid w:val="00766CED"/>
    <w:rsid w:val="00770A8F"/>
    <w:rsid w:val="00781353"/>
    <w:rsid w:val="0078333D"/>
    <w:rsid w:val="00783682"/>
    <w:rsid w:val="00784C58"/>
    <w:rsid w:val="00790B75"/>
    <w:rsid w:val="00790B92"/>
    <w:rsid w:val="0079440F"/>
    <w:rsid w:val="00796137"/>
    <w:rsid w:val="007A2208"/>
    <w:rsid w:val="007A5C05"/>
    <w:rsid w:val="007A6538"/>
    <w:rsid w:val="007B2189"/>
    <w:rsid w:val="007B7AAD"/>
    <w:rsid w:val="007C236E"/>
    <w:rsid w:val="007C3171"/>
    <w:rsid w:val="007C424D"/>
    <w:rsid w:val="007E1D4E"/>
    <w:rsid w:val="007E4362"/>
    <w:rsid w:val="007F12E6"/>
    <w:rsid w:val="007F18D2"/>
    <w:rsid w:val="007F25D5"/>
    <w:rsid w:val="007F26AD"/>
    <w:rsid w:val="007F3003"/>
    <w:rsid w:val="007F6580"/>
    <w:rsid w:val="0080034B"/>
    <w:rsid w:val="00800C68"/>
    <w:rsid w:val="0080136D"/>
    <w:rsid w:val="00804808"/>
    <w:rsid w:val="00820FF5"/>
    <w:rsid w:val="00821F80"/>
    <w:rsid w:val="008221AC"/>
    <w:rsid w:val="00824A7E"/>
    <w:rsid w:val="0082642A"/>
    <w:rsid w:val="00832336"/>
    <w:rsid w:val="008344A2"/>
    <w:rsid w:val="00834AEF"/>
    <w:rsid w:val="00837C18"/>
    <w:rsid w:val="00841C62"/>
    <w:rsid w:val="008430A1"/>
    <w:rsid w:val="00853EAD"/>
    <w:rsid w:val="008564F2"/>
    <w:rsid w:val="008565F1"/>
    <w:rsid w:val="00861ECF"/>
    <w:rsid w:val="0086347B"/>
    <w:rsid w:val="0086542D"/>
    <w:rsid w:val="008658C2"/>
    <w:rsid w:val="008670DC"/>
    <w:rsid w:val="0086794C"/>
    <w:rsid w:val="008727E4"/>
    <w:rsid w:val="00882831"/>
    <w:rsid w:val="00886B0A"/>
    <w:rsid w:val="00896A81"/>
    <w:rsid w:val="008B271E"/>
    <w:rsid w:val="008C16E3"/>
    <w:rsid w:val="008C1864"/>
    <w:rsid w:val="008C25A6"/>
    <w:rsid w:val="008C508C"/>
    <w:rsid w:val="008C5CC4"/>
    <w:rsid w:val="008D035F"/>
    <w:rsid w:val="008D23E7"/>
    <w:rsid w:val="008D3628"/>
    <w:rsid w:val="008D38DD"/>
    <w:rsid w:val="008D4CFB"/>
    <w:rsid w:val="008D5A7F"/>
    <w:rsid w:val="008D7691"/>
    <w:rsid w:val="008E150D"/>
    <w:rsid w:val="008E4F6B"/>
    <w:rsid w:val="008E7BB6"/>
    <w:rsid w:val="008F35FE"/>
    <w:rsid w:val="008F3AFB"/>
    <w:rsid w:val="008F465F"/>
    <w:rsid w:val="00900960"/>
    <w:rsid w:val="00904060"/>
    <w:rsid w:val="009077C0"/>
    <w:rsid w:val="00920104"/>
    <w:rsid w:val="00923C08"/>
    <w:rsid w:val="009260B6"/>
    <w:rsid w:val="00932EE5"/>
    <w:rsid w:val="009362E9"/>
    <w:rsid w:val="00937AAA"/>
    <w:rsid w:val="009407F3"/>
    <w:rsid w:val="00941EDF"/>
    <w:rsid w:val="0094317D"/>
    <w:rsid w:val="00945144"/>
    <w:rsid w:val="00946B43"/>
    <w:rsid w:val="009512BE"/>
    <w:rsid w:val="00954399"/>
    <w:rsid w:val="0095459B"/>
    <w:rsid w:val="00954ABB"/>
    <w:rsid w:val="00961A60"/>
    <w:rsid w:val="00962844"/>
    <w:rsid w:val="00965CF6"/>
    <w:rsid w:val="00974764"/>
    <w:rsid w:val="0098096C"/>
    <w:rsid w:val="00982DED"/>
    <w:rsid w:val="0098365C"/>
    <w:rsid w:val="00984C84"/>
    <w:rsid w:val="00986CCF"/>
    <w:rsid w:val="0099163C"/>
    <w:rsid w:val="00997698"/>
    <w:rsid w:val="009A4868"/>
    <w:rsid w:val="009B1692"/>
    <w:rsid w:val="009B1D2F"/>
    <w:rsid w:val="009B4CD4"/>
    <w:rsid w:val="009B7F04"/>
    <w:rsid w:val="009C0A7B"/>
    <w:rsid w:val="009C0AFC"/>
    <w:rsid w:val="009C26E4"/>
    <w:rsid w:val="009D03C0"/>
    <w:rsid w:val="009D0839"/>
    <w:rsid w:val="009D1329"/>
    <w:rsid w:val="009D2313"/>
    <w:rsid w:val="009D4D7E"/>
    <w:rsid w:val="009E161E"/>
    <w:rsid w:val="009E189A"/>
    <w:rsid w:val="009F0303"/>
    <w:rsid w:val="009F4328"/>
    <w:rsid w:val="009F5856"/>
    <w:rsid w:val="009F7154"/>
    <w:rsid w:val="009F7950"/>
    <w:rsid w:val="00A0305B"/>
    <w:rsid w:val="00A141C7"/>
    <w:rsid w:val="00A15972"/>
    <w:rsid w:val="00A2072B"/>
    <w:rsid w:val="00A22E59"/>
    <w:rsid w:val="00A260CC"/>
    <w:rsid w:val="00A36AF4"/>
    <w:rsid w:val="00A4030C"/>
    <w:rsid w:val="00A405F7"/>
    <w:rsid w:val="00A4489E"/>
    <w:rsid w:val="00A4756E"/>
    <w:rsid w:val="00A5232D"/>
    <w:rsid w:val="00A5799D"/>
    <w:rsid w:val="00A618CF"/>
    <w:rsid w:val="00A61D4D"/>
    <w:rsid w:val="00A63BA7"/>
    <w:rsid w:val="00A6492B"/>
    <w:rsid w:val="00A64A4D"/>
    <w:rsid w:val="00A7009C"/>
    <w:rsid w:val="00A722DB"/>
    <w:rsid w:val="00A72642"/>
    <w:rsid w:val="00A765CC"/>
    <w:rsid w:val="00A77571"/>
    <w:rsid w:val="00A81458"/>
    <w:rsid w:val="00A84911"/>
    <w:rsid w:val="00A86551"/>
    <w:rsid w:val="00A9053C"/>
    <w:rsid w:val="00A90618"/>
    <w:rsid w:val="00A926C4"/>
    <w:rsid w:val="00A95893"/>
    <w:rsid w:val="00A95F61"/>
    <w:rsid w:val="00A962AD"/>
    <w:rsid w:val="00AA2E52"/>
    <w:rsid w:val="00AA3E1A"/>
    <w:rsid w:val="00AA7DCB"/>
    <w:rsid w:val="00AB2937"/>
    <w:rsid w:val="00AB66C5"/>
    <w:rsid w:val="00AC0571"/>
    <w:rsid w:val="00AC0FBC"/>
    <w:rsid w:val="00AC1416"/>
    <w:rsid w:val="00AC2A7F"/>
    <w:rsid w:val="00AC30A8"/>
    <w:rsid w:val="00AC7223"/>
    <w:rsid w:val="00AD252D"/>
    <w:rsid w:val="00AD3477"/>
    <w:rsid w:val="00AD3B6A"/>
    <w:rsid w:val="00AD4B5C"/>
    <w:rsid w:val="00AD5F8E"/>
    <w:rsid w:val="00AE2B8B"/>
    <w:rsid w:val="00AF37D3"/>
    <w:rsid w:val="00AF46DF"/>
    <w:rsid w:val="00AF76CC"/>
    <w:rsid w:val="00B04B28"/>
    <w:rsid w:val="00B06181"/>
    <w:rsid w:val="00B07705"/>
    <w:rsid w:val="00B11F9F"/>
    <w:rsid w:val="00B1427B"/>
    <w:rsid w:val="00B24967"/>
    <w:rsid w:val="00B255EF"/>
    <w:rsid w:val="00B301B3"/>
    <w:rsid w:val="00B3521D"/>
    <w:rsid w:val="00B357A9"/>
    <w:rsid w:val="00B36C83"/>
    <w:rsid w:val="00B401C9"/>
    <w:rsid w:val="00B4536A"/>
    <w:rsid w:val="00B46FAF"/>
    <w:rsid w:val="00B54238"/>
    <w:rsid w:val="00B56CD7"/>
    <w:rsid w:val="00B63F6B"/>
    <w:rsid w:val="00B76E7B"/>
    <w:rsid w:val="00B876A9"/>
    <w:rsid w:val="00B91B76"/>
    <w:rsid w:val="00B95A49"/>
    <w:rsid w:val="00B95FE5"/>
    <w:rsid w:val="00B9650A"/>
    <w:rsid w:val="00B96879"/>
    <w:rsid w:val="00BA50EE"/>
    <w:rsid w:val="00BB139A"/>
    <w:rsid w:val="00BB1437"/>
    <w:rsid w:val="00BB213A"/>
    <w:rsid w:val="00BB24C4"/>
    <w:rsid w:val="00BB4C48"/>
    <w:rsid w:val="00BB527F"/>
    <w:rsid w:val="00BC74B0"/>
    <w:rsid w:val="00BD0663"/>
    <w:rsid w:val="00BD43B0"/>
    <w:rsid w:val="00BD454A"/>
    <w:rsid w:val="00BE0710"/>
    <w:rsid w:val="00BE467F"/>
    <w:rsid w:val="00BE6745"/>
    <w:rsid w:val="00BF2A84"/>
    <w:rsid w:val="00BF3DEB"/>
    <w:rsid w:val="00BF6BDF"/>
    <w:rsid w:val="00BF7CD4"/>
    <w:rsid w:val="00C00B45"/>
    <w:rsid w:val="00C020F5"/>
    <w:rsid w:val="00C04EA0"/>
    <w:rsid w:val="00C14DDC"/>
    <w:rsid w:val="00C177E5"/>
    <w:rsid w:val="00C24126"/>
    <w:rsid w:val="00C2575D"/>
    <w:rsid w:val="00C30BD1"/>
    <w:rsid w:val="00C3637D"/>
    <w:rsid w:val="00C37078"/>
    <w:rsid w:val="00C454FA"/>
    <w:rsid w:val="00C51D74"/>
    <w:rsid w:val="00C6026A"/>
    <w:rsid w:val="00C65074"/>
    <w:rsid w:val="00C666C7"/>
    <w:rsid w:val="00C673BA"/>
    <w:rsid w:val="00C67940"/>
    <w:rsid w:val="00C700C1"/>
    <w:rsid w:val="00C7044E"/>
    <w:rsid w:val="00C7304D"/>
    <w:rsid w:val="00C76712"/>
    <w:rsid w:val="00C82359"/>
    <w:rsid w:val="00C83B73"/>
    <w:rsid w:val="00C90849"/>
    <w:rsid w:val="00C96AA8"/>
    <w:rsid w:val="00C97EDE"/>
    <w:rsid w:val="00CA2FC5"/>
    <w:rsid w:val="00CA44A4"/>
    <w:rsid w:val="00CA71DA"/>
    <w:rsid w:val="00CA79AA"/>
    <w:rsid w:val="00CB2FC7"/>
    <w:rsid w:val="00CB4D61"/>
    <w:rsid w:val="00CB7145"/>
    <w:rsid w:val="00CC12CB"/>
    <w:rsid w:val="00CC5409"/>
    <w:rsid w:val="00CC57FE"/>
    <w:rsid w:val="00CC59B0"/>
    <w:rsid w:val="00CD1AD6"/>
    <w:rsid w:val="00CD6C60"/>
    <w:rsid w:val="00CE5667"/>
    <w:rsid w:val="00CF1FE2"/>
    <w:rsid w:val="00CF23D7"/>
    <w:rsid w:val="00CF3375"/>
    <w:rsid w:val="00CF6259"/>
    <w:rsid w:val="00CF6CBA"/>
    <w:rsid w:val="00D058AD"/>
    <w:rsid w:val="00D05C38"/>
    <w:rsid w:val="00D2353D"/>
    <w:rsid w:val="00D238A7"/>
    <w:rsid w:val="00D24235"/>
    <w:rsid w:val="00D242BD"/>
    <w:rsid w:val="00D3048F"/>
    <w:rsid w:val="00D3147E"/>
    <w:rsid w:val="00D373D9"/>
    <w:rsid w:val="00D40C3E"/>
    <w:rsid w:val="00D41EC5"/>
    <w:rsid w:val="00D43B8B"/>
    <w:rsid w:val="00D43EAD"/>
    <w:rsid w:val="00D45808"/>
    <w:rsid w:val="00D777FC"/>
    <w:rsid w:val="00D83937"/>
    <w:rsid w:val="00D85555"/>
    <w:rsid w:val="00D8562E"/>
    <w:rsid w:val="00D85FD4"/>
    <w:rsid w:val="00D92670"/>
    <w:rsid w:val="00D96247"/>
    <w:rsid w:val="00D965BA"/>
    <w:rsid w:val="00D9725C"/>
    <w:rsid w:val="00DA03DA"/>
    <w:rsid w:val="00DA3397"/>
    <w:rsid w:val="00DA624C"/>
    <w:rsid w:val="00DA7B35"/>
    <w:rsid w:val="00DA7F42"/>
    <w:rsid w:val="00DB01D8"/>
    <w:rsid w:val="00DB5442"/>
    <w:rsid w:val="00DB663A"/>
    <w:rsid w:val="00DC77BD"/>
    <w:rsid w:val="00DD136D"/>
    <w:rsid w:val="00DD2B2B"/>
    <w:rsid w:val="00DF1F36"/>
    <w:rsid w:val="00E119C4"/>
    <w:rsid w:val="00E139C9"/>
    <w:rsid w:val="00E14858"/>
    <w:rsid w:val="00E150FE"/>
    <w:rsid w:val="00E21157"/>
    <w:rsid w:val="00E225FA"/>
    <w:rsid w:val="00E26CCC"/>
    <w:rsid w:val="00E3158A"/>
    <w:rsid w:val="00E32595"/>
    <w:rsid w:val="00E4141A"/>
    <w:rsid w:val="00E4273B"/>
    <w:rsid w:val="00E46C13"/>
    <w:rsid w:val="00E51A57"/>
    <w:rsid w:val="00E55441"/>
    <w:rsid w:val="00E565EE"/>
    <w:rsid w:val="00E572E3"/>
    <w:rsid w:val="00E57A9B"/>
    <w:rsid w:val="00E623B2"/>
    <w:rsid w:val="00E65E91"/>
    <w:rsid w:val="00E67353"/>
    <w:rsid w:val="00E741C8"/>
    <w:rsid w:val="00E772FC"/>
    <w:rsid w:val="00E77F8B"/>
    <w:rsid w:val="00E81159"/>
    <w:rsid w:val="00E81A4A"/>
    <w:rsid w:val="00E854AD"/>
    <w:rsid w:val="00E90319"/>
    <w:rsid w:val="00E94349"/>
    <w:rsid w:val="00EA5B9D"/>
    <w:rsid w:val="00EA5F83"/>
    <w:rsid w:val="00EB265C"/>
    <w:rsid w:val="00EB4DBD"/>
    <w:rsid w:val="00EC014C"/>
    <w:rsid w:val="00EC12E8"/>
    <w:rsid w:val="00EC1FAB"/>
    <w:rsid w:val="00ED1987"/>
    <w:rsid w:val="00ED2EBF"/>
    <w:rsid w:val="00EE0EC9"/>
    <w:rsid w:val="00EE3DB5"/>
    <w:rsid w:val="00EF4CB0"/>
    <w:rsid w:val="00EF5F01"/>
    <w:rsid w:val="00EF6187"/>
    <w:rsid w:val="00F00685"/>
    <w:rsid w:val="00F01B54"/>
    <w:rsid w:val="00F110F0"/>
    <w:rsid w:val="00F12154"/>
    <w:rsid w:val="00F231D6"/>
    <w:rsid w:val="00F23B37"/>
    <w:rsid w:val="00F26190"/>
    <w:rsid w:val="00F27AF0"/>
    <w:rsid w:val="00F34545"/>
    <w:rsid w:val="00F42E7B"/>
    <w:rsid w:val="00F44532"/>
    <w:rsid w:val="00F508CD"/>
    <w:rsid w:val="00F64815"/>
    <w:rsid w:val="00F704FD"/>
    <w:rsid w:val="00F71252"/>
    <w:rsid w:val="00F7270A"/>
    <w:rsid w:val="00F83F3C"/>
    <w:rsid w:val="00F844FB"/>
    <w:rsid w:val="00F85181"/>
    <w:rsid w:val="00F91924"/>
    <w:rsid w:val="00F92A37"/>
    <w:rsid w:val="00FA4774"/>
    <w:rsid w:val="00FA6F48"/>
    <w:rsid w:val="00FA7D72"/>
    <w:rsid w:val="00FB0160"/>
    <w:rsid w:val="00FC12BE"/>
    <w:rsid w:val="00FE07F6"/>
    <w:rsid w:val="00FE2FDA"/>
    <w:rsid w:val="00FE7513"/>
    <w:rsid w:val="00FF01C4"/>
    <w:rsid w:val="00FF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E01"/>
  <w15:chartTrackingRefBased/>
  <w15:docId w15:val="{1E95B631-4425-4DC2-895C-F6766BEA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5CC"/>
    <w:rPr>
      <w:rFonts w:eastAsiaTheme="majorEastAsia" w:cstheme="majorBidi"/>
      <w:color w:val="272727" w:themeColor="text1" w:themeTint="D8"/>
    </w:rPr>
  </w:style>
  <w:style w:type="paragraph" w:styleId="Title">
    <w:name w:val="Title"/>
    <w:basedOn w:val="Normal"/>
    <w:next w:val="Normal"/>
    <w:link w:val="TitleChar"/>
    <w:uiPriority w:val="10"/>
    <w:qFormat/>
    <w:rsid w:val="00A76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5CC"/>
    <w:pPr>
      <w:spacing w:before="160"/>
      <w:jc w:val="center"/>
    </w:pPr>
    <w:rPr>
      <w:i/>
      <w:iCs/>
      <w:color w:val="404040" w:themeColor="text1" w:themeTint="BF"/>
    </w:rPr>
  </w:style>
  <w:style w:type="character" w:customStyle="1" w:styleId="QuoteChar">
    <w:name w:val="Quote Char"/>
    <w:basedOn w:val="DefaultParagraphFont"/>
    <w:link w:val="Quote"/>
    <w:uiPriority w:val="29"/>
    <w:rsid w:val="00A765CC"/>
    <w:rPr>
      <w:i/>
      <w:iCs/>
      <w:color w:val="404040" w:themeColor="text1" w:themeTint="BF"/>
    </w:rPr>
  </w:style>
  <w:style w:type="paragraph" w:styleId="ListParagraph">
    <w:name w:val="List Paragraph"/>
    <w:basedOn w:val="Normal"/>
    <w:uiPriority w:val="34"/>
    <w:qFormat/>
    <w:rsid w:val="00A765CC"/>
    <w:pPr>
      <w:ind w:left="720"/>
      <w:contextualSpacing/>
    </w:pPr>
  </w:style>
  <w:style w:type="character" w:styleId="IntenseEmphasis">
    <w:name w:val="Intense Emphasis"/>
    <w:basedOn w:val="DefaultParagraphFont"/>
    <w:uiPriority w:val="21"/>
    <w:qFormat/>
    <w:rsid w:val="00A765CC"/>
    <w:rPr>
      <w:i/>
      <w:iCs/>
      <w:color w:val="0F4761" w:themeColor="accent1" w:themeShade="BF"/>
    </w:rPr>
  </w:style>
  <w:style w:type="paragraph" w:styleId="IntenseQuote">
    <w:name w:val="Intense Quote"/>
    <w:basedOn w:val="Normal"/>
    <w:next w:val="Normal"/>
    <w:link w:val="IntenseQuoteChar"/>
    <w:uiPriority w:val="30"/>
    <w:qFormat/>
    <w:rsid w:val="00A76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CC"/>
    <w:rPr>
      <w:i/>
      <w:iCs/>
      <w:color w:val="0F4761" w:themeColor="accent1" w:themeShade="BF"/>
    </w:rPr>
  </w:style>
  <w:style w:type="character" w:styleId="IntenseReference">
    <w:name w:val="Intense Reference"/>
    <w:basedOn w:val="DefaultParagraphFont"/>
    <w:uiPriority w:val="32"/>
    <w:qFormat/>
    <w:rsid w:val="00A765CC"/>
    <w:rPr>
      <w:b/>
      <w:bCs/>
      <w:smallCaps/>
      <w:color w:val="0F4761" w:themeColor="accent1" w:themeShade="BF"/>
      <w:spacing w:val="5"/>
    </w:rPr>
  </w:style>
  <w:style w:type="paragraph" w:styleId="NormalWeb">
    <w:name w:val="Normal (Web)"/>
    <w:basedOn w:val="Normal"/>
    <w:uiPriority w:val="99"/>
    <w:semiHidden/>
    <w:unhideWhenUsed/>
    <w:rsid w:val="004F3C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9845">
      <w:bodyDiv w:val="1"/>
      <w:marLeft w:val="0"/>
      <w:marRight w:val="0"/>
      <w:marTop w:val="0"/>
      <w:marBottom w:val="0"/>
      <w:divBdr>
        <w:top w:val="none" w:sz="0" w:space="0" w:color="auto"/>
        <w:left w:val="none" w:sz="0" w:space="0" w:color="auto"/>
        <w:bottom w:val="none" w:sz="0" w:space="0" w:color="auto"/>
        <w:right w:val="none" w:sz="0" w:space="0" w:color="auto"/>
      </w:divBdr>
    </w:div>
    <w:div w:id="316302100">
      <w:bodyDiv w:val="1"/>
      <w:marLeft w:val="0"/>
      <w:marRight w:val="0"/>
      <w:marTop w:val="0"/>
      <w:marBottom w:val="0"/>
      <w:divBdr>
        <w:top w:val="none" w:sz="0" w:space="0" w:color="auto"/>
        <w:left w:val="none" w:sz="0" w:space="0" w:color="auto"/>
        <w:bottom w:val="none" w:sz="0" w:space="0" w:color="auto"/>
        <w:right w:val="none" w:sz="0" w:space="0" w:color="auto"/>
      </w:divBdr>
    </w:div>
    <w:div w:id="1182234719">
      <w:bodyDiv w:val="1"/>
      <w:marLeft w:val="0"/>
      <w:marRight w:val="0"/>
      <w:marTop w:val="0"/>
      <w:marBottom w:val="0"/>
      <w:divBdr>
        <w:top w:val="none" w:sz="0" w:space="0" w:color="auto"/>
        <w:left w:val="none" w:sz="0" w:space="0" w:color="auto"/>
        <w:bottom w:val="none" w:sz="0" w:space="0" w:color="auto"/>
        <w:right w:val="none" w:sz="0" w:space="0" w:color="auto"/>
      </w:divBdr>
    </w:div>
    <w:div w:id="1373965198">
      <w:bodyDiv w:val="1"/>
      <w:marLeft w:val="0"/>
      <w:marRight w:val="0"/>
      <w:marTop w:val="0"/>
      <w:marBottom w:val="0"/>
      <w:divBdr>
        <w:top w:val="none" w:sz="0" w:space="0" w:color="auto"/>
        <w:left w:val="none" w:sz="0" w:space="0" w:color="auto"/>
        <w:bottom w:val="none" w:sz="0" w:space="0" w:color="auto"/>
        <w:right w:val="none" w:sz="0" w:space="0" w:color="auto"/>
      </w:divBdr>
    </w:div>
    <w:div w:id="1444154547">
      <w:bodyDiv w:val="1"/>
      <w:marLeft w:val="0"/>
      <w:marRight w:val="0"/>
      <w:marTop w:val="0"/>
      <w:marBottom w:val="0"/>
      <w:divBdr>
        <w:top w:val="none" w:sz="0" w:space="0" w:color="auto"/>
        <w:left w:val="none" w:sz="0" w:space="0" w:color="auto"/>
        <w:bottom w:val="none" w:sz="0" w:space="0" w:color="auto"/>
        <w:right w:val="none" w:sz="0" w:space="0" w:color="auto"/>
      </w:divBdr>
    </w:div>
    <w:div w:id="1488060570">
      <w:bodyDiv w:val="1"/>
      <w:marLeft w:val="0"/>
      <w:marRight w:val="0"/>
      <w:marTop w:val="0"/>
      <w:marBottom w:val="0"/>
      <w:divBdr>
        <w:top w:val="none" w:sz="0" w:space="0" w:color="auto"/>
        <w:left w:val="none" w:sz="0" w:space="0" w:color="auto"/>
        <w:bottom w:val="none" w:sz="0" w:space="0" w:color="auto"/>
        <w:right w:val="none" w:sz="0" w:space="0" w:color="auto"/>
      </w:divBdr>
    </w:div>
    <w:div w:id="1693607621">
      <w:bodyDiv w:val="1"/>
      <w:marLeft w:val="0"/>
      <w:marRight w:val="0"/>
      <w:marTop w:val="0"/>
      <w:marBottom w:val="0"/>
      <w:divBdr>
        <w:top w:val="none" w:sz="0" w:space="0" w:color="auto"/>
        <w:left w:val="none" w:sz="0" w:space="0" w:color="auto"/>
        <w:bottom w:val="none" w:sz="0" w:space="0" w:color="auto"/>
        <w:right w:val="none" w:sz="0" w:space="0" w:color="auto"/>
      </w:divBdr>
    </w:div>
    <w:div w:id="17126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5187-4D48-4980-AF9F-7805B845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7</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Southern Company</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Kristin (SPC)</dc:creator>
  <cp:keywords/>
  <dc:description/>
  <cp:lastModifiedBy>Cook, Kristin (SPC)</cp:lastModifiedBy>
  <cp:revision>488</cp:revision>
  <dcterms:created xsi:type="dcterms:W3CDTF">2025-03-20T13:44:00Z</dcterms:created>
  <dcterms:modified xsi:type="dcterms:W3CDTF">2025-07-03T14:14:00Z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2025-02-24T17:29:16Z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1b50d964-291c-4e9f-a23b-8baf8ad65ef5</vt:lpwstr>
  </property>
  <property fmtid="{D5CDD505-2E9C-101B-9397-08002B2CF9AE}" pid="8" name="MSIP_Label_ed3826ce-7c18-471d-9596-93de5bae332e_ContentBits">
    <vt:lpwstr>0</vt:lpwstr>
  </property>
</Properties>
</file>