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rsidRPr="00A04D4B" w14:paraId="5F324866" w14:textId="77777777">
        <w:tc>
          <w:tcPr>
            <w:tcW w:w="1620" w:type="dxa"/>
            <w:tcBorders>
              <w:bottom w:val="single" w:sz="4" w:space="0" w:color="auto"/>
            </w:tcBorders>
            <w:shd w:val="clear" w:color="auto" w:fill="FFFFFF"/>
            <w:vAlign w:val="center"/>
          </w:tcPr>
          <w:p w14:paraId="47CD654F" w14:textId="77777777" w:rsidR="00152993" w:rsidRPr="00A04D4B" w:rsidRDefault="00EE6681">
            <w:pPr>
              <w:pStyle w:val="Header"/>
              <w:rPr>
                <w:rFonts w:ascii="Verdana" w:hAnsi="Verdana"/>
                <w:sz w:val="22"/>
              </w:rPr>
            </w:pPr>
            <w:r w:rsidRPr="00A04D4B">
              <w:t>N</w:t>
            </w:r>
            <w:r w:rsidR="00152993" w:rsidRPr="00A04D4B">
              <w:t>PRR Number</w:t>
            </w:r>
          </w:p>
        </w:tc>
        <w:tc>
          <w:tcPr>
            <w:tcW w:w="1260" w:type="dxa"/>
            <w:tcBorders>
              <w:bottom w:val="single" w:sz="4" w:space="0" w:color="auto"/>
            </w:tcBorders>
            <w:vAlign w:val="center"/>
          </w:tcPr>
          <w:p w14:paraId="2DB46F40" w14:textId="54982E7F" w:rsidR="00152993" w:rsidRPr="00A04D4B" w:rsidRDefault="009B64BE">
            <w:pPr>
              <w:pStyle w:val="Header"/>
            </w:pPr>
            <w:hyperlink r:id="rId8" w:history="1">
              <w:r w:rsidRPr="00674F77">
                <w:rPr>
                  <w:rStyle w:val="Hyperlink"/>
                </w:rPr>
                <w:t>1282</w:t>
              </w:r>
            </w:hyperlink>
          </w:p>
        </w:tc>
        <w:tc>
          <w:tcPr>
            <w:tcW w:w="900" w:type="dxa"/>
            <w:tcBorders>
              <w:bottom w:val="single" w:sz="4" w:space="0" w:color="auto"/>
            </w:tcBorders>
            <w:shd w:val="clear" w:color="auto" w:fill="FFFFFF"/>
            <w:vAlign w:val="center"/>
          </w:tcPr>
          <w:p w14:paraId="7E1CC522" w14:textId="77777777" w:rsidR="00152993" w:rsidRPr="00A04D4B" w:rsidRDefault="00EE6681">
            <w:pPr>
              <w:pStyle w:val="Header"/>
            </w:pPr>
            <w:r w:rsidRPr="00A04D4B">
              <w:t>N</w:t>
            </w:r>
            <w:r w:rsidR="00152993" w:rsidRPr="00A04D4B">
              <w:t>PRR Title</w:t>
            </w:r>
          </w:p>
        </w:tc>
        <w:tc>
          <w:tcPr>
            <w:tcW w:w="6660" w:type="dxa"/>
            <w:tcBorders>
              <w:bottom w:val="single" w:sz="4" w:space="0" w:color="auto"/>
            </w:tcBorders>
            <w:vAlign w:val="center"/>
          </w:tcPr>
          <w:p w14:paraId="30C3B638" w14:textId="77777777" w:rsidR="00152993" w:rsidRPr="00A04D4B" w:rsidRDefault="009B64BE">
            <w:pPr>
              <w:pStyle w:val="Header"/>
            </w:pPr>
            <w:r w:rsidRPr="00A04D4B">
              <w:t xml:space="preserve">Ancillary Service Duration Under Real-time Co-optimization </w:t>
            </w:r>
          </w:p>
        </w:tc>
      </w:tr>
      <w:tr w:rsidR="00152993" w:rsidRPr="00A04D4B" w14:paraId="52380AFD" w14:textId="77777777">
        <w:trPr>
          <w:trHeight w:val="413"/>
        </w:trPr>
        <w:tc>
          <w:tcPr>
            <w:tcW w:w="2880" w:type="dxa"/>
            <w:gridSpan w:val="2"/>
            <w:tcBorders>
              <w:top w:val="nil"/>
              <w:left w:val="nil"/>
              <w:bottom w:val="single" w:sz="4" w:space="0" w:color="auto"/>
              <w:right w:val="nil"/>
            </w:tcBorders>
            <w:vAlign w:val="center"/>
          </w:tcPr>
          <w:p w14:paraId="27106AE4" w14:textId="77777777" w:rsidR="00152993" w:rsidRPr="00A04D4B" w:rsidRDefault="00152993">
            <w:pPr>
              <w:pStyle w:val="NormalArial"/>
            </w:pPr>
          </w:p>
        </w:tc>
        <w:tc>
          <w:tcPr>
            <w:tcW w:w="7560" w:type="dxa"/>
            <w:gridSpan w:val="2"/>
            <w:tcBorders>
              <w:top w:val="single" w:sz="4" w:space="0" w:color="auto"/>
              <w:left w:val="nil"/>
              <w:bottom w:val="nil"/>
              <w:right w:val="nil"/>
            </w:tcBorders>
            <w:vAlign w:val="center"/>
          </w:tcPr>
          <w:p w14:paraId="3BE16DA4" w14:textId="77777777" w:rsidR="00152993" w:rsidRPr="00A04D4B" w:rsidRDefault="00152993">
            <w:pPr>
              <w:pStyle w:val="NormalArial"/>
            </w:pPr>
          </w:p>
        </w:tc>
      </w:tr>
      <w:tr w:rsidR="00152993" w:rsidRPr="00A04D4B" w14:paraId="4DA9100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B0A60A7" w14:textId="77777777" w:rsidR="00152993" w:rsidRPr="00A04D4B" w:rsidRDefault="00152993">
            <w:pPr>
              <w:pStyle w:val="Header"/>
            </w:pPr>
            <w:r w:rsidRPr="00A04D4B">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2AD137" w14:textId="1CEC35F6" w:rsidR="00152993" w:rsidRPr="00A04D4B" w:rsidRDefault="009B64BE">
            <w:pPr>
              <w:pStyle w:val="NormalArial"/>
            </w:pPr>
            <w:r w:rsidRPr="00A04D4B">
              <w:t xml:space="preserve">June </w:t>
            </w:r>
            <w:r w:rsidR="004E710B" w:rsidRPr="00A04D4B">
              <w:t>1</w:t>
            </w:r>
            <w:r w:rsidR="00561CBA">
              <w:t>8</w:t>
            </w:r>
            <w:r w:rsidRPr="00A04D4B">
              <w:t>, 2025</w:t>
            </w:r>
          </w:p>
        </w:tc>
      </w:tr>
      <w:tr w:rsidR="00152993" w:rsidRPr="00A04D4B" w14:paraId="260B62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69D9EA8F" w14:textId="77777777" w:rsidR="00152993" w:rsidRPr="00A04D4B" w:rsidRDefault="00152993">
            <w:pPr>
              <w:pStyle w:val="NormalArial"/>
            </w:pPr>
          </w:p>
        </w:tc>
        <w:tc>
          <w:tcPr>
            <w:tcW w:w="7560" w:type="dxa"/>
            <w:gridSpan w:val="2"/>
            <w:tcBorders>
              <w:top w:val="nil"/>
              <w:left w:val="nil"/>
              <w:bottom w:val="nil"/>
              <w:right w:val="nil"/>
            </w:tcBorders>
            <w:vAlign w:val="center"/>
          </w:tcPr>
          <w:p w14:paraId="68086B5B" w14:textId="77777777" w:rsidR="00152993" w:rsidRPr="00A04D4B" w:rsidRDefault="00152993">
            <w:pPr>
              <w:pStyle w:val="NormalArial"/>
            </w:pPr>
          </w:p>
        </w:tc>
      </w:tr>
      <w:tr w:rsidR="00152993" w:rsidRPr="00A04D4B" w14:paraId="6706D762" w14:textId="77777777">
        <w:trPr>
          <w:trHeight w:val="440"/>
        </w:trPr>
        <w:tc>
          <w:tcPr>
            <w:tcW w:w="10440" w:type="dxa"/>
            <w:gridSpan w:val="4"/>
            <w:tcBorders>
              <w:top w:val="single" w:sz="4" w:space="0" w:color="auto"/>
            </w:tcBorders>
            <w:shd w:val="clear" w:color="auto" w:fill="FFFFFF"/>
            <w:vAlign w:val="center"/>
          </w:tcPr>
          <w:p w14:paraId="1DBFED7F" w14:textId="77777777" w:rsidR="00152993" w:rsidRPr="00A04D4B" w:rsidRDefault="00152993">
            <w:pPr>
              <w:pStyle w:val="Header"/>
              <w:jc w:val="center"/>
            </w:pPr>
            <w:r w:rsidRPr="00A04D4B">
              <w:t>Submitter’s Information</w:t>
            </w:r>
          </w:p>
        </w:tc>
      </w:tr>
      <w:tr w:rsidR="00152993" w:rsidRPr="00A04D4B" w14:paraId="42D8A22B" w14:textId="77777777">
        <w:trPr>
          <w:trHeight w:val="350"/>
        </w:trPr>
        <w:tc>
          <w:tcPr>
            <w:tcW w:w="2880" w:type="dxa"/>
            <w:gridSpan w:val="2"/>
            <w:shd w:val="clear" w:color="auto" w:fill="FFFFFF"/>
            <w:vAlign w:val="center"/>
          </w:tcPr>
          <w:p w14:paraId="0C81B7ED" w14:textId="77777777" w:rsidR="00152993" w:rsidRPr="00A04D4B" w:rsidRDefault="00152993" w:rsidP="00EC55B3">
            <w:pPr>
              <w:pStyle w:val="Header"/>
            </w:pPr>
            <w:r w:rsidRPr="00A04D4B">
              <w:t>Name</w:t>
            </w:r>
          </w:p>
        </w:tc>
        <w:tc>
          <w:tcPr>
            <w:tcW w:w="7560" w:type="dxa"/>
            <w:gridSpan w:val="2"/>
            <w:vAlign w:val="center"/>
          </w:tcPr>
          <w:p w14:paraId="6779B319" w14:textId="77777777" w:rsidR="00152993" w:rsidRPr="00A04D4B" w:rsidRDefault="009B64BE">
            <w:pPr>
              <w:pStyle w:val="NormalArial"/>
            </w:pPr>
            <w:r w:rsidRPr="00A04D4B">
              <w:t>Caitlin Smith</w:t>
            </w:r>
          </w:p>
        </w:tc>
      </w:tr>
      <w:tr w:rsidR="00152993" w:rsidRPr="00A04D4B" w14:paraId="23CE214B" w14:textId="77777777">
        <w:trPr>
          <w:trHeight w:val="350"/>
        </w:trPr>
        <w:tc>
          <w:tcPr>
            <w:tcW w:w="2880" w:type="dxa"/>
            <w:gridSpan w:val="2"/>
            <w:shd w:val="clear" w:color="auto" w:fill="FFFFFF"/>
            <w:vAlign w:val="center"/>
          </w:tcPr>
          <w:p w14:paraId="0BD22E88" w14:textId="77777777" w:rsidR="00152993" w:rsidRPr="00A04D4B" w:rsidRDefault="00152993" w:rsidP="00EC55B3">
            <w:pPr>
              <w:pStyle w:val="Header"/>
            </w:pPr>
            <w:r w:rsidRPr="00A04D4B">
              <w:t>E-mail Address</w:t>
            </w:r>
          </w:p>
        </w:tc>
        <w:tc>
          <w:tcPr>
            <w:tcW w:w="7560" w:type="dxa"/>
            <w:gridSpan w:val="2"/>
            <w:vAlign w:val="center"/>
          </w:tcPr>
          <w:p w14:paraId="194FC1E5" w14:textId="77777777" w:rsidR="00152993" w:rsidRPr="00A04D4B" w:rsidRDefault="009B64BE">
            <w:pPr>
              <w:pStyle w:val="NormalArial"/>
            </w:pPr>
            <w:hyperlink r:id="rId9" w:history="1">
              <w:r w:rsidRPr="00A04D4B">
                <w:rPr>
                  <w:rStyle w:val="Hyperlink"/>
                </w:rPr>
                <w:t>Caitlin.Smith@JupiterPower.io</w:t>
              </w:r>
            </w:hyperlink>
          </w:p>
        </w:tc>
      </w:tr>
      <w:tr w:rsidR="00152993" w:rsidRPr="00A04D4B" w14:paraId="46F4EAED" w14:textId="77777777">
        <w:trPr>
          <w:trHeight w:val="350"/>
        </w:trPr>
        <w:tc>
          <w:tcPr>
            <w:tcW w:w="2880" w:type="dxa"/>
            <w:gridSpan w:val="2"/>
            <w:shd w:val="clear" w:color="auto" w:fill="FFFFFF"/>
            <w:vAlign w:val="center"/>
          </w:tcPr>
          <w:p w14:paraId="35E00F71" w14:textId="77777777" w:rsidR="00152993" w:rsidRPr="00A04D4B" w:rsidRDefault="00152993" w:rsidP="00EC55B3">
            <w:pPr>
              <w:pStyle w:val="Header"/>
            </w:pPr>
            <w:r w:rsidRPr="00A04D4B">
              <w:t>Company</w:t>
            </w:r>
          </w:p>
        </w:tc>
        <w:tc>
          <w:tcPr>
            <w:tcW w:w="7560" w:type="dxa"/>
            <w:gridSpan w:val="2"/>
            <w:vAlign w:val="center"/>
          </w:tcPr>
          <w:p w14:paraId="6FBD29AE" w14:textId="77777777" w:rsidR="00152993" w:rsidRPr="00A04D4B" w:rsidRDefault="009B64BE">
            <w:pPr>
              <w:pStyle w:val="NormalArial"/>
            </w:pPr>
            <w:r w:rsidRPr="00A04D4B">
              <w:t>Jupiter Power LLC</w:t>
            </w:r>
          </w:p>
        </w:tc>
      </w:tr>
      <w:tr w:rsidR="00152993" w:rsidRPr="00A04D4B" w14:paraId="6F04EB10" w14:textId="77777777">
        <w:trPr>
          <w:trHeight w:val="350"/>
        </w:trPr>
        <w:tc>
          <w:tcPr>
            <w:tcW w:w="2880" w:type="dxa"/>
            <w:gridSpan w:val="2"/>
            <w:tcBorders>
              <w:bottom w:val="single" w:sz="4" w:space="0" w:color="auto"/>
            </w:tcBorders>
            <w:shd w:val="clear" w:color="auto" w:fill="FFFFFF"/>
            <w:vAlign w:val="center"/>
          </w:tcPr>
          <w:p w14:paraId="3CE56389" w14:textId="77777777" w:rsidR="00152993" w:rsidRPr="00A04D4B" w:rsidRDefault="00152993" w:rsidP="00EC55B3">
            <w:pPr>
              <w:pStyle w:val="Header"/>
            </w:pPr>
            <w:r w:rsidRPr="00A04D4B">
              <w:t>Phone Number</w:t>
            </w:r>
          </w:p>
        </w:tc>
        <w:tc>
          <w:tcPr>
            <w:tcW w:w="7560" w:type="dxa"/>
            <w:gridSpan w:val="2"/>
            <w:tcBorders>
              <w:bottom w:val="single" w:sz="4" w:space="0" w:color="auto"/>
            </w:tcBorders>
            <w:vAlign w:val="center"/>
          </w:tcPr>
          <w:p w14:paraId="472845A7" w14:textId="77777777" w:rsidR="00152993" w:rsidRPr="00A04D4B" w:rsidRDefault="00152993">
            <w:pPr>
              <w:pStyle w:val="NormalArial"/>
            </w:pPr>
          </w:p>
        </w:tc>
      </w:tr>
      <w:tr w:rsidR="00152993" w:rsidRPr="00A04D4B" w14:paraId="687691B3" w14:textId="77777777">
        <w:trPr>
          <w:trHeight w:val="350"/>
        </w:trPr>
        <w:tc>
          <w:tcPr>
            <w:tcW w:w="2880" w:type="dxa"/>
            <w:gridSpan w:val="2"/>
            <w:shd w:val="clear" w:color="auto" w:fill="FFFFFF"/>
            <w:vAlign w:val="center"/>
          </w:tcPr>
          <w:p w14:paraId="2ABAA506" w14:textId="77777777" w:rsidR="00152993" w:rsidRPr="00A04D4B" w:rsidRDefault="00075A94" w:rsidP="00EC55B3">
            <w:pPr>
              <w:pStyle w:val="Header"/>
            </w:pPr>
            <w:r w:rsidRPr="00A04D4B">
              <w:t xml:space="preserve">Cell </w:t>
            </w:r>
            <w:r w:rsidR="00152993" w:rsidRPr="00A04D4B">
              <w:t>Number</w:t>
            </w:r>
          </w:p>
        </w:tc>
        <w:tc>
          <w:tcPr>
            <w:tcW w:w="7560" w:type="dxa"/>
            <w:gridSpan w:val="2"/>
            <w:vAlign w:val="center"/>
          </w:tcPr>
          <w:p w14:paraId="55599359" w14:textId="0D94D8BC" w:rsidR="00152993" w:rsidRPr="00A04D4B" w:rsidRDefault="009B64BE">
            <w:pPr>
              <w:pStyle w:val="NormalArial"/>
            </w:pPr>
            <w:r w:rsidRPr="00A04D4B">
              <w:t>(832)</w:t>
            </w:r>
            <w:r w:rsidR="00561CBA">
              <w:t xml:space="preserve"> </w:t>
            </w:r>
            <w:r w:rsidRPr="00A04D4B">
              <w:t>326-1238</w:t>
            </w:r>
          </w:p>
        </w:tc>
      </w:tr>
      <w:tr w:rsidR="00075A94" w:rsidRPr="00A04D4B" w14:paraId="3F19B0A8" w14:textId="77777777">
        <w:trPr>
          <w:trHeight w:val="350"/>
        </w:trPr>
        <w:tc>
          <w:tcPr>
            <w:tcW w:w="2880" w:type="dxa"/>
            <w:gridSpan w:val="2"/>
            <w:tcBorders>
              <w:bottom w:val="single" w:sz="4" w:space="0" w:color="auto"/>
            </w:tcBorders>
            <w:shd w:val="clear" w:color="auto" w:fill="FFFFFF"/>
            <w:vAlign w:val="center"/>
          </w:tcPr>
          <w:p w14:paraId="27C06E19" w14:textId="77777777" w:rsidR="00075A94" w:rsidRPr="00A04D4B" w:rsidDel="00075A94" w:rsidRDefault="00075A94" w:rsidP="00EC55B3">
            <w:pPr>
              <w:pStyle w:val="Header"/>
            </w:pPr>
            <w:r w:rsidRPr="00A04D4B">
              <w:t>Market Segment</w:t>
            </w:r>
          </w:p>
        </w:tc>
        <w:tc>
          <w:tcPr>
            <w:tcW w:w="7560" w:type="dxa"/>
            <w:gridSpan w:val="2"/>
            <w:tcBorders>
              <w:bottom w:val="single" w:sz="4" w:space="0" w:color="auto"/>
            </w:tcBorders>
            <w:vAlign w:val="center"/>
          </w:tcPr>
          <w:p w14:paraId="1C4C8868" w14:textId="77777777" w:rsidR="00075A94" w:rsidRPr="00A04D4B" w:rsidRDefault="009B64BE">
            <w:pPr>
              <w:pStyle w:val="NormalArial"/>
            </w:pPr>
            <w:r w:rsidRPr="00A04D4B">
              <w:t>Independent Generator</w:t>
            </w:r>
          </w:p>
        </w:tc>
      </w:tr>
    </w:tbl>
    <w:p w14:paraId="579B03AF"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4F77" w:rsidRPr="00A04D4B" w14:paraId="508A7C41" w14:textId="77777777" w:rsidTr="005B2656">
        <w:trPr>
          <w:trHeight w:val="350"/>
        </w:trPr>
        <w:tc>
          <w:tcPr>
            <w:tcW w:w="10440" w:type="dxa"/>
            <w:tcBorders>
              <w:bottom w:val="single" w:sz="4" w:space="0" w:color="auto"/>
            </w:tcBorders>
            <w:shd w:val="clear" w:color="auto" w:fill="FFFFFF"/>
            <w:vAlign w:val="center"/>
          </w:tcPr>
          <w:p w14:paraId="7D480F93" w14:textId="66F232BD" w:rsidR="00674F77" w:rsidRPr="00674F77" w:rsidRDefault="00674F77" w:rsidP="005B2656">
            <w:pPr>
              <w:pStyle w:val="Header"/>
              <w:jc w:val="center"/>
            </w:pPr>
            <w:r>
              <w:t>Comments</w:t>
            </w:r>
          </w:p>
        </w:tc>
      </w:tr>
    </w:tbl>
    <w:p w14:paraId="1FFB6FDB" w14:textId="77777777" w:rsidR="00152993" w:rsidRPr="00A04D4B" w:rsidRDefault="00152993" w:rsidP="00780326">
      <w:pPr>
        <w:pStyle w:val="NormalArial"/>
        <w:jc w:val="both"/>
      </w:pPr>
    </w:p>
    <w:p w14:paraId="0BFEF675" w14:textId="07DB30BA" w:rsidR="00BD7258" w:rsidRPr="00A04D4B" w:rsidRDefault="009B64BE" w:rsidP="00780326">
      <w:pPr>
        <w:pStyle w:val="NormalArial"/>
        <w:jc w:val="both"/>
      </w:pPr>
      <w:r w:rsidRPr="00A04D4B">
        <w:t>Jupiter Power LLC (“Jupiter Power” or “Jupiter”) respectfully submits th</w:t>
      </w:r>
      <w:r w:rsidR="00557704" w:rsidRPr="00A04D4B">
        <w:t>ese</w:t>
      </w:r>
      <w:r w:rsidRPr="00A04D4B">
        <w:t xml:space="preserve"> comments</w:t>
      </w:r>
      <w:r w:rsidR="00E9257F" w:rsidRPr="00A04D4B">
        <w:t xml:space="preserve"> to Nodal Protocol Revision Request (“NPRR”) 1282</w:t>
      </w:r>
      <w:r w:rsidR="00674F77">
        <w:t xml:space="preserve"> </w:t>
      </w:r>
      <w:r w:rsidRPr="00A04D4B">
        <w:t>for consideration at the June ERCOT Board of Directors</w:t>
      </w:r>
      <w:r w:rsidR="00AD3F6A" w:rsidRPr="00A04D4B">
        <w:t>’</w:t>
      </w:r>
      <w:r w:rsidRPr="00A04D4B">
        <w:t xml:space="preserve"> meeting. </w:t>
      </w:r>
    </w:p>
    <w:p w14:paraId="4F41AE6F" w14:textId="77777777" w:rsidR="00EA0338" w:rsidRPr="00A04D4B" w:rsidRDefault="00EA0338" w:rsidP="00780326">
      <w:pPr>
        <w:pStyle w:val="NormalArial"/>
        <w:jc w:val="both"/>
      </w:pPr>
    </w:p>
    <w:p w14:paraId="0BADF31C" w14:textId="23ABA0DF" w:rsidR="006A163C" w:rsidRPr="00A04D4B" w:rsidRDefault="00EA0338" w:rsidP="00780326">
      <w:pPr>
        <w:pStyle w:val="NormalArial"/>
        <w:jc w:val="both"/>
      </w:pPr>
      <w:r w:rsidRPr="00A04D4B">
        <w:t xml:space="preserve">Jupiter Power appreciates the effort over the last several years by stakeholders, ERCOT staff, </w:t>
      </w:r>
      <w:r w:rsidR="00134766" w:rsidRPr="00A04D4B">
        <w:t xml:space="preserve">the </w:t>
      </w:r>
      <w:r w:rsidRPr="00A04D4B">
        <w:t>Public Utility Commissioners</w:t>
      </w:r>
      <w:r w:rsidR="00134766" w:rsidRPr="00A04D4B">
        <w:t xml:space="preserve"> of Texas (PUCT)</w:t>
      </w:r>
      <w:r w:rsidRPr="00A04D4B">
        <w:t xml:space="preserve">, </w:t>
      </w:r>
      <w:r w:rsidR="00134766" w:rsidRPr="00A04D4B">
        <w:t>PUCT</w:t>
      </w:r>
      <w:r w:rsidRPr="00A04D4B">
        <w:t xml:space="preserve"> </w:t>
      </w:r>
      <w:r w:rsidR="00674F77">
        <w:t>S</w:t>
      </w:r>
      <w:r w:rsidRPr="00A04D4B">
        <w:t xml:space="preserve">taff and the </w:t>
      </w:r>
      <w:r w:rsidR="00E57C6B" w:rsidRPr="00A04D4B">
        <w:t>Texas S</w:t>
      </w:r>
      <w:r w:rsidRPr="00A04D4B">
        <w:t xml:space="preserve">tate </w:t>
      </w:r>
      <w:r w:rsidR="00E57C6B" w:rsidRPr="00A04D4B">
        <w:t>L</w:t>
      </w:r>
      <w:r w:rsidRPr="00A04D4B">
        <w:t>egislature to implement Real-</w:t>
      </w:r>
      <w:r w:rsidR="005F33AC" w:rsidRPr="00A04D4B">
        <w:t>T</w:t>
      </w:r>
      <w:r w:rsidRPr="00A04D4B">
        <w:t>ime Co-optimization (RTC) and “single model”</w:t>
      </w:r>
      <w:r w:rsidRPr="00A04D4B">
        <w:rPr>
          <w:rStyle w:val="FootnoteReference"/>
        </w:rPr>
        <w:footnoteReference w:id="1"/>
      </w:r>
      <w:r w:rsidRPr="00A04D4B">
        <w:t xml:space="preserve"> storage by the end of this year. We do not intend to propose to delay timely implementation o</w:t>
      </w:r>
      <w:r w:rsidR="000B6097" w:rsidRPr="00A04D4B">
        <w:t>f RTC, rather</w:t>
      </w:r>
      <w:r w:rsidR="0014157F" w:rsidRPr="00A04D4B">
        <w:t>,</w:t>
      </w:r>
      <w:r w:rsidR="000B6097" w:rsidRPr="00A04D4B">
        <w:t xml:space="preserve"> </w:t>
      </w:r>
      <w:r w:rsidR="009D5A4C" w:rsidRPr="00A04D4B">
        <w:t xml:space="preserve">we </w:t>
      </w:r>
      <w:r w:rsidR="00433443" w:rsidRPr="00A04D4B">
        <w:t xml:space="preserve">believe it is necessary </w:t>
      </w:r>
      <w:r w:rsidR="009D5A4C" w:rsidRPr="00A04D4B">
        <w:t xml:space="preserve">to </w:t>
      </w:r>
      <w:r w:rsidR="009D5A4C" w:rsidRPr="00A04D4B">
        <w:lastRenderedPageBreak/>
        <w:t xml:space="preserve">comment at the Board of Directors’ meeting to ensure </w:t>
      </w:r>
      <w:r w:rsidR="00FB45E3" w:rsidRPr="00A04D4B">
        <w:t xml:space="preserve">thorough and effective deliberation of this technical </w:t>
      </w:r>
      <w:r w:rsidR="007A7FB4" w:rsidRPr="00A04D4B">
        <w:t xml:space="preserve">issue, which will impact </w:t>
      </w:r>
      <w:r w:rsidR="00487CBF" w:rsidRPr="00A04D4B">
        <w:t xml:space="preserve">both </w:t>
      </w:r>
      <w:r w:rsidR="007A7FB4" w:rsidRPr="00A04D4B">
        <w:t>reliability and market</w:t>
      </w:r>
      <w:r w:rsidR="00487CBF" w:rsidRPr="00A04D4B">
        <w:t xml:space="preserve"> pricing</w:t>
      </w:r>
      <w:r w:rsidR="007A7FB4" w:rsidRPr="00A04D4B">
        <w:t xml:space="preserve"> outcomes. NPRR1282 was filed </w:t>
      </w:r>
      <w:r w:rsidR="00877A75" w:rsidRPr="00A04D4B">
        <w:t>on April 29,</w:t>
      </w:r>
      <w:r w:rsidR="0046068B" w:rsidRPr="00A04D4B">
        <w:t xml:space="preserve"> 2025,</w:t>
      </w:r>
      <w:r w:rsidR="00877A75" w:rsidRPr="00A04D4B">
        <w:t xml:space="preserve"> less than two months </w:t>
      </w:r>
      <w:r w:rsidR="00A46EC6" w:rsidRPr="00A04D4B">
        <w:t>before</w:t>
      </w:r>
      <w:r w:rsidR="0005467C" w:rsidRPr="00A04D4B">
        <w:t xml:space="preserve"> its consideration at</w:t>
      </w:r>
      <w:r w:rsidR="00A46EC6" w:rsidRPr="00A04D4B">
        <w:t xml:space="preserve"> ERCOT Board</w:t>
      </w:r>
      <w:r w:rsidR="0014157F" w:rsidRPr="00A04D4B">
        <w:t>.</w:t>
      </w:r>
      <w:r w:rsidR="0082080F" w:rsidRPr="00A04D4B">
        <w:t xml:space="preserve"> In the </w:t>
      </w:r>
      <w:r w:rsidR="0005467C" w:rsidRPr="00A04D4B">
        <w:t xml:space="preserve">interim </w:t>
      </w:r>
      <w:r w:rsidR="0082080F" w:rsidRPr="00A04D4B">
        <w:t>time,</w:t>
      </w:r>
      <w:r w:rsidR="00D4747A" w:rsidRPr="00A04D4B">
        <w:t xml:space="preserve"> </w:t>
      </w:r>
      <w:r w:rsidR="0046068B" w:rsidRPr="00A04D4B">
        <w:t xml:space="preserve">three </w:t>
      </w:r>
      <w:r w:rsidR="00116788" w:rsidRPr="00A04D4B">
        <w:t>distinct</w:t>
      </w:r>
      <w:r w:rsidR="00877A75" w:rsidRPr="00A04D4B">
        <w:t xml:space="preserve"> </w:t>
      </w:r>
      <w:r w:rsidR="00116788" w:rsidRPr="00A04D4B">
        <w:t>compromise proposals were filed</w:t>
      </w:r>
      <w:r w:rsidR="00940B38" w:rsidRPr="00A04D4B">
        <w:t xml:space="preserve"> into the record</w:t>
      </w:r>
      <w:r w:rsidR="00116788" w:rsidRPr="00A04D4B">
        <w:t xml:space="preserve"> by </w:t>
      </w:r>
      <w:r w:rsidR="00674F77">
        <w:t>M</w:t>
      </w:r>
      <w:r w:rsidR="00611524" w:rsidRPr="00A04D4B">
        <w:t xml:space="preserve">arket </w:t>
      </w:r>
      <w:r w:rsidR="00674F77">
        <w:t>P</w:t>
      </w:r>
      <w:r w:rsidR="00611524" w:rsidRPr="00A04D4B">
        <w:t>articipants and the Independent Market Monitor (IMM)</w:t>
      </w:r>
      <w:r w:rsidR="00A46EC6" w:rsidRPr="00A04D4B">
        <w:rPr>
          <w:rStyle w:val="FootnoteReference"/>
        </w:rPr>
        <w:footnoteReference w:id="2"/>
      </w:r>
      <w:r w:rsidR="0082080F" w:rsidRPr="00A04D4B">
        <w:t xml:space="preserve"> as well as comments from ERCOT laying out two paths of considering NPRR1282</w:t>
      </w:r>
      <w:r w:rsidR="006A163C" w:rsidRPr="00A04D4B">
        <w:t>:</w:t>
      </w:r>
    </w:p>
    <w:p w14:paraId="0C254DB1" w14:textId="77777777" w:rsidR="006A163C" w:rsidRPr="00A04D4B" w:rsidRDefault="006A163C" w:rsidP="00780326">
      <w:pPr>
        <w:pStyle w:val="NormalArial"/>
        <w:jc w:val="both"/>
      </w:pPr>
    </w:p>
    <w:p w14:paraId="76D31394" w14:textId="77777777" w:rsidR="006A163C" w:rsidRPr="00A04D4B" w:rsidRDefault="006A163C" w:rsidP="00780326">
      <w:pPr>
        <w:pStyle w:val="NormalArial"/>
        <w:numPr>
          <w:ilvl w:val="0"/>
          <w:numId w:val="9"/>
        </w:numPr>
        <w:spacing w:before="120"/>
        <w:ind w:right="720" w:firstLine="0"/>
        <w:jc w:val="both"/>
      </w:pPr>
      <w:r w:rsidRPr="00A04D4B">
        <w:t>Consider NPRR1282 through the May Protocol Revision Subcommittee (PRS), May Technical Advisory Committee (TAC), and June 24 Board meeting.  Comments can continue to be considered and language potentially changed as part of what goes to the Board for consideration and approval.</w:t>
      </w:r>
    </w:p>
    <w:p w14:paraId="1AA30649" w14:textId="40FEE654" w:rsidR="006A163C" w:rsidRPr="00A04D4B" w:rsidRDefault="006A163C" w:rsidP="00780326">
      <w:pPr>
        <w:pStyle w:val="NormalArial"/>
        <w:numPr>
          <w:ilvl w:val="0"/>
          <w:numId w:val="9"/>
        </w:numPr>
        <w:spacing w:before="120"/>
        <w:ind w:right="720" w:firstLine="0"/>
        <w:jc w:val="both"/>
      </w:pPr>
      <w:r w:rsidRPr="00A04D4B">
        <w:t xml:space="preserve">Alternative proposals can go into a separate NPRR(s) with a stakeholder path of the September 23, 2025 Board meeting. </w:t>
      </w:r>
      <w:r w:rsidR="006052F1" w:rsidRPr="00A04D4B">
        <w:rPr>
          <w:rStyle w:val="FootnoteReference"/>
        </w:rPr>
        <w:footnoteReference w:id="3"/>
      </w:r>
      <w:r w:rsidRPr="00A04D4B">
        <w:t xml:space="preserve"> </w:t>
      </w:r>
    </w:p>
    <w:p w14:paraId="19881F49" w14:textId="77777777" w:rsidR="006052F1" w:rsidRPr="00A04D4B" w:rsidRDefault="006052F1" w:rsidP="00780326">
      <w:pPr>
        <w:pStyle w:val="NormalArial"/>
        <w:jc w:val="both"/>
      </w:pPr>
    </w:p>
    <w:p w14:paraId="50A8B5D9" w14:textId="6C8AF82E" w:rsidR="00940B38" w:rsidRPr="00A04D4B" w:rsidRDefault="006052F1" w:rsidP="00780326">
      <w:pPr>
        <w:pStyle w:val="NormalArial"/>
        <w:jc w:val="both"/>
      </w:pPr>
      <w:r w:rsidRPr="00A04D4B">
        <w:t>However, to date</w:t>
      </w:r>
      <w:r w:rsidR="00A27BDC" w:rsidRPr="00A04D4B">
        <w:t xml:space="preserve"> </w:t>
      </w:r>
      <w:r w:rsidR="00A740F6" w:rsidRPr="00A04D4B">
        <w:t xml:space="preserve">no edits </w:t>
      </w:r>
      <w:r w:rsidRPr="00A04D4B">
        <w:t>have been</w:t>
      </w:r>
      <w:r w:rsidR="00A740F6" w:rsidRPr="00A04D4B">
        <w:t xml:space="preserve"> proposed </w:t>
      </w:r>
      <w:r w:rsidR="00A06A50" w:rsidRPr="00A04D4B">
        <w:t xml:space="preserve">or agreed to by ERCOT </w:t>
      </w:r>
      <w:r w:rsidRPr="00A04D4B">
        <w:t>to address the co</w:t>
      </w:r>
      <w:r w:rsidR="003427D0" w:rsidRPr="00A04D4B">
        <w:t>mpromise</w:t>
      </w:r>
      <w:r w:rsidR="00E73402" w:rsidRPr="00A04D4B">
        <w:t xml:space="preserve"> </w:t>
      </w:r>
      <w:r w:rsidRPr="00A04D4B">
        <w:t>proposals</w:t>
      </w:r>
      <w:r w:rsidR="00C9610A" w:rsidRPr="00A04D4B">
        <w:t xml:space="preserve">. </w:t>
      </w:r>
      <w:r w:rsidR="007F37DE" w:rsidRPr="00A04D4B">
        <w:t>Although t</w:t>
      </w:r>
      <w:r w:rsidR="00B26483" w:rsidRPr="00A04D4B">
        <w:t xml:space="preserve">he </w:t>
      </w:r>
      <w:r w:rsidR="00B26483" w:rsidRPr="00A04D4B">
        <w:lastRenderedPageBreak/>
        <w:t xml:space="preserve">proposal </w:t>
      </w:r>
      <w:r w:rsidR="00C9610A" w:rsidRPr="00A04D4B">
        <w:t>from “Joint Commenters</w:t>
      </w:r>
      <w:r w:rsidR="00121811" w:rsidRPr="00A04D4B">
        <w:t>,</w:t>
      </w:r>
      <w:r w:rsidR="00C9610A" w:rsidRPr="00A04D4B">
        <w:t>”</w:t>
      </w:r>
      <w:r w:rsidR="00121811" w:rsidRPr="00A04D4B">
        <w:t xml:space="preserve"> including Jupiter Power, earned a 38% vote in favor at the May Technical Advisory Committee, across </w:t>
      </w:r>
      <w:r w:rsidR="00BB583E" w:rsidRPr="00A04D4B">
        <w:t>four different segments of stakeholders</w:t>
      </w:r>
      <w:r w:rsidR="008E456B" w:rsidRPr="00A04D4B">
        <w:t>,</w:t>
      </w:r>
      <w:r w:rsidR="008066E3" w:rsidRPr="00A04D4B">
        <w:t xml:space="preserve"> represent</w:t>
      </w:r>
      <w:r w:rsidR="008E456B" w:rsidRPr="00A04D4B">
        <w:t>ing</w:t>
      </w:r>
      <w:r w:rsidR="008066E3" w:rsidRPr="00A04D4B">
        <w:t xml:space="preserve"> significant cross-interest support</w:t>
      </w:r>
      <w:r w:rsidR="00BB583E" w:rsidRPr="00A04D4B">
        <w:t>,</w:t>
      </w:r>
      <w:r w:rsidR="00A06A50" w:rsidRPr="00A04D4B">
        <w:t xml:space="preserve"> </w:t>
      </w:r>
      <w:r w:rsidR="005F1D85" w:rsidRPr="00A04D4B">
        <w:t xml:space="preserve">ERCOT continued to support accelerated passage of </w:t>
      </w:r>
      <w:r w:rsidR="00A06A50" w:rsidRPr="00A04D4B">
        <w:t>the Technical Advisory Committee (TAC) passed version</w:t>
      </w:r>
      <w:r w:rsidR="00BB583E" w:rsidRPr="00A04D4B">
        <w:t xml:space="preserve"> in front of the Board today</w:t>
      </w:r>
      <w:r w:rsidR="00A06A50" w:rsidRPr="00A04D4B">
        <w:t xml:space="preserve"> is the</w:t>
      </w:r>
      <w:r w:rsidR="000A29BE" w:rsidRPr="00A04D4B">
        <w:t xml:space="preserve"> NPRR “as submitted.”</w:t>
      </w:r>
    </w:p>
    <w:p w14:paraId="06C68693" w14:textId="77777777" w:rsidR="000C4978" w:rsidRPr="00A04D4B" w:rsidRDefault="000C4978" w:rsidP="00780326">
      <w:pPr>
        <w:pStyle w:val="NormalArial"/>
        <w:jc w:val="both"/>
      </w:pPr>
    </w:p>
    <w:p w14:paraId="2C27260F" w14:textId="1ED22A28" w:rsidR="00FD4079" w:rsidRPr="00A04D4B" w:rsidRDefault="00FD4079" w:rsidP="00780326">
      <w:pPr>
        <w:pStyle w:val="NormalArial"/>
        <w:spacing w:after="240"/>
        <w:jc w:val="both"/>
        <w:rPr>
          <w:rFonts w:cs="Arial"/>
        </w:rPr>
      </w:pPr>
      <w:r w:rsidRPr="00A04D4B">
        <w:rPr>
          <w:rFonts w:cs="Arial"/>
        </w:rPr>
        <w:t xml:space="preserve">As proposed, NPRR1282 makes significant changes to the duration requirements for </w:t>
      </w:r>
      <w:r w:rsidR="00BA3516" w:rsidRPr="00A04D4B">
        <w:rPr>
          <w:rFonts w:cs="Arial"/>
        </w:rPr>
        <w:t xml:space="preserve">Energy Storage Resources (ESRs) </w:t>
      </w:r>
      <w:r w:rsidR="004F4F08" w:rsidRPr="00A04D4B">
        <w:rPr>
          <w:rFonts w:cs="Arial"/>
        </w:rPr>
        <w:t xml:space="preserve">providing </w:t>
      </w:r>
      <w:r w:rsidRPr="00A04D4B">
        <w:rPr>
          <w:rFonts w:cs="Arial"/>
        </w:rPr>
        <w:t xml:space="preserve">Ancillary Services under </w:t>
      </w:r>
      <w:r w:rsidR="00674F77">
        <w:rPr>
          <w:rFonts w:cs="Arial"/>
        </w:rPr>
        <w:t>RTC</w:t>
      </w:r>
      <w:r w:rsidRPr="00A04D4B">
        <w:rPr>
          <w:rFonts w:cs="Arial"/>
        </w:rPr>
        <w:t>.</w:t>
      </w:r>
      <w:r w:rsidRPr="00A04D4B">
        <w:rPr>
          <w:rStyle w:val="FootnoteReference"/>
          <w:rFonts w:cs="Arial"/>
        </w:rPr>
        <w:footnoteReference w:id="4"/>
      </w:r>
      <w:r w:rsidRPr="00A04D4B">
        <w:rPr>
          <w:rFonts w:cs="Arial"/>
        </w:rPr>
        <w:t xml:space="preserve"> ERCOT explains in its “Justification of Reason for Revision and Market Impacts”:</w:t>
      </w:r>
    </w:p>
    <w:p w14:paraId="74EBC8CA" w14:textId="77777777" w:rsidR="00FD4079" w:rsidRPr="00A04D4B" w:rsidRDefault="00FD4079" w:rsidP="00780326">
      <w:pPr>
        <w:pStyle w:val="NormalArial"/>
        <w:spacing w:after="240"/>
        <w:ind w:left="720" w:right="720"/>
        <w:jc w:val="both"/>
        <w:rPr>
          <w:rFonts w:cs="Arial"/>
        </w:rPr>
      </w:pPr>
      <w:r w:rsidRPr="00A04D4B">
        <w:rPr>
          <w:rFonts w:cs="Arial"/>
        </w:rPr>
        <w:t>In preparation for the new market paradigm to be implemented with RTC+B, ERCOT revisited the analysis that was conducted under NPRR1096, Require Sustained Two (2)-Hour Capability for ECRS and Four-Hour Capability for Non-Spin, and conducted additional analysist to determine appropriate duration requirements for Ancillary Service.</w:t>
      </w:r>
      <w:r w:rsidRPr="00A04D4B">
        <w:rPr>
          <w:rStyle w:val="FootnoteReference"/>
          <w:rFonts w:cs="Arial"/>
        </w:rPr>
        <w:footnoteReference w:id="5"/>
      </w:r>
      <w:r w:rsidRPr="00A04D4B">
        <w:rPr>
          <w:rFonts w:cs="Arial"/>
        </w:rPr>
        <w:t xml:space="preserve"> </w:t>
      </w:r>
    </w:p>
    <w:p w14:paraId="747D12F5" w14:textId="3D731F4F" w:rsidR="0063112A" w:rsidRPr="00A04D4B" w:rsidRDefault="00FD4079" w:rsidP="00780326">
      <w:pPr>
        <w:pStyle w:val="NormalArial"/>
        <w:spacing w:after="240"/>
        <w:jc w:val="both"/>
        <w:rPr>
          <w:rFonts w:cs="Arial"/>
        </w:rPr>
      </w:pPr>
      <w:r w:rsidRPr="00A04D4B">
        <w:rPr>
          <w:rFonts w:cs="Arial"/>
        </w:rPr>
        <w:t xml:space="preserve">However, NPRR1282 conflates two distinct concepts of “duration”: </w:t>
      </w:r>
      <w:r w:rsidRPr="00A04D4B">
        <w:rPr>
          <w:rFonts w:cs="Arial"/>
          <w:b/>
        </w:rPr>
        <w:t>(1)</w:t>
      </w:r>
      <w:r w:rsidRPr="00A04D4B">
        <w:rPr>
          <w:rFonts w:cs="Arial"/>
        </w:rPr>
        <w:t xml:space="preserve"> the </w:t>
      </w:r>
      <w:r w:rsidR="00BF25CA" w:rsidRPr="00A04D4B">
        <w:rPr>
          <w:rFonts w:cs="Arial"/>
          <w:b/>
          <w:bCs/>
        </w:rPr>
        <w:t xml:space="preserve">duration </w:t>
      </w:r>
      <w:r w:rsidRPr="00A04D4B">
        <w:rPr>
          <w:rFonts w:cs="Arial"/>
          <w:b/>
          <w:bCs/>
        </w:rPr>
        <w:t>qualification standard</w:t>
      </w:r>
      <w:r w:rsidR="00E3702B" w:rsidRPr="00A04D4B">
        <w:rPr>
          <w:rFonts w:cs="Arial"/>
        </w:rPr>
        <w:t xml:space="preserve"> or </w:t>
      </w:r>
      <w:r w:rsidRPr="00A04D4B">
        <w:rPr>
          <w:rFonts w:cs="Arial"/>
        </w:rPr>
        <w:t xml:space="preserve">how long an energy </w:t>
      </w:r>
      <w:r w:rsidRPr="00A04D4B">
        <w:rPr>
          <w:rFonts w:cs="Arial"/>
        </w:rPr>
        <w:lastRenderedPageBreak/>
        <w:t xml:space="preserve">storage resource (ESR) must be able to sustain output </w:t>
      </w:r>
      <w:r w:rsidR="00D0104A" w:rsidRPr="00A04D4B">
        <w:rPr>
          <w:rFonts w:cs="Arial"/>
        </w:rPr>
        <w:t xml:space="preserve">in order </w:t>
      </w:r>
      <w:r w:rsidRPr="00A04D4B">
        <w:rPr>
          <w:rFonts w:cs="Arial"/>
        </w:rPr>
        <w:t>to qualify to provide a given Ancillary Service (as addressed in NPRR1096, Ancillary Service Duration under Real-Time Co-Optimization</w:t>
      </w:r>
      <w:r w:rsidRPr="00A04D4B">
        <w:rPr>
          <w:rStyle w:val="FootnoteReference"/>
          <w:rFonts w:cs="Arial"/>
        </w:rPr>
        <w:footnoteReference w:id="6"/>
      </w:r>
      <w:r w:rsidRPr="00A04D4B">
        <w:rPr>
          <w:rFonts w:cs="Arial"/>
        </w:rPr>
        <w:t xml:space="preserve">); and </w:t>
      </w:r>
      <w:r w:rsidRPr="00A04D4B">
        <w:rPr>
          <w:rFonts w:cs="Arial"/>
          <w:b/>
        </w:rPr>
        <w:t>(2)</w:t>
      </w:r>
      <w:r w:rsidRPr="00A04D4B">
        <w:rPr>
          <w:rFonts w:cs="Arial"/>
        </w:rPr>
        <w:t xml:space="preserve"> the </w:t>
      </w:r>
      <w:r w:rsidR="001A79D7" w:rsidRPr="00A04D4B">
        <w:rPr>
          <w:rFonts w:cs="Arial"/>
        </w:rPr>
        <w:t>R</w:t>
      </w:r>
      <w:r w:rsidRPr="00A04D4B">
        <w:rPr>
          <w:rFonts w:cs="Arial"/>
        </w:rPr>
        <w:t>eal-</w:t>
      </w:r>
      <w:r w:rsidR="001A79D7" w:rsidRPr="00A04D4B">
        <w:rPr>
          <w:rFonts w:cs="Arial"/>
        </w:rPr>
        <w:t>T</w:t>
      </w:r>
      <w:r w:rsidRPr="00A04D4B">
        <w:rPr>
          <w:rFonts w:cs="Arial"/>
        </w:rPr>
        <w:t xml:space="preserve">ime </w:t>
      </w:r>
      <w:r w:rsidR="00EB0E86" w:rsidRPr="00A04D4B">
        <w:rPr>
          <w:rFonts w:cs="Arial"/>
          <w:b/>
          <w:bCs/>
        </w:rPr>
        <w:t>S</w:t>
      </w:r>
      <w:r w:rsidRPr="00A04D4B">
        <w:rPr>
          <w:rFonts w:cs="Arial"/>
          <w:b/>
          <w:bCs/>
        </w:rPr>
        <w:t xml:space="preserve">tate of </w:t>
      </w:r>
      <w:r w:rsidR="00EB0E86" w:rsidRPr="00A04D4B">
        <w:rPr>
          <w:rFonts w:cs="Arial"/>
          <w:b/>
          <w:bCs/>
        </w:rPr>
        <w:t>C</w:t>
      </w:r>
      <w:r w:rsidRPr="00A04D4B">
        <w:rPr>
          <w:rFonts w:cs="Arial"/>
          <w:b/>
          <w:bCs/>
        </w:rPr>
        <w:t xml:space="preserve">harge (SOC) requirement </w:t>
      </w:r>
      <w:r w:rsidRPr="00A04D4B">
        <w:rPr>
          <w:rFonts w:cs="Arial"/>
        </w:rPr>
        <w:t>under RTC-</w:t>
      </w:r>
      <w:r w:rsidR="00B51CA1" w:rsidRPr="00A04D4B">
        <w:rPr>
          <w:rFonts w:cs="Arial"/>
        </w:rPr>
        <w:t xml:space="preserve"> Security</w:t>
      </w:r>
      <w:r w:rsidR="00FA793B" w:rsidRPr="00A04D4B">
        <w:rPr>
          <w:rFonts w:cs="Arial"/>
        </w:rPr>
        <w:t xml:space="preserve">-Constrained Economic </w:t>
      </w:r>
      <w:r w:rsidR="00DB52AC" w:rsidRPr="00A04D4B">
        <w:rPr>
          <w:rFonts w:cs="Arial"/>
        </w:rPr>
        <w:t>Dispatch</w:t>
      </w:r>
      <w:r w:rsidR="004C6C05" w:rsidRPr="00A04D4B">
        <w:rPr>
          <w:rFonts w:cs="Arial"/>
        </w:rPr>
        <w:t xml:space="preserve"> (</w:t>
      </w:r>
      <w:r w:rsidRPr="00A04D4B">
        <w:rPr>
          <w:rFonts w:cs="Arial"/>
        </w:rPr>
        <w:t>SCED</w:t>
      </w:r>
      <w:r w:rsidR="004C6C05" w:rsidRPr="00A04D4B">
        <w:rPr>
          <w:rFonts w:cs="Arial"/>
        </w:rPr>
        <w:t>)</w:t>
      </w:r>
      <w:r w:rsidRPr="00A04D4B">
        <w:rPr>
          <w:rFonts w:cs="Arial"/>
        </w:rPr>
        <w:t xml:space="preserve">—how much energy must be held in </w:t>
      </w:r>
      <w:r w:rsidR="001A79D7" w:rsidRPr="00A04D4B">
        <w:rPr>
          <w:rFonts w:cs="Arial"/>
        </w:rPr>
        <w:t>R</w:t>
      </w:r>
      <w:r w:rsidRPr="00A04D4B">
        <w:rPr>
          <w:rFonts w:cs="Arial"/>
        </w:rPr>
        <w:t>eal-</w:t>
      </w:r>
      <w:r w:rsidR="00EB0E86" w:rsidRPr="00A04D4B">
        <w:rPr>
          <w:rFonts w:cs="Arial"/>
        </w:rPr>
        <w:t>T</w:t>
      </w:r>
      <w:r w:rsidRPr="00A04D4B">
        <w:rPr>
          <w:rFonts w:cs="Arial"/>
        </w:rPr>
        <w:t xml:space="preserve">ime for a </w:t>
      </w:r>
      <w:r w:rsidR="00866BCD" w:rsidRPr="00A04D4B">
        <w:rPr>
          <w:rFonts w:cs="Arial"/>
        </w:rPr>
        <w:t>five</w:t>
      </w:r>
      <w:r w:rsidRPr="00A04D4B">
        <w:rPr>
          <w:rFonts w:cs="Arial"/>
        </w:rPr>
        <w:t>-minute award. To suggest that NPRR1282 merely</w:t>
      </w:r>
      <w:r w:rsidR="00015B2E" w:rsidRPr="00A04D4B">
        <w:rPr>
          <w:rFonts w:cs="Arial"/>
        </w:rPr>
        <w:t xml:space="preserve"> </w:t>
      </w:r>
      <w:r w:rsidRPr="00A04D4B">
        <w:rPr>
          <w:rFonts w:cs="Arial"/>
        </w:rPr>
        <w:t xml:space="preserve">“revisits” duration requirements set in NPRR1096, is misleading and </w:t>
      </w:r>
      <w:r w:rsidR="00042EA2" w:rsidRPr="00A04D4B">
        <w:rPr>
          <w:rFonts w:cs="Arial"/>
        </w:rPr>
        <w:t xml:space="preserve">ignores the hard-earned </w:t>
      </w:r>
      <w:r w:rsidRPr="00A04D4B">
        <w:rPr>
          <w:rFonts w:cs="Arial"/>
        </w:rPr>
        <w:t xml:space="preserve">policy implications </w:t>
      </w:r>
      <w:r w:rsidR="00D0104A" w:rsidRPr="00A04D4B">
        <w:rPr>
          <w:rFonts w:cs="Arial"/>
        </w:rPr>
        <w:t>that are parallel</w:t>
      </w:r>
      <w:r w:rsidR="008C075E" w:rsidRPr="00A04D4B">
        <w:rPr>
          <w:rFonts w:cs="Arial"/>
        </w:rPr>
        <w:t xml:space="preserve"> to state of charge</w:t>
      </w:r>
      <w:r w:rsidR="00A440B9" w:rsidRPr="00A04D4B">
        <w:rPr>
          <w:rFonts w:cs="Arial"/>
        </w:rPr>
        <w:t xml:space="preserve"> under the current market,</w:t>
      </w:r>
      <w:r w:rsidR="008C075E" w:rsidRPr="00A04D4B">
        <w:rPr>
          <w:rFonts w:cs="Arial"/>
        </w:rPr>
        <w:t xml:space="preserve"> </w:t>
      </w:r>
      <w:r w:rsidR="00A440B9" w:rsidRPr="00A04D4B">
        <w:rPr>
          <w:rFonts w:cs="Arial"/>
        </w:rPr>
        <w:t>implemented through</w:t>
      </w:r>
      <w:r w:rsidR="008C075E" w:rsidRPr="00A04D4B">
        <w:rPr>
          <w:rFonts w:cs="Arial"/>
        </w:rPr>
        <w:t xml:space="preserve"> NPRR1186</w:t>
      </w:r>
      <w:r w:rsidRPr="00A04D4B">
        <w:rPr>
          <w:rFonts w:cs="Arial"/>
        </w:rPr>
        <w:t xml:space="preserve">. NPRR1282 does not simply update qualification standards—it </w:t>
      </w:r>
      <w:r w:rsidR="00D220EF" w:rsidRPr="00A04D4B">
        <w:rPr>
          <w:rFonts w:cs="Arial"/>
        </w:rPr>
        <w:t>restricts how</w:t>
      </w:r>
      <w:r w:rsidRPr="00A04D4B">
        <w:rPr>
          <w:rFonts w:cs="Arial"/>
        </w:rPr>
        <w:t xml:space="preserve"> ESRs</w:t>
      </w:r>
      <w:r w:rsidR="00D220EF" w:rsidRPr="00A04D4B">
        <w:rPr>
          <w:rFonts w:cs="Arial"/>
        </w:rPr>
        <w:t xml:space="preserve"> will be awarded </w:t>
      </w:r>
      <w:r w:rsidR="004F1F37" w:rsidRPr="00A04D4B">
        <w:rPr>
          <w:rFonts w:cs="Arial"/>
        </w:rPr>
        <w:t>A</w:t>
      </w:r>
      <w:r w:rsidR="00D220EF" w:rsidRPr="00A04D4B">
        <w:rPr>
          <w:rFonts w:cs="Arial"/>
        </w:rPr>
        <w:t xml:space="preserve">ncillary </w:t>
      </w:r>
      <w:r w:rsidR="004F1F37" w:rsidRPr="00A04D4B">
        <w:rPr>
          <w:rFonts w:cs="Arial"/>
        </w:rPr>
        <w:t>S</w:t>
      </w:r>
      <w:r w:rsidR="00D220EF" w:rsidRPr="00A04D4B">
        <w:rPr>
          <w:rFonts w:cs="Arial"/>
        </w:rPr>
        <w:t xml:space="preserve">ervices under RTC and fundamentally alters </w:t>
      </w:r>
      <w:r w:rsidR="0016117F" w:rsidRPr="00A04D4B">
        <w:rPr>
          <w:rFonts w:cs="Arial"/>
        </w:rPr>
        <w:t xml:space="preserve">how ESRs will offer </w:t>
      </w:r>
      <w:r w:rsidR="004F1F37" w:rsidRPr="00A04D4B">
        <w:rPr>
          <w:rFonts w:cs="Arial"/>
        </w:rPr>
        <w:t>A</w:t>
      </w:r>
      <w:r w:rsidR="0016117F" w:rsidRPr="00A04D4B">
        <w:rPr>
          <w:rFonts w:cs="Arial"/>
        </w:rPr>
        <w:t xml:space="preserve">ncillary </w:t>
      </w:r>
      <w:r w:rsidR="004F1F37" w:rsidRPr="00A04D4B">
        <w:rPr>
          <w:rFonts w:cs="Arial"/>
        </w:rPr>
        <w:t>S</w:t>
      </w:r>
      <w:r w:rsidR="0016117F" w:rsidRPr="00A04D4B">
        <w:rPr>
          <w:rFonts w:cs="Arial"/>
        </w:rPr>
        <w:t xml:space="preserve">ervices in both the </w:t>
      </w:r>
      <w:r w:rsidR="00C81AB2" w:rsidRPr="00A04D4B">
        <w:rPr>
          <w:rFonts w:cs="Arial"/>
        </w:rPr>
        <w:t>D</w:t>
      </w:r>
      <w:r w:rsidR="0016117F" w:rsidRPr="00A04D4B">
        <w:rPr>
          <w:rFonts w:cs="Arial"/>
        </w:rPr>
        <w:t>ay-</w:t>
      </w:r>
      <w:r w:rsidR="00C81AB2" w:rsidRPr="00A04D4B">
        <w:rPr>
          <w:rFonts w:cs="Arial"/>
        </w:rPr>
        <w:t>A</w:t>
      </w:r>
      <w:r w:rsidR="0016117F" w:rsidRPr="00A04D4B">
        <w:rPr>
          <w:rFonts w:cs="Arial"/>
        </w:rPr>
        <w:t xml:space="preserve">head and </w:t>
      </w:r>
      <w:r w:rsidR="00C81AB2" w:rsidRPr="00A04D4B">
        <w:rPr>
          <w:rFonts w:cs="Arial"/>
        </w:rPr>
        <w:t>R</w:t>
      </w:r>
      <w:r w:rsidR="0016117F" w:rsidRPr="00A04D4B">
        <w:rPr>
          <w:rFonts w:cs="Arial"/>
        </w:rPr>
        <w:t>eal-</w:t>
      </w:r>
      <w:r w:rsidR="00C81AB2" w:rsidRPr="00A04D4B">
        <w:rPr>
          <w:rFonts w:cs="Arial"/>
        </w:rPr>
        <w:t>T</w:t>
      </w:r>
      <w:r w:rsidR="0016117F" w:rsidRPr="00A04D4B">
        <w:rPr>
          <w:rFonts w:cs="Arial"/>
        </w:rPr>
        <w:t>ime markets under RTC</w:t>
      </w:r>
      <w:r w:rsidR="0022364A" w:rsidRPr="00A04D4B">
        <w:rPr>
          <w:rFonts w:cs="Arial"/>
        </w:rPr>
        <w:t>.</w:t>
      </w:r>
      <w:r w:rsidRPr="00A04D4B">
        <w:rPr>
          <w:rFonts w:cs="Arial"/>
        </w:rPr>
        <w:t xml:space="preserve"> </w:t>
      </w:r>
    </w:p>
    <w:p w14:paraId="477106C1" w14:textId="2C635F8E" w:rsidR="00C97D88" w:rsidRPr="00A04D4B" w:rsidRDefault="0022364A" w:rsidP="00780326">
      <w:pPr>
        <w:pStyle w:val="NormalArial"/>
        <w:spacing w:after="240"/>
        <w:jc w:val="both"/>
        <w:rPr>
          <w:rFonts w:cs="Arial"/>
        </w:rPr>
      </w:pPr>
      <w:r w:rsidRPr="00A04D4B">
        <w:rPr>
          <w:rFonts w:cs="Arial"/>
        </w:rPr>
        <w:t xml:space="preserve">Although there is no direct corollary </w:t>
      </w:r>
      <w:r w:rsidR="00314AE9" w:rsidRPr="00A04D4B">
        <w:rPr>
          <w:rFonts w:cs="Arial"/>
        </w:rPr>
        <w:t xml:space="preserve">from the </w:t>
      </w:r>
      <w:r w:rsidR="00674F77">
        <w:rPr>
          <w:rFonts w:cs="Arial"/>
        </w:rPr>
        <w:t>S</w:t>
      </w:r>
      <w:r w:rsidR="00314AE9" w:rsidRPr="00A04D4B">
        <w:rPr>
          <w:rFonts w:cs="Arial"/>
        </w:rPr>
        <w:t xml:space="preserve">ettlement of </w:t>
      </w:r>
      <w:r w:rsidR="004F1F37" w:rsidRPr="00A04D4B">
        <w:rPr>
          <w:rFonts w:cs="Arial"/>
        </w:rPr>
        <w:t>A</w:t>
      </w:r>
      <w:r w:rsidR="00314AE9" w:rsidRPr="00A04D4B">
        <w:rPr>
          <w:rFonts w:cs="Arial"/>
        </w:rPr>
        <w:t xml:space="preserve">ncillary </w:t>
      </w:r>
      <w:r w:rsidR="004F1F37" w:rsidRPr="00A04D4B">
        <w:rPr>
          <w:rFonts w:cs="Arial"/>
        </w:rPr>
        <w:t>S</w:t>
      </w:r>
      <w:r w:rsidR="00314AE9" w:rsidRPr="00A04D4B">
        <w:rPr>
          <w:rFonts w:cs="Arial"/>
        </w:rPr>
        <w:t>ervices today to that under Real-Time Co-Optimization,</w:t>
      </w:r>
      <w:r w:rsidR="00FD5255" w:rsidRPr="00A04D4B">
        <w:rPr>
          <w:rFonts w:cs="Arial"/>
        </w:rPr>
        <w:t xml:space="preserve"> </w:t>
      </w:r>
      <w:r w:rsidR="003F197D" w:rsidRPr="00A04D4B">
        <w:rPr>
          <w:rFonts w:cs="Arial"/>
        </w:rPr>
        <w:t xml:space="preserve">NPRR1282’s proposed </w:t>
      </w:r>
      <w:r w:rsidR="00FD5255" w:rsidRPr="00A04D4B">
        <w:rPr>
          <w:rFonts w:cs="Arial"/>
        </w:rPr>
        <w:t xml:space="preserve">policy of required State of Charge for </w:t>
      </w:r>
      <w:r w:rsidR="003F197D" w:rsidRPr="00A04D4B">
        <w:rPr>
          <w:rFonts w:cs="Arial"/>
        </w:rPr>
        <w:t>R</w:t>
      </w:r>
      <w:r w:rsidR="00FD5255" w:rsidRPr="00A04D4B">
        <w:rPr>
          <w:rFonts w:cs="Arial"/>
        </w:rPr>
        <w:t>eal-</w:t>
      </w:r>
      <w:r w:rsidR="003F197D" w:rsidRPr="00A04D4B">
        <w:rPr>
          <w:rFonts w:cs="Arial"/>
        </w:rPr>
        <w:t>T</w:t>
      </w:r>
      <w:r w:rsidR="00FD5255" w:rsidRPr="00A04D4B">
        <w:rPr>
          <w:rFonts w:cs="Arial"/>
        </w:rPr>
        <w:t>ime operations</w:t>
      </w:r>
      <w:r w:rsidR="00FD4079" w:rsidRPr="00A04D4B">
        <w:rPr>
          <w:rFonts w:cs="Arial"/>
        </w:rPr>
        <w:t xml:space="preserve"> conflicts with </w:t>
      </w:r>
      <w:r w:rsidR="00B03B48" w:rsidRPr="00A04D4B">
        <w:rPr>
          <w:rFonts w:cs="Arial"/>
        </w:rPr>
        <w:t xml:space="preserve">the policy </w:t>
      </w:r>
      <w:r w:rsidR="00570338" w:rsidRPr="00A04D4B">
        <w:rPr>
          <w:rFonts w:cs="Arial"/>
        </w:rPr>
        <w:t>which was recently adjudicated</w:t>
      </w:r>
      <w:r w:rsidR="00B03B48" w:rsidRPr="00A04D4B">
        <w:rPr>
          <w:rFonts w:cs="Arial"/>
        </w:rPr>
        <w:t xml:space="preserve"> under </w:t>
      </w:r>
      <w:r w:rsidR="00FD4079" w:rsidRPr="00A04D4B">
        <w:rPr>
          <w:rFonts w:cs="Arial"/>
        </w:rPr>
        <w:t xml:space="preserve">NPRR1186, in which the Commission explicitly rejected inflexible SOC </w:t>
      </w:r>
      <w:r w:rsidR="00C97D88" w:rsidRPr="00A04D4B">
        <w:rPr>
          <w:rFonts w:cs="Arial"/>
        </w:rPr>
        <w:t>thresholds</w:t>
      </w:r>
      <w:r w:rsidR="00FD4079" w:rsidRPr="00A04D4B">
        <w:rPr>
          <w:rFonts w:cs="Arial"/>
        </w:rPr>
        <w:t xml:space="preserve"> in favor of a</w:t>
      </w:r>
      <w:r w:rsidR="009D1AE4" w:rsidRPr="00A04D4B">
        <w:rPr>
          <w:rFonts w:cs="Arial"/>
        </w:rPr>
        <w:t>n</w:t>
      </w:r>
      <w:r w:rsidR="00FD4079" w:rsidRPr="00A04D4B">
        <w:rPr>
          <w:rFonts w:cs="Arial"/>
        </w:rPr>
        <w:t xml:space="preserve"> approach aligned with </w:t>
      </w:r>
      <w:r w:rsidR="004235D9" w:rsidRPr="00A04D4B">
        <w:rPr>
          <w:rFonts w:cs="Arial"/>
        </w:rPr>
        <w:t>R</w:t>
      </w:r>
      <w:r w:rsidR="00FD4079" w:rsidRPr="00A04D4B">
        <w:rPr>
          <w:rFonts w:cs="Arial"/>
        </w:rPr>
        <w:t>eal-</w:t>
      </w:r>
      <w:r w:rsidR="004235D9" w:rsidRPr="00A04D4B">
        <w:rPr>
          <w:rFonts w:cs="Arial"/>
        </w:rPr>
        <w:t>T</w:t>
      </w:r>
      <w:r w:rsidR="00FD4079" w:rsidRPr="00A04D4B">
        <w:rPr>
          <w:rFonts w:cs="Arial"/>
        </w:rPr>
        <w:t>ime operational needs</w:t>
      </w:r>
      <w:r w:rsidR="00C97D88" w:rsidRPr="00A04D4B">
        <w:rPr>
          <w:rFonts w:cs="Arial"/>
        </w:rPr>
        <w:t xml:space="preserve">, and </w:t>
      </w:r>
      <w:r w:rsidR="00AE3A9B" w:rsidRPr="00A04D4B">
        <w:rPr>
          <w:rFonts w:cs="Arial"/>
        </w:rPr>
        <w:t xml:space="preserve">that matches the obligation </w:t>
      </w:r>
      <w:r w:rsidR="00AE3A9B" w:rsidRPr="00A04D4B">
        <w:rPr>
          <w:rFonts w:cs="Arial"/>
        </w:rPr>
        <w:lastRenderedPageBreak/>
        <w:t>to deliver energy from an ESR to the same timeline that the ESR has committed to make its capacity available</w:t>
      </w:r>
      <w:r w:rsidR="00FD4079" w:rsidRPr="00A04D4B">
        <w:rPr>
          <w:rFonts w:cs="Arial"/>
        </w:rPr>
        <w:t xml:space="preserve">. </w:t>
      </w:r>
    </w:p>
    <w:p w14:paraId="770064D6" w14:textId="7F15E2C3" w:rsidR="000865B9" w:rsidRPr="00A04D4B" w:rsidRDefault="0066761C" w:rsidP="00780326">
      <w:pPr>
        <w:pStyle w:val="NormalArial"/>
        <w:spacing w:after="240"/>
        <w:jc w:val="both"/>
      </w:pPr>
      <w:r w:rsidRPr="00A04D4B">
        <w:rPr>
          <w:rFonts w:cs="Arial"/>
        </w:rPr>
        <w:t>ERCOT has stated that the key attributes of</w:t>
      </w:r>
      <w:r w:rsidR="00621181" w:rsidRPr="00A04D4B">
        <w:rPr>
          <w:rFonts w:cs="Arial"/>
        </w:rPr>
        <w:t xml:space="preserve"> Real-</w:t>
      </w:r>
      <w:r w:rsidR="009A483E" w:rsidRPr="00A04D4B">
        <w:rPr>
          <w:rFonts w:cs="Arial"/>
        </w:rPr>
        <w:t>T</w:t>
      </w:r>
      <w:r w:rsidR="00621181" w:rsidRPr="00A04D4B">
        <w:rPr>
          <w:rFonts w:cs="Arial"/>
        </w:rPr>
        <w:t>ime Co-Optimization</w:t>
      </w:r>
      <w:r w:rsidR="00D34D71" w:rsidRPr="00A04D4B">
        <w:rPr>
          <w:rFonts w:cs="Arial"/>
        </w:rPr>
        <w:t xml:space="preserve"> </w:t>
      </w:r>
      <w:r w:rsidR="00621181" w:rsidRPr="00A04D4B">
        <w:rPr>
          <w:rFonts w:cs="Arial"/>
        </w:rPr>
        <w:t>+</w:t>
      </w:r>
      <w:r w:rsidR="00D34D71" w:rsidRPr="00A04D4B">
        <w:rPr>
          <w:rFonts w:cs="Arial"/>
        </w:rPr>
        <w:t xml:space="preserve"> </w:t>
      </w:r>
      <w:r w:rsidR="00621181" w:rsidRPr="00A04D4B">
        <w:rPr>
          <w:rFonts w:cs="Arial"/>
        </w:rPr>
        <w:t>Batteries</w:t>
      </w:r>
      <w:r w:rsidRPr="00A04D4B">
        <w:rPr>
          <w:rFonts w:cs="Arial"/>
        </w:rPr>
        <w:t xml:space="preserve"> </w:t>
      </w:r>
      <w:r w:rsidR="00621181" w:rsidRPr="00A04D4B">
        <w:rPr>
          <w:rFonts w:cs="Arial"/>
        </w:rPr>
        <w:t>(</w:t>
      </w:r>
      <w:r w:rsidRPr="00A04D4B">
        <w:rPr>
          <w:rFonts w:cs="Arial"/>
        </w:rPr>
        <w:t>RTC+B</w:t>
      </w:r>
      <w:r w:rsidR="00621181" w:rsidRPr="00A04D4B">
        <w:rPr>
          <w:rFonts w:cs="Arial"/>
        </w:rPr>
        <w:t>)</w:t>
      </w:r>
      <w:r w:rsidR="009A483E" w:rsidRPr="00A04D4B">
        <w:rPr>
          <w:rStyle w:val="FootnoteReference"/>
          <w:rFonts w:cs="Arial"/>
        </w:rPr>
        <w:footnoteReference w:id="7"/>
      </w:r>
      <w:r w:rsidRPr="00A04D4B">
        <w:rPr>
          <w:rFonts w:cs="Arial"/>
        </w:rPr>
        <w:t xml:space="preserve"> are</w:t>
      </w:r>
      <w:r w:rsidR="000D6CC5" w:rsidRPr="00A04D4B">
        <w:rPr>
          <w:rFonts w:cs="Arial"/>
        </w:rPr>
        <w:t xml:space="preserve">: </w:t>
      </w:r>
      <w:r w:rsidRPr="00A04D4B">
        <w:rPr>
          <w:rFonts w:cs="Arial"/>
        </w:rPr>
        <w:t xml:space="preserve">efficiency </w:t>
      </w:r>
      <w:r w:rsidR="000D6CC5" w:rsidRPr="00A04D4B">
        <w:rPr>
          <w:rFonts w:cs="Arial"/>
        </w:rPr>
        <w:t xml:space="preserve">(efficiently optimizes energy, congestion, and </w:t>
      </w:r>
      <w:r w:rsidR="004F1F37" w:rsidRPr="00A04D4B">
        <w:rPr>
          <w:rFonts w:cs="Arial"/>
        </w:rPr>
        <w:t>A</w:t>
      </w:r>
      <w:r w:rsidR="000D6CC5" w:rsidRPr="00A04D4B">
        <w:rPr>
          <w:rFonts w:cs="Arial"/>
        </w:rPr>
        <w:t xml:space="preserve">ncillary </w:t>
      </w:r>
      <w:r w:rsidR="004F1F37" w:rsidRPr="00A04D4B">
        <w:rPr>
          <w:rFonts w:cs="Arial"/>
        </w:rPr>
        <w:t>S</w:t>
      </w:r>
      <w:r w:rsidR="000D6CC5" w:rsidRPr="00A04D4B">
        <w:rPr>
          <w:rFonts w:cs="Arial"/>
        </w:rPr>
        <w:t xml:space="preserve">ervices in </w:t>
      </w:r>
      <w:r w:rsidR="000B6EFA" w:rsidRPr="00A04D4B">
        <w:rPr>
          <w:rFonts w:cs="Arial"/>
        </w:rPr>
        <w:t>R</w:t>
      </w:r>
      <w:r w:rsidR="000D6CC5" w:rsidRPr="00A04D4B">
        <w:rPr>
          <w:rFonts w:cs="Arial"/>
        </w:rPr>
        <w:t>eal-</w:t>
      </w:r>
      <w:r w:rsidR="000B6EFA" w:rsidRPr="00A04D4B">
        <w:rPr>
          <w:rFonts w:cs="Arial"/>
        </w:rPr>
        <w:t>T</w:t>
      </w:r>
      <w:r w:rsidR="000D6CC5" w:rsidRPr="00A04D4B">
        <w:rPr>
          <w:rFonts w:cs="Arial"/>
        </w:rPr>
        <w:t>ime); flexibility (increases by shifting to lower cost resources to rapidly adjust to changing conditions); competition (inclusive of new technologies [i.e., batteries] to help drive down costs).</w:t>
      </w:r>
      <w:r w:rsidR="000C3CF2" w:rsidRPr="00A04D4B">
        <w:rPr>
          <w:rStyle w:val="FootnoteReference"/>
          <w:rFonts w:cs="Arial"/>
        </w:rPr>
        <w:footnoteReference w:id="8"/>
      </w:r>
      <w:r w:rsidR="000D6CC5" w:rsidRPr="00A04D4B">
        <w:rPr>
          <w:rFonts w:cs="Arial"/>
        </w:rPr>
        <w:t xml:space="preserve"> </w:t>
      </w:r>
      <w:r w:rsidR="000C3CF2" w:rsidRPr="00A04D4B">
        <w:rPr>
          <w:rFonts w:cs="Arial"/>
        </w:rPr>
        <w:t xml:space="preserve">NPRR1282 seeks to counteract these key attributes. For example, NPRR1282 introduces a four-hour state of charge requirement </w:t>
      </w:r>
      <w:r w:rsidR="00F67EF9" w:rsidRPr="00A04D4B">
        <w:rPr>
          <w:rFonts w:cs="Arial"/>
        </w:rPr>
        <w:t>necessary for an ESR</w:t>
      </w:r>
      <w:r w:rsidR="00B617B2" w:rsidRPr="00A04D4B">
        <w:rPr>
          <w:rFonts w:cs="Arial"/>
        </w:rPr>
        <w:t xml:space="preserve"> to be awarded Non-Spin Reserve Service for a five-minute award in </w:t>
      </w:r>
      <w:r w:rsidR="004235D9" w:rsidRPr="00A04D4B">
        <w:rPr>
          <w:rFonts w:cs="Arial"/>
        </w:rPr>
        <w:t>R</w:t>
      </w:r>
      <w:r w:rsidR="00B617B2" w:rsidRPr="00A04D4B">
        <w:rPr>
          <w:rFonts w:cs="Arial"/>
        </w:rPr>
        <w:t>eal-</w:t>
      </w:r>
      <w:r w:rsidR="004235D9" w:rsidRPr="00A04D4B">
        <w:rPr>
          <w:rFonts w:cs="Arial"/>
        </w:rPr>
        <w:t>T</w:t>
      </w:r>
      <w:r w:rsidR="00B617B2" w:rsidRPr="00A04D4B">
        <w:rPr>
          <w:rFonts w:cs="Arial"/>
        </w:rPr>
        <w:t>ime under RTC.</w:t>
      </w:r>
      <w:r w:rsidR="00D34D71" w:rsidRPr="00A04D4B">
        <w:t xml:space="preserve"> </w:t>
      </w:r>
      <w:r w:rsidR="007A72EA" w:rsidRPr="00A04D4B">
        <w:rPr>
          <w:rFonts w:cs="Arial"/>
        </w:rPr>
        <w:t>Thus,</w:t>
      </w:r>
      <w:r w:rsidR="002A3C2D" w:rsidRPr="00A04D4B">
        <w:rPr>
          <w:rFonts w:cs="Arial"/>
        </w:rPr>
        <w:t xml:space="preserve"> </w:t>
      </w:r>
      <w:r w:rsidR="007A72EA" w:rsidRPr="00A04D4B">
        <w:rPr>
          <w:rFonts w:cs="Arial"/>
        </w:rPr>
        <w:t>where RTC should be efficiently optimizing</w:t>
      </w:r>
      <w:r w:rsidR="002A3C2D" w:rsidRPr="00A04D4B">
        <w:rPr>
          <w:rFonts w:cs="Arial"/>
        </w:rPr>
        <w:t xml:space="preserve"> </w:t>
      </w:r>
      <w:r w:rsidR="007A72EA" w:rsidRPr="00A04D4B">
        <w:rPr>
          <w:rFonts w:cs="Arial"/>
        </w:rPr>
        <w:t xml:space="preserve">between energy and </w:t>
      </w:r>
      <w:r w:rsidR="004F1F37" w:rsidRPr="00A04D4B">
        <w:rPr>
          <w:rFonts w:cs="Arial"/>
        </w:rPr>
        <w:t>A</w:t>
      </w:r>
      <w:r w:rsidR="007A72EA" w:rsidRPr="00A04D4B">
        <w:rPr>
          <w:rFonts w:cs="Arial"/>
        </w:rPr>
        <w:t xml:space="preserve">ncillary </w:t>
      </w:r>
      <w:r w:rsidR="004F1F37" w:rsidRPr="00A04D4B">
        <w:rPr>
          <w:rFonts w:cs="Arial"/>
        </w:rPr>
        <w:t>S</w:t>
      </w:r>
      <w:r w:rsidR="007A72EA" w:rsidRPr="00A04D4B">
        <w:rPr>
          <w:rFonts w:cs="Arial"/>
        </w:rPr>
        <w:t xml:space="preserve">ervices in </w:t>
      </w:r>
      <w:r w:rsidR="00D34D71" w:rsidRPr="00A04D4B">
        <w:rPr>
          <w:rFonts w:cs="Arial"/>
        </w:rPr>
        <w:t>R</w:t>
      </w:r>
      <w:r w:rsidR="007A72EA" w:rsidRPr="00A04D4B">
        <w:rPr>
          <w:rFonts w:cs="Arial"/>
        </w:rPr>
        <w:t>eal-</w:t>
      </w:r>
      <w:r w:rsidR="00D34D71" w:rsidRPr="00A04D4B">
        <w:rPr>
          <w:rFonts w:cs="Arial"/>
        </w:rPr>
        <w:t>T</w:t>
      </w:r>
      <w:r w:rsidR="007A72EA" w:rsidRPr="00A04D4B">
        <w:rPr>
          <w:rFonts w:cs="Arial"/>
        </w:rPr>
        <w:t>ime based upon available energy in the system, NPRR1282 imposes a four-hour Non-</w:t>
      </w:r>
      <w:r w:rsidR="00A5717A" w:rsidRPr="00A04D4B">
        <w:rPr>
          <w:rFonts w:cs="Arial"/>
        </w:rPr>
        <w:t>S</w:t>
      </w:r>
      <w:r w:rsidR="007A72EA" w:rsidRPr="00A04D4B">
        <w:rPr>
          <w:rFonts w:cs="Arial"/>
        </w:rPr>
        <w:t xml:space="preserve">pin energy requirement in </w:t>
      </w:r>
      <w:r w:rsidR="00806C61" w:rsidRPr="00A04D4B">
        <w:rPr>
          <w:rFonts w:cs="Arial"/>
        </w:rPr>
        <w:t>R</w:t>
      </w:r>
      <w:r w:rsidR="007A72EA" w:rsidRPr="00A04D4B">
        <w:rPr>
          <w:rFonts w:cs="Arial"/>
        </w:rPr>
        <w:t>eal-</w:t>
      </w:r>
      <w:r w:rsidR="00806C61" w:rsidRPr="00A04D4B">
        <w:rPr>
          <w:rFonts w:cs="Arial"/>
        </w:rPr>
        <w:t>T</w:t>
      </w:r>
      <w:r w:rsidR="007A72EA" w:rsidRPr="00A04D4B">
        <w:rPr>
          <w:rFonts w:cs="Arial"/>
        </w:rPr>
        <w:t xml:space="preserve">ime for a product that was sold by the hour in the </w:t>
      </w:r>
      <w:r w:rsidR="00C80D02" w:rsidRPr="00A04D4B">
        <w:rPr>
          <w:rFonts w:cs="Arial"/>
        </w:rPr>
        <w:t>D</w:t>
      </w:r>
      <w:r w:rsidR="007A72EA" w:rsidRPr="00A04D4B">
        <w:rPr>
          <w:rFonts w:cs="Arial"/>
        </w:rPr>
        <w:t>ay</w:t>
      </w:r>
      <w:r w:rsidR="00C80D02" w:rsidRPr="00A04D4B">
        <w:rPr>
          <w:rFonts w:cs="Arial"/>
        </w:rPr>
        <w:t>-A</w:t>
      </w:r>
      <w:r w:rsidR="007A72EA" w:rsidRPr="00A04D4B">
        <w:rPr>
          <w:rFonts w:cs="Arial"/>
        </w:rPr>
        <w:t xml:space="preserve">head market. This means that a multiple of four times its $/MW energy price would be needed for </w:t>
      </w:r>
      <w:r w:rsidR="00973FF2" w:rsidRPr="00A04D4B">
        <w:rPr>
          <w:rFonts w:cs="Arial"/>
        </w:rPr>
        <w:t>RTC-SCED to see an</w:t>
      </w:r>
      <w:r w:rsidR="007A72EA" w:rsidRPr="00A04D4B">
        <w:rPr>
          <w:rFonts w:cs="Arial"/>
        </w:rPr>
        <w:t xml:space="preserve"> ESR </w:t>
      </w:r>
      <w:r w:rsidR="00973FF2" w:rsidRPr="00A04D4B">
        <w:rPr>
          <w:rFonts w:cs="Arial"/>
        </w:rPr>
        <w:t>as</w:t>
      </w:r>
      <w:r w:rsidR="007A72EA" w:rsidRPr="00A04D4B">
        <w:rPr>
          <w:rFonts w:cs="Arial"/>
        </w:rPr>
        <w:t xml:space="preserve"> indifferent between providing Non-Spin capacity or energy, degrading the ability of the RTC+B design to efficiently optimize between energy and </w:t>
      </w:r>
      <w:r w:rsidR="004F1F37" w:rsidRPr="00A04D4B">
        <w:rPr>
          <w:rFonts w:cs="Arial"/>
        </w:rPr>
        <w:t>A</w:t>
      </w:r>
      <w:r w:rsidR="007A72EA" w:rsidRPr="00A04D4B">
        <w:rPr>
          <w:rFonts w:cs="Arial"/>
        </w:rPr>
        <w:t xml:space="preserve">ncillary </w:t>
      </w:r>
      <w:r w:rsidR="004F1F37" w:rsidRPr="00A04D4B">
        <w:rPr>
          <w:rFonts w:cs="Arial"/>
        </w:rPr>
        <w:t>S</w:t>
      </w:r>
      <w:r w:rsidR="007A72EA" w:rsidRPr="00A04D4B">
        <w:rPr>
          <w:rFonts w:cs="Arial"/>
        </w:rPr>
        <w:t>ervices.</w:t>
      </w:r>
      <w:r w:rsidR="004F3644" w:rsidRPr="00A04D4B">
        <w:rPr>
          <w:rFonts w:cs="Arial"/>
        </w:rPr>
        <w:t xml:space="preserve"> </w:t>
      </w:r>
      <w:r w:rsidR="009672CA" w:rsidRPr="00A04D4B">
        <w:rPr>
          <w:rFonts w:cs="Arial"/>
        </w:rPr>
        <w:t>T</w:t>
      </w:r>
      <w:r w:rsidR="004F3644" w:rsidRPr="00A04D4B">
        <w:rPr>
          <w:rFonts w:cs="Arial"/>
        </w:rPr>
        <w:t xml:space="preserve">he </w:t>
      </w:r>
      <w:r w:rsidR="006D3796" w:rsidRPr="00A04D4B">
        <w:rPr>
          <w:rFonts w:cs="Arial"/>
        </w:rPr>
        <w:t>flexibility</w:t>
      </w:r>
      <w:r w:rsidR="004F3644" w:rsidRPr="00A04D4B">
        <w:rPr>
          <w:rFonts w:cs="Arial"/>
        </w:rPr>
        <w:t xml:space="preserve"> that should be </w:t>
      </w:r>
      <w:r w:rsidR="006D3796" w:rsidRPr="00A04D4B">
        <w:rPr>
          <w:rFonts w:cs="Arial"/>
        </w:rPr>
        <w:t>realized through</w:t>
      </w:r>
      <w:r w:rsidR="004F3644" w:rsidRPr="00A04D4B">
        <w:rPr>
          <w:rFonts w:cs="Arial"/>
        </w:rPr>
        <w:t xml:space="preserve"> the ability to </w:t>
      </w:r>
      <w:r w:rsidR="004F3644" w:rsidRPr="00A04D4B">
        <w:rPr>
          <w:rFonts w:cs="Arial"/>
        </w:rPr>
        <w:lastRenderedPageBreak/>
        <w:t>adjust awards every five</w:t>
      </w:r>
      <w:r w:rsidR="00155C6C" w:rsidRPr="00A04D4B">
        <w:rPr>
          <w:rFonts w:cs="Arial"/>
        </w:rPr>
        <w:t>-</w:t>
      </w:r>
      <w:r w:rsidR="004F3644" w:rsidRPr="00A04D4B">
        <w:rPr>
          <w:rFonts w:cs="Arial"/>
        </w:rPr>
        <w:t xml:space="preserve">minutes would be negated by requiring that </w:t>
      </w:r>
      <w:r w:rsidR="00352838" w:rsidRPr="00A04D4B">
        <w:rPr>
          <w:rFonts w:cs="Arial"/>
        </w:rPr>
        <w:t xml:space="preserve">the </w:t>
      </w:r>
      <w:r w:rsidR="004F3644" w:rsidRPr="00A04D4B">
        <w:rPr>
          <w:rFonts w:cs="Arial"/>
        </w:rPr>
        <w:t>ESR have four</w:t>
      </w:r>
      <w:r w:rsidR="00155C6C" w:rsidRPr="00A04D4B">
        <w:rPr>
          <w:rFonts w:cs="Arial"/>
        </w:rPr>
        <w:t>-</w:t>
      </w:r>
      <w:r w:rsidR="004F3644" w:rsidRPr="00A04D4B">
        <w:rPr>
          <w:rFonts w:cs="Arial"/>
        </w:rPr>
        <w:t>hours state of charge for a five</w:t>
      </w:r>
      <w:r w:rsidR="00155C6C" w:rsidRPr="00A04D4B">
        <w:rPr>
          <w:rFonts w:cs="Arial"/>
        </w:rPr>
        <w:t>-</w:t>
      </w:r>
      <w:r w:rsidR="004F3644" w:rsidRPr="00A04D4B">
        <w:rPr>
          <w:rFonts w:cs="Arial"/>
        </w:rPr>
        <w:t>minute interval</w:t>
      </w:r>
      <w:r w:rsidR="007A72EA" w:rsidRPr="00A04D4B">
        <w:rPr>
          <w:rFonts w:cs="Arial"/>
        </w:rPr>
        <w:t xml:space="preserve"> – </w:t>
      </w:r>
      <w:r w:rsidR="00321FB1" w:rsidRPr="00A04D4B">
        <w:rPr>
          <w:rFonts w:cs="Arial"/>
        </w:rPr>
        <w:t xml:space="preserve">a multiple of </w:t>
      </w:r>
      <w:r w:rsidR="007A72EA" w:rsidRPr="00A04D4B">
        <w:rPr>
          <w:rFonts w:cs="Arial"/>
        </w:rPr>
        <w:t>48 times the length of the interval</w:t>
      </w:r>
      <w:r w:rsidR="00155C6C" w:rsidRPr="00A04D4B">
        <w:rPr>
          <w:rFonts w:cs="Arial"/>
        </w:rPr>
        <w:t xml:space="preserve"> – this ignores the fact that a feature of RTC is the ability to reshuffle optimal resources to provide an </w:t>
      </w:r>
      <w:r w:rsidR="004F1F37" w:rsidRPr="00A04D4B">
        <w:rPr>
          <w:rFonts w:cs="Arial"/>
        </w:rPr>
        <w:t>A</w:t>
      </w:r>
      <w:r w:rsidR="00155C6C" w:rsidRPr="00A04D4B">
        <w:rPr>
          <w:rFonts w:cs="Arial"/>
        </w:rPr>
        <w:t xml:space="preserve">ncillary </w:t>
      </w:r>
      <w:r w:rsidR="004F1F37" w:rsidRPr="00A04D4B">
        <w:rPr>
          <w:rFonts w:cs="Arial"/>
        </w:rPr>
        <w:t>S</w:t>
      </w:r>
      <w:r w:rsidR="00155C6C" w:rsidRPr="00A04D4B">
        <w:rPr>
          <w:rFonts w:cs="Arial"/>
        </w:rPr>
        <w:t xml:space="preserve">ervice throughout the deployment of that </w:t>
      </w:r>
      <w:r w:rsidR="004F1F37" w:rsidRPr="00A04D4B">
        <w:rPr>
          <w:rFonts w:cs="Arial"/>
        </w:rPr>
        <w:t>A</w:t>
      </w:r>
      <w:r w:rsidR="00155C6C" w:rsidRPr="00A04D4B">
        <w:rPr>
          <w:rFonts w:cs="Arial"/>
        </w:rPr>
        <w:t xml:space="preserve">ncillary </w:t>
      </w:r>
      <w:r w:rsidR="004F1F37" w:rsidRPr="00A04D4B">
        <w:rPr>
          <w:rFonts w:cs="Arial"/>
        </w:rPr>
        <w:t>S</w:t>
      </w:r>
      <w:r w:rsidR="00155C6C" w:rsidRPr="00A04D4B">
        <w:rPr>
          <w:rFonts w:cs="Arial"/>
        </w:rPr>
        <w:t>ervice</w:t>
      </w:r>
      <w:r w:rsidR="004F3644" w:rsidRPr="00A04D4B">
        <w:rPr>
          <w:rFonts w:cs="Arial"/>
        </w:rPr>
        <w:t>.</w:t>
      </w:r>
      <w:r w:rsidR="00155C6C" w:rsidRPr="00A04D4B">
        <w:rPr>
          <w:rFonts w:cs="Arial"/>
        </w:rPr>
        <w:t xml:space="preserve"> Finally,</w:t>
      </w:r>
      <w:r w:rsidR="00E9021A" w:rsidRPr="00A04D4B">
        <w:rPr>
          <w:rFonts w:cs="Arial"/>
        </w:rPr>
        <w:t xml:space="preserve"> the limit</w:t>
      </w:r>
      <w:r w:rsidR="006B19EC" w:rsidRPr="00A04D4B">
        <w:rPr>
          <w:rFonts w:cs="Arial"/>
        </w:rPr>
        <w:t>s on</w:t>
      </w:r>
      <w:r w:rsidR="00E9021A" w:rsidRPr="00A04D4B">
        <w:rPr>
          <w:rFonts w:cs="Arial"/>
        </w:rPr>
        <w:t xml:space="preserve"> ESR capacity that can be offered into </w:t>
      </w:r>
      <w:r w:rsidR="004F1F37" w:rsidRPr="00A04D4B">
        <w:rPr>
          <w:rFonts w:cs="Arial"/>
        </w:rPr>
        <w:t>A</w:t>
      </w:r>
      <w:r w:rsidR="00E9021A" w:rsidRPr="00A04D4B">
        <w:rPr>
          <w:rFonts w:cs="Arial"/>
        </w:rPr>
        <w:t xml:space="preserve">ncillary </w:t>
      </w:r>
      <w:r w:rsidR="004F1F37" w:rsidRPr="00A04D4B">
        <w:rPr>
          <w:rFonts w:cs="Arial"/>
        </w:rPr>
        <w:t>S</w:t>
      </w:r>
      <w:r w:rsidR="00E9021A" w:rsidRPr="00A04D4B">
        <w:rPr>
          <w:rFonts w:cs="Arial"/>
        </w:rPr>
        <w:t xml:space="preserve">ervices will drive up </w:t>
      </w:r>
      <w:r w:rsidR="004F1F37" w:rsidRPr="00A04D4B">
        <w:rPr>
          <w:rFonts w:cs="Arial"/>
        </w:rPr>
        <w:t>A</w:t>
      </w:r>
      <w:r w:rsidR="00D94D26" w:rsidRPr="00A04D4B">
        <w:rPr>
          <w:rFonts w:cs="Arial"/>
        </w:rPr>
        <w:t xml:space="preserve">ncillary </w:t>
      </w:r>
      <w:r w:rsidR="004F1F37" w:rsidRPr="00A04D4B">
        <w:rPr>
          <w:rFonts w:cs="Arial"/>
        </w:rPr>
        <w:t>S</w:t>
      </w:r>
      <w:r w:rsidR="00D94D26" w:rsidRPr="00A04D4B">
        <w:rPr>
          <w:rFonts w:cs="Arial"/>
        </w:rPr>
        <w:t xml:space="preserve">ervice </w:t>
      </w:r>
      <w:r w:rsidR="00E9021A" w:rsidRPr="00A04D4B">
        <w:rPr>
          <w:rFonts w:cs="Arial"/>
        </w:rPr>
        <w:t>cost</w:t>
      </w:r>
      <w:r w:rsidR="00155C6C" w:rsidRPr="00A04D4B">
        <w:rPr>
          <w:rFonts w:cs="Arial"/>
        </w:rPr>
        <w:t>s</w:t>
      </w:r>
      <w:r w:rsidR="007A72EA" w:rsidRPr="00A04D4B">
        <w:rPr>
          <w:rFonts w:cs="Arial"/>
        </w:rPr>
        <w:t xml:space="preserve"> </w:t>
      </w:r>
      <w:r w:rsidR="00E9021A" w:rsidRPr="00A04D4B">
        <w:rPr>
          <w:rFonts w:cs="Arial"/>
        </w:rPr>
        <w:t xml:space="preserve">to consumers where they should be realizing the benefits of competition. </w:t>
      </w:r>
    </w:p>
    <w:p w14:paraId="73095720" w14:textId="23975147" w:rsidR="00321FB1" w:rsidRPr="00A04D4B" w:rsidRDefault="00321FB1" w:rsidP="00780326">
      <w:pPr>
        <w:pStyle w:val="NormalArial"/>
        <w:jc w:val="both"/>
      </w:pPr>
      <w:r w:rsidRPr="00A04D4B">
        <w:t>The trans</w:t>
      </w:r>
      <w:r w:rsidR="00AB19F3" w:rsidRPr="00A04D4B">
        <w:t>i</w:t>
      </w:r>
      <w:r w:rsidRPr="00A04D4B">
        <w:t>tion to the RTC+B framework already provides for significant changes in the operation of ESRs and SOC management, both for ERCOT and ESR operators. Forcing passage of another major design change as contemplated in NPRR1282 prior to implementation of the RTC+B system changes is premature at best and irresponsible at worst as ESR stakeholders most encounter further market uncertainty in the midst of preparing for the transition to RTC+B, which is now less than</w:t>
      </w:r>
      <w:r w:rsidR="003C0E03" w:rsidRPr="00A04D4B">
        <w:t xml:space="preserve"> six</w:t>
      </w:r>
      <w:r w:rsidRPr="00A04D4B">
        <w:t xml:space="preserve"> months away, </w:t>
      </w:r>
      <w:r w:rsidR="003C0E03" w:rsidRPr="00A04D4B">
        <w:t xml:space="preserve">with NPRR1282 having been filed </w:t>
      </w:r>
      <w:r w:rsidR="006D4B9D" w:rsidRPr="00A04D4B">
        <w:t xml:space="preserve">less than eight months </w:t>
      </w:r>
      <w:r w:rsidR="00495B47" w:rsidRPr="00A04D4B">
        <w:t xml:space="preserve">before RTC go-live, </w:t>
      </w:r>
      <w:r w:rsidRPr="00A04D4B">
        <w:t>with</w:t>
      </w:r>
      <w:r w:rsidR="00734F82" w:rsidRPr="00A04D4B">
        <w:t>out showing a</w:t>
      </w:r>
      <w:r w:rsidR="00495B47" w:rsidRPr="00A04D4B">
        <w:t xml:space="preserve"> change in</w:t>
      </w:r>
      <w:r w:rsidRPr="00A04D4B">
        <w:t xml:space="preserve"> market or reliability </w:t>
      </w:r>
      <w:r w:rsidR="003D7F71" w:rsidRPr="00A04D4B">
        <w:t>need that warrants</w:t>
      </w:r>
      <w:r w:rsidR="005C2467" w:rsidRPr="00A04D4B">
        <w:t xml:space="preserve"> diverging from</w:t>
      </w:r>
      <w:r w:rsidR="00495B47" w:rsidRPr="00A04D4B">
        <w:t xml:space="preserve"> the</w:t>
      </w:r>
      <w:r w:rsidR="005C2467" w:rsidRPr="00A04D4B">
        <w:t xml:space="preserve"> SOC policy today.</w:t>
      </w:r>
    </w:p>
    <w:p w14:paraId="56AC7088" w14:textId="77777777" w:rsidR="00AB19F3" w:rsidRPr="00A04D4B" w:rsidRDefault="00AB19F3" w:rsidP="00780326">
      <w:pPr>
        <w:pStyle w:val="NormalArial"/>
        <w:jc w:val="both"/>
      </w:pPr>
    </w:p>
    <w:p w14:paraId="103CAD5B" w14:textId="12255B59" w:rsidR="0097658A" w:rsidRPr="00A04D4B" w:rsidRDefault="00321FB1" w:rsidP="00780326">
      <w:pPr>
        <w:pStyle w:val="NormalArial"/>
        <w:jc w:val="both"/>
      </w:pPr>
      <w:r w:rsidRPr="00A04D4B">
        <w:t>NPRR1282’s attempt to restate SOC parameters for Ancillary Service participation also needlessly adds an additional level of complexity into other ongoing Ancillary Services design discussions, namely the Ancillary Services Requirements Methodology</w:t>
      </w:r>
      <w:r w:rsidR="00495B47" w:rsidRPr="00A04D4B">
        <w:t xml:space="preserve"> which </w:t>
      </w:r>
      <w:r w:rsidR="0082096B" w:rsidRPr="00A04D4B">
        <w:t xml:space="preserve">included significant changes since the PUCT’s Ancillary Service </w:t>
      </w:r>
      <w:r w:rsidR="0082096B" w:rsidRPr="00A04D4B">
        <w:lastRenderedPageBreak/>
        <w:t>study was completed</w:t>
      </w:r>
      <w:r w:rsidRPr="00A04D4B">
        <w:t xml:space="preserve">, implications of the </w:t>
      </w:r>
      <w:r w:rsidR="007A75DC" w:rsidRPr="00A04D4B">
        <w:t xml:space="preserve">system wide </w:t>
      </w:r>
      <w:r w:rsidRPr="00A04D4B">
        <w:t>offer cap</w:t>
      </w:r>
      <w:r w:rsidR="007A75DC" w:rsidRPr="00A04D4B">
        <w:t xml:space="preserve"> under RTC</w:t>
      </w:r>
      <w:r w:rsidRPr="00A04D4B">
        <w:t xml:space="preserve">, </w:t>
      </w:r>
      <w:r w:rsidR="0082096B" w:rsidRPr="00A04D4B">
        <w:t xml:space="preserve">development of </w:t>
      </w:r>
      <w:r w:rsidR="006D0EA9" w:rsidRPr="00A04D4B">
        <w:t>Dispatchable Reliability Reserve Service (DRRS)</w:t>
      </w:r>
      <w:r w:rsidR="0082096B" w:rsidRPr="00A04D4B">
        <w:t xml:space="preserve">, an discussions of new </w:t>
      </w:r>
      <w:r w:rsidR="00B2570A" w:rsidRPr="00A04D4B">
        <w:t>A</w:t>
      </w:r>
      <w:r w:rsidR="0082096B" w:rsidRPr="00A04D4B">
        <w:t xml:space="preserve">ncillary </w:t>
      </w:r>
      <w:r w:rsidR="00B2570A" w:rsidRPr="00A04D4B">
        <w:t>S</w:t>
      </w:r>
      <w:r w:rsidR="0082096B" w:rsidRPr="00A04D4B">
        <w:t>ervices to provide “foot-room” in the Large Load Working Group</w:t>
      </w:r>
      <w:r w:rsidRPr="00A04D4B">
        <w:t xml:space="preserve">. It is not unreasonable to assume that SOC management policy might be subject to review over time, however it </w:t>
      </w:r>
      <w:r w:rsidR="00325B23" w:rsidRPr="00A04D4B">
        <w:t>is inopportune</w:t>
      </w:r>
      <w:r w:rsidRPr="00A04D4B">
        <w:t xml:space="preserve"> </w:t>
      </w:r>
      <w:r w:rsidR="00325B23" w:rsidRPr="00A04D4B">
        <w:t xml:space="preserve">to make </w:t>
      </w:r>
      <w:r w:rsidRPr="00A04D4B">
        <w:t xml:space="preserve">such changes now before RTC+B practices have been successfully established and implemented, and before other Ancillary Service review initiatives have been completed, particularly </w:t>
      </w:r>
      <w:r w:rsidR="00325B23" w:rsidRPr="00A04D4B">
        <w:t>since</w:t>
      </w:r>
      <w:r w:rsidRPr="00A04D4B">
        <w:t xml:space="preserve"> the topic of SOC management for Ancillary Services was so recently adjudicated by the Board.  </w:t>
      </w:r>
    </w:p>
    <w:p w14:paraId="749926E6" w14:textId="77777777" w:rsidR="006C22F0" w:rsidRPr="00A04D4B" w:rsidRDefault="006C22F0" w:rsidP="00780326">
      <w:pPr>
        <w:pStyle w:val="NormalArial"/>
        <w:jc w:val="both"/>
      </w:pPr>
    </w:p>
    <w:p w14:paraId="550DAC01" w14:textId="5E6E2822" w:rsidR="00F428C3" w:rsidRPr="00A04D4B" w:rsidRDefault="00F428C3" w:rsidP="00780326">
      <w:pPr>
        <w:pStyle w:val="NormalArial"/>
        <w:jc w:val="both"/>
        <w:rPr>
          <w:b/>
          <w:bCs/>
          <w:u w:val="single"/>
        </w:rPr>
      </w:pPr>
      <w:r w:rsidRPr="00A04D4B">
        <w:rPr>
          <w:b/>
          <w:bCs/>
          <w:u w:val="single"/>
        </w:rPr>
        <w:t xml:space="preserve">NPRR1282 </w:t>
      </w:r>
      <w:r w:rsidR="00A93E18" w:rsidRPr="00A04D4B">
        <w:rPr>
          <w:b/>
          <w:bCs/>
          <w:u w:val="single"/>
        </w:rPr>
        <w:t>c</w:t>
      </w:r>
      <w:r w:rsidR="00CB76E3" w:rsidRPr="00A04D4B">
        <w:rPr>
          <w:b/>
          <w:bCs/>
          <w:u w:val="single"/>
        </w:rPr>
        <w:t xml:space="preserve">onflates </w:t>
      </w:r>
      <w:r w:rsidRPr="00A04D4B">
        <w:rPr>
          <w:b/>
          <w:bCs/>
          <w:u w:val="single"/>
        </w:rPr>
        <w:t>“Duration”</w:t>
      </w:r>
      <w:r w:rsidR="00DD6CCD" w:rsidRPr="00A04D4B">
        <w:rPr>
          <w:b/>
          <w:bCs/>
          <w:u w:val="single"/>
        </w:rPr>
        <w:t xml:space="preserve"> with</w:t>
      </w:r>
      <w:r w:rsidRPr="00A04D4B">
        <w:rPr>
          <w:b/>
          <w:bCs/>
          <w:u w:val="single"/>
        </w:rPr>
        <w:t xml:space="preserve"> “State of Charge,” which is a</w:t>
      </w:r>
      <w:r w:rsidR="00CB76E3" w:rsidRPr="00A04D4B">
        <w:rPr>
          <w:b/>
          <w:bCs/>
          <w:u w:val="single"/>
        </w:rPr>
        <w:t xml:space="preserve"> misapplication of </w:t>
      </w:r>
      <w:r w:rsidR="00145B85" w:rsidRPr="00A04D4B">
        <w:rPr>
          <w:b/>
          <w:bCs/>
          <w:u w:val="single"/>
        </w:rPr>
        <w:t>fundamental ESR</w:t>
      </w:r>
      <w:r w:rsidR="00CB76E3" w:rsidRPr="00A04D4B">
        <w:rPr>
          <w:b/>
          <w:bCs/>
          <w:u w:val="single"/>
        </w:rPr>
        <w:t xml:space="preserve"> concepts and results</w:t>
      </w:r>
      <w:r w:rsidR="002A301F" w:rsidRPr="00A04D4B">
        <w:rPr>
          <w:b/>
          <w:bCs/>
          <w:u w:val="single"/>
        </w:rPr>
        <w:t xml:space="preserve"> in a </w:t>
      </w:r>
      <w:r w:rsidRPr="00A04D4B">
        <w:rPr>
          <w:b/>
          <w:bCs/>
          <w:u w:val="single"/>
        </w:rPr>
        <w:t>drastic departure from current</w:t>
      </w:r>
      <w:r w:rsidR="00DD6CCD" w:rsidRPr="00A04D4B">
        <w:rPr>
          <w:b/>
          <w:bCs/>
          <w:u w:val="single"/>
        </w:rPr>
        <w:t xml:space="preserve"> ERCOT </w:t>
      </w:r>
      <w:r w:rsidR="004351C1" w:rsidRPr="00A04D4B">
        <w:rPr>
          <w:b/>
          <w:bCs/>
          <w:u w:val="single"/>
        </w:rPr>
        <w:t>s</w:t>
      </w:r>
      <w:r w:rsidR="00074CEA" w:rsidRPr="00A04D4B">
        <w:rPr>
          <w:b/>
          <w:bCs/>
          <w:u w:val="single"/>
        </w:rPr>
        <w:t>t</w:t>
      </w:r>
      <w:r w:rsidR="00DD6CCD" w:rsidRPr="00A04D4B">
        <w:rPr>
          <w:b/>
          <w:bCs/>
          <w:u w:val="single"/>
        </w:rPr>
        <w:t>andards</w:t>
      </w:r>
      <w:r w:rsidR="00CB76E3" w:rsidRPr="00A04D4B">
        <w:rPr>
          <w:b/>
          <w:bCs/>
          <w:u w:val="single"/>
        </w:rPr>
        <w:t xml:space="preserve"> regarding duration and state of charge</w:t>
      </w:r>
      <w:r w:rsidR="00B74013" w:rsidRPr="00A04D4B">
        <w:rPr>
          <w:b/>
          <w:bCs/>
          <w:u w:val="single"/>
        </w:rPr>
        <w:t>.</w:t>
      </w:r>
    </w:p>
    <w:p w14:paraId="088C8918" w14:textId="77777777" w:rsidR="00F428C3" w:rsidRPr="00A04D4B" w:rsidRDefault="00F428C3" w:rsidP="00780326">
      <w:pPr>
        <w:pStyle w:val="NormalArial"/>
        <w:ind w:left="360"/>
        <w:jc w:val="both"/>
      </w:pPr>
    </w:p>
    <w:p w14:paraId="74CD1A59" w14:textId="77777777" w:rsidR="00A6539E" w:rsidRPr="00A04D4B" w:rsidRDefault="00A6539E" w:rsidP="00780326">
      <w:pPr>
        <w:pStyle w:val="NormalArial"/>
        <w:spacing w:after="240"/>
        <w:jc w:val="both"/>
        <w:rPr>
          <w:rFonts w:cs="Arial"/>
        </w:rPr>
      </w:pPr>
      <w:r w:rsidRPr="00A04D4B">
        <w:rPr>
          <w:rFonts w:cs="Arial"/>
          <w:b/>
          <w:bCs/>
        </w:rPr>
        <w:t>Duration</w:t>
      </w:r>
      <w:r w:rsidRPr="00A04D4B">
        <w:rPr>
          <w:rFonts w:cs="Arial"/>
        </w:rPr>
        <w:t xml:space="preserve"> refers to the amount of time an ESR can continuously discharge at its rated power output before depleting its usable energy capacity—i.e., the battery’s energy capacity (MWh) divided by its power rating (MW), assuming a constant discharge rate.</w:t>
      </w:r>
      <w:r w:rsidRPr="00A04D4B">
        <w:rPr>
          <w:rStyle w:val="FootnoteReference"/>
          <w:rFonts w:cs="Arial"/>
        </w:rPr>
        <w:footnoteReference w:id="9"/>
      </w:r>
      <w:r w:rsidRPr="00A04D4B">
        <w:rPr>
          <w:rFonts w:cs="Arial"/>
        </w:rPr>
        <w:t xml:space="preserve"> </w:t>
      </w:r>
    </w:p>
    <w:p w14:paraId="7B78D126" w14:textId="730D7D38" w:rsidR="00A6539E" w:rsidRPr="00A04D4B" w:rsidRDefault="00A6539E" w:rsidP="00780326">
      <w:pPr>
        <w:pStyle w:val="NormalArial"/>
        <w:spacing w:after="240"/>
        <w:jc w:val="both"/>
        <w:rPr>
          <w:rFonts w:cs="Arial"/>
        </w:rPr>
      </w:pPr>
      <w:r w:rsidRPr="00A04D4B">
        <w:rPr>
          <w:rFonts w:cs="Arial"/>
          <w:b/>
          <w:bCs/>
        </w:rPr>
        <w:lastRenderedPageBreak/>
        <w:t>SOC</w:t>
      </w:r>
      <w:r w:rsidRPr="00A04D4B">
        <w:rPr>
          <w:rFonts w:cs="Arial"/>
        </w:rPr>
        <w:t xml:space="preserve"> </w:t>
      </w:r>
      <w:r w:rsidR="00200492" w:rsidRPr="00A04D4B">
        <w:rPr>
          <w:rFonts w:cs="Arial"/>
        </w:rPr>
        <w:t xml:space="preserve">or </w:t>
      </w:r>
      <w:r w:rsidR="00200492" w:rsidRPr="00A04D4B">
        <w:rPr>
          <w:rFonts w:cs="Arial"/>
          <w:b/>
        </w:rPr>
        <w:t xml:space="preserve">SOC percentage </w:t>
      </w:r>
      <w:r w:rsidRPr="00A04D4B">
        <w:rPr>
          <w:rFonts w:cs="Arial"/>
        </w:rPr>
        <w:t xml:space="preserve">represents the </w:t>
      </w:r>
      <w:r w:rsidR="007A75DC" w:rsidRPr="00A04D4B">
        <w:rPr>
          <w:rFonts w:cs="Arial"/>
        </w:rPr>
        <w:t>amount</w:t>
      </w:r>
      <w:r w:rsidRPr="00A04D4B">
        <w:rPr>
          <w:rFonts w:cs="Arial"/>
        </w:rPr>
        <w:t xml:space="preserve"> of an ESR’s usable energy capacity that is currently stored—i.e., the battery’s usable stored energy divided by its maximum usable energy capacity, multiplied by 100.</w:t>
      </w:r>
    </w:p>
    <w:p w14:paraId="64FC92B8" w14:textId="77777777" w:rsidR="00A6539E" w:rsidRPr="00A04D4B" w:rsidRDefault="00A6539E" w:rsidP="00780326">
      <w:pPr>
        <w:pStyle w:val="NormalArial"/>
        <w:spacing w:after="120"/>
        <w:ind w:firstLine="360"/>
        <w:jc w:val="both"/>
        <w:rPr>
          <w:rFonts w:cs="Arial"/>
          <w:b/>
          <w:bCs/>
          <w:i/>
          <w:iCs/>
        </w:rPr>
      </w:pPr>
      <w:r w:rsidRPr="00A04D4B">
        <w:rPr>
          <w:rFonts w:cs="Arial"/>
          <w:b/>
          <w:bCs/>
          <w:i/>
          <w:iCs/>
        </w:rPr>
        <w:t xml:space="preserve">Example: </w:t>
      </w:r>
    </w:p>
    <w:p w14:paraId="489576AF" w14:textId="77777777" w:rsidR="00A6539E" w:rsidRPr="00A04D4B" w:rsidRDefault="00A6539E" w:rsidP="00780326">
      <w:pPr>
        <w:pStyle w:val="NormalArial"/>
        <w:numPr>
          <w:ilvl w:val="0"/>
          <w:numId w:val="6"/>
        </w:numPr>
        <w:spacing w:after="120"/>
        <w:jc w:val="both"/>
        <w:rPr>
          <w:rFonts w:cs="Arial"/>
        </w:rPr>
      </w:pPr>
      <w:r w:rsidRPr="00A04D4B">
        <w:rPr>
          <w:rFonts w:cs="Arial"/>
          <w:b/>
          <w:bCs/>
        </w:rPr>
        <w:t>Duration</w:t>
      </w:r>
    </w:p>
    <w:p w14:paraId="28F6E93F" w14:textId="77777777" w:rsidR="00A6539E" w:rsidRPr="00A04D4B" w:rsidRDefault="00A6539E" w:rsidP="00780326">
      <w:pPr>
        <w:pStyle w:val="NormalArial"/>
        <w:numPr>
          <w:ilvl w:val="1"/>
          <w:numId w:val="6"/>
        </w:numPr>
        <w:spacing w:after="120"/>
        <w:jc w:val="both"/>
        <w:rPr>
          <w:rFonts w:cs="Arial"/>
        </w:rPr>
      </w:pPr>
      <w:r w:rsidRPr="00A04D4B">
        <w:rPr>
          <w:rFonts w:cs="Arial"/>
        </w:rPr>
        <w:t>An ESR has a maximum usable energy capacity of 400 MWh and a rated power output of 100 MW.</w:t>
      </w:r>
    </w:p>
    <w:p w14:paraId="235EEF47" w14:textId="77777777" w:rsidR="00A6539E" w:rsidRPr="00A04D4B" w:rsidRDefault="00A6539E" w:rsidP="00780326">
      <w:pPr>
        <w:pStyle w:val="NormalArial"/>
        <w:numPr>
          <w:ilvl w:val="2"/>
          <w:numId w:val="6"/>
        </w:numPr>
        <w:spacing w:after="120"/>
        <w:jc w:val="both"/>
        <w:rPr>
          <w:rFonts w:cs="Arial"/>
        </w:rPr>
      </w:pPr>
      <w:r w:rsidRPr="00A04D4B">
        <w:rPr>
          <w:rFonts w:cs="Arial"/>
        </w:rPr>
        <w:t>400 MWh ÷ 100 MW = 4 hours</w:t>
      </w:r>
    </w:p>
    <w:p w14:paraId="0C0E4506" w14:textId="77777777" w:rsidR="00A6539E" w:rsidRPr="00A04D4B" w:rsidRDefault="00A6539E" w:rsidP="00780326">
      <w:pPr>
        <w:pStyle w:val="NormalArial"/>
        <w:numPr>
          <w:ilvl w:val="2"/>
          <w:numId w:val="6"/>
        </w:numPr>
        <w:spacing w:after="120"/>
        <w:jc w:val="both"/>
        <w:rPr>
          <w:rFonts w:cs="Arial"/>
        </w:rPr>
      </w:pPr>
      <w:r w:rsidRPr="00A04D4B">
        <w:rPr>
          <w:rFonts w:cs="Arial"/>
        </w:rPr>
        <w:t>The battery has a duration of 4 hours.</w:t>
      </w:r>
    </w:p>
    <w:p w14:paraId="1A7A9C92" w14:textId="77777777" w:rsidR="00A6539E" w:rsidRPr="00A04D4B" w:rsidRDefault="00A6539E" w:rsidP="00780326">
      <w:pPr>
        <w:pStyle w:val="NormalArial"/>
        <w:numPr>
          <w:ilvl w:val="0"/>
          <w:numId w:val="6"/>
        </w:numPr>
        <w:spacing w:after="120"/>
        <w:jc w:val="both"/>
        <w:rPr>
          <w:rFonts w:cs="Arial"/>
          <w:b/>
          <w:bCs/>
        </w:rPr>
      </w:pPr>
      <w:r w:rsidRPr="00A04D4B">
        <w:rPr>
          <w:rFonts w:cs="Arial"/>
          <w:b/>
          <w:bCs/>
        </w:rPr>
        <w:t>SOC</w:t>
      </w:r>
    </w:p>
    <w:p w14:paraId="6CD55904" w14:textId="77777777" w:rsidR="00A6539E" w:rsidRPr="00A04D4B" w:rsidRDefault="00A6539E" w:rsidP="00780326">
      <w:pPr>
        <w:pStyle w:val="NormalArial"/>
        <w:numPr>
          <w:ilvl w:val="1"/>
          <w:numId w:val="6"/>
        </w:numPr>
        <w:spacing w:after="120"/>
        <w:jc w:val="both"/>
        <w:rPr>
          <w:rFonts w:cs="Arial"/>
        </w:rPr>
      </w:pPr>
      <w:r w:rsidRPr="00A04D4B">
        <w:rPr>
          <w:rFonts w:cs="Arial"/>
        </w:rPr>
        <w:t>The ESR is currently storing 200 MWh of usable energy.</w:t>
      </w:r>
    </w:p>
    <w:p w14:paraId="4FC4CF56" w14:textId="77777777" w:rsidR="00A6539E" w:rsidRPr="00A04D4B" w:rsidRDefault="00A6539E" w:rsidP="00780326">
      <w:pPr>
        <w:pStyle w:val="NormalArial"/>
        <w:numPr>
          <w:ilvl w:val="2"/>
          <w:numId w:val="6"/>
        </w:numPr>
        <w:spacing w:after="120"/>
        <w:jc w:val="both"/>
        <w:rPr>
          <w:rFonts w:cs="Arial"/>
        </w:rPr>
      </w:pPr>
      <w:r w:rsidRPr="00A04D4B">
        <w:rPr>
          <w:rFonts w:cs="Arial"/>
        </w:rPr>
        <w:t>200 MWh ÷ 400 MWh × 100 = 50%</w:t>
      </w:r>
    </w:p>
    <w:p w14:paraId="17026BDB" w14:textId="4CA17770" w:rsidR="001B5C5D" w:rsidRPr="00A04D4B" w:rsidRDefault="00A6539E" w:rsidP="00780326">
      <w:pPr>
        <w:pStyle w:val="NormalArial"/>
        <w:numPr>
          <w:ilvl w:val="2"/>
          <w:numId w:val="6"/>
        </w:numPr>
        <w:spacing w:after="240"/>
        <w:jc w:val="both"/>
        <w:rPr>
          <w:rFonts w:cs="Arial"/>
        </w:rPr>
      </w:pPr>
      <w:r w:rsidRPr="00A04D4B">
        <w:rPr>
          <w:rFonts w:cs="Arial"/>
        </w:rPr>
        <w:t>The battery’s SOC is 50% full; 50% of the battery’s usable energy capacity available.</w:t>
      </w:r>
    </w:p>
    <w:p w14:paraId="316A4330" w14:textId="4C1CC0AD" w:rsidR="00FA0AA6" w:rsidRPr="00A04D4B" w:rsidRDefault="00A6539E" w:rsidP="00BC45C1">
      <w:pPr>
        <w:pStyle w:val="NormalArial"/>
        <w:spacing w:after="240"/>
        <w:jc w:val="both"/>
      </w:pPr>
      <w:r w:rsidRPr="00A04D4B">
        <w:rPr>
          <w:rFonts w:cs="Arial"/>
        </w:rPr>
        <w:lastRenderedPageBreak/>
        <w:t xml:space="preserve">A key feature of RTC+B is the shift to a “Single Model” representation of ESRs, giving </w:t>
      </w:r>
      <w:r w:rsidR="00D341BF" w:rsidRPr="00A04D4B">
        <w:rPr>
          <w:rFonts w:cs="Arial"/>
        </w:rPr>
        <w:t xml:space="preserve">RTC </w:t>
      </w:r>
      <w:r w:rsidR="008404B5" w:rsidRPr="00A04D4B">
        <w:rPr>
          <w:rFonts w:cs="Arial"/>
        </w:rPr>
        <w:t>S</w:t>
      </w:r>
      <w:r w:rsidR="006866EC" w:rsidRPr="00A04D4B">
        <w:rPr>
          <w:rFonts w:cs="Arial"/>
        </w:rPr>
        <w:t xml:space="preserve">CED </w:t>
      </w:r>
      <w:r w:rsidRPr="00A04D4B">
        <w:rPr>
          <w:rFonts w:cs="Arial"/>
        </w:rPr>
        <w:t xml:space="preserve">full </w:t>
      </w:r>
      <w:r w:rsidR="00806C61" w:rsidRPr="00A04D4B">
        <w:rPr>
          <w:rFonts w:cs="Arial"/>
        </w:rPr>
        <w:t>R</w:t>
      </w:r>
      <w:r w:rsidRPr="00A04D4B">
        <w:rPr>
          <w:rFonts w:cs="Arial"/>
        </w:rPr>
        <w:t>eal-</w:t>
      </w:r>
      <w:r w:rsidR="00806C61" w:rsidRPr="00A04D4B">
        <w:rPr>
          <w:rFonts w:cs="Arial"/>
        </w:rPr>
        <w:t>T</w:t>
      </w:r>
      <w:r w:rsidRPr="00A04D4B">
        <w:rPr>
          <w:rFonts w:cs="Arial"/>
        </w:rPr>
        <w:t>ime visibility into each ESR’s</w:t>
      </w:r>
      <w:r w:rsidR="0010057D" w:rsidRPr="00A04D4B">
        <w:rPr>
          <w:rFonts w:cs="Arial"/>
        </w:rPr>
        <w:t xml:space="preserve"> </w:t>
      </w:r>
      <w:r w:rsidR="0014388E" w:rsidRPr="00A04D4B">
        <w:rPr>
          <w:rFonts w:cs="Arial"/>
        </w:rPr>
        <w:t>R</w:t>
      </w:r>
      <w:r w:rsidR="00556FB4" w:rsidRPr="00A04D4B">
        <w:rPr>
          <w:rFonts w:cs="Arial"/>
        </w:rPr>
        <w:t>eal-</w:t>
      </w:r>
      <w:r w:rsidR="0014388E" w:rsidRPr="00A04D4B">
        <w:rPr>
          <w:rFonts w:cs="Arial"/>
        </w:rPr>
        <w:t>T</w:t>
      </w:r>
      <w:r w:rsidR="00556FB4" w:rsidRPr="00A04D4B">
        <w:rPr>
          <w:rFonts w:cs="Arial"/>
        </w:rPr>
        <w:t>ime</w:t>
      </w:r>
      <w:r w:rsidRPr="00A04D4B">
        <w:rPr>
          <w:rFonts w:cs="Arial"/>
        </w:rPr>
        <w:t xml:space="preserve"> operating capabilities. This enhanced transparency—developed collaboratively with stakeholders through the Battery Energy Storage Task Force (BESTF) in 2020 and</w:t>
      </w:r>
      <w:r w:rsidR="006878FC" w:rsidRPr="00A04D4B">
        <w:rPr>
          <w:rFonts w:cs="Arial"/>
        </w:rPr>
        <w:t xml:space="preserve"> SOC provisions approved under</w:t>
      </w:r>
      <w:r w:rsidRPr="00A04D4B">
        <w:rPr>
          <w:rFonts w:cs="Arial"/>
        </w:rPr>
        <w:t xml:space="preserve"> NPRR1186—provides </w:t>
      </w:r>
      <w:r w:rsidR="00351804" w:rsidRPr="00A04D4B">
        <w:rPr>
          <w:rFonts w:cs="Arial"/>
        </w:rPr>
        <w:t>SCED</w:t>
      </w:r>
      <w:r w:rsidRPr="00A04D4B">
        <w:rPr>
          <w:rFonts w:cs="Arial"/>
        </w:rPr>
        <w:t xml:space="preserve"> with the information needed to assess the actual availability of ESRs</w:t>
      </w:r>
      <w:r w:rsidR="00351804" w:rsidRPr="00A04D4B">
        <w:rPr>
          <w:rFonts w:cs="Arial"/>
        </w:rPr>
        <w:t xml:space="preserve"> for each SCED interval</w:t>
      </w:r>
      <w:r w:rsidRPr="00A04D4B">
        <w:rPr>
          <w:rFonts w:cs="Arial"/>
        </w:rPr>
        <w:t xml:space="preserve">. </w:t>
      </w:r>
      <w:proofErr w:type="gramStart"/>
      <w:r w:rsidR="0073719D" w:rsidRPr="00A04D4B">
        <w:t>In order for</w:t>
      </w:r>
      <w:proofErr w:type="gramEnd"/>
      <w:r w:rsidR="0073719D" w:rsidRPr="00A04D4B">
        <w:t xml:space="preserve"> SCED to award a</w:t>
      </w:r>
      <w:r w:rsidR="00C15E9B" w:rsidRPr="00A04D4B">
        <w:t xml:space="preserve"> </w:t>
      </w:r>
      <w:r w:rsidR="001769D2" w:rsidRPr="00A04D4B">
        <w:t>R</w:t>
      </w:r>
      <w:r w:rsidR="00C15E9B" w:rsidRPr="00A04D4B">
        <w:t>eal-</w:t>
      </w:r>
      <w:r w:rsidR="001769D2" w:rsidRPr="00A04D4B">
        <w:t>T</w:t>
      </w:r>
      <w:r w:rsidR="00C15E9B" w:rsidRPr="00A04D4B">
        <w:t xml:space="preserve">ime </w:t>
      </w:r>
      <w:r w:rsidR="0073719D" w:rsidRPr="00A04D4B">
        <w:t xml:space="preserve">five-minute </w:t>
      </w:r>
      <w:r w:rsidR="00B2570A" w:rsidRPr="00A04D4B">
        <w:t>A</w:t>
      </w:r>
      <w:r w:rsidR="00A47BD3" w:rsidRPr="00A04D4B">
        <w:t xml:space="preserve">ncillary </w:t>
      </w:r>
      <w:r w:rsidR="00B2570A" w:rsidRPr="00A04D4B">
        <w:t>S</w:t>
      </w:r>
      <w:r w:rsidR="00A47BD3" w:rsidRPr="00A04D4B">
        <w:t>er</w:t>
      </w:r>
      <w:r w:rsidR="00CB58C0" w:rsidRPr="00A04D4B">
        <w:t xml:space="preserve">vice </w:t>
      </w:r>
      <w:r w:rsidR="007D6AD9" w:rsidRPr="00A04D4B">
        <w:t>commitment</w:t>
      </w:r>
      <w:r w:rsidR="00C15E9B" w:rsidRPr="00A04D4B">
        <w:t xml:space="preserve"> to an ESR under RTC, </w:t>
      </w:r>
      <w:r w:rsidR="00F428C3" w:rsidRPr="00A04D4B">
        <w:t>NPRR1282</w:t>
      </w:r>
      <w:r w:rsidR="00B8731A" w:rsidRPr="00A04D4B">
        <w:t xml:space="preserve"> requires </w:t>
      </w:r>
      <w:r w:rsidR="00C15E9B" w:rsidRPr="00A04D4B">
        <w:t xml:space="preserve">the </w:t>
      </w:r>
      <w:r w:rsidR="001769D2" w:rsidRPr="00A04D4B">
        <w:t>R</w:t>
      </w:r>
      <w:r w:rsidR="00C15E9B" w:rsidRPr="00A04D4B">
        <w:t>eal-</w:t>
      </w:r>
      <w:r w:rsidR="001769D2" w:rsidRPr="00A04D4B">
        <w:t>T</w:t>
      </w:r>
      <w:r w:rsidR="00C15E9B" w:rsidRPr="00A04D4B">
        <w:t xml:space="preserve">ime </w:t>
      </w:r>
      <w:r w:rsidR="00674F77">
        <w:t>SOC</w:t>
      </w:r>
      <w:r w:rsidR="002A4F6B" w:rsidRPr="00A04D4B">
        <w:t xml:space="preserve"> </w:t>
      </w:r>
      <w:r w:rsidR="00F40F1E" w:rsidRPr="00A04D4B">
        <w:t>energy</w:t>
      </w:r>
      <w:r w:rsidR="002A4F6B" w:rsidRPr="00A04D4B">
        <w:t xml:space="preserve"> </w:t>
      </w:r>
      <w:r w:rsidR="00C15E9B" w:rsidRPr="00A04D4B">
        <w:t>in the</w:t>
      </w:r>
      <w:r w:rsidR="00B479AD" w:rsidRPr="00A04D4B">
        <w:t xml:space="preserve"> ESR </w:t>
      </w:r>
      <w:r w:rsidR="00C15E9B" w:rsidRPr="00A04D4B">
        <w:t xml:space="preserve">to match the </w:t>
      </w:r>
      <w:r w:rsidR="00B2570A" w:rsidRPr="00A04D4B">
        <w:t>A</w:t>
      </w:r>
      <w:r w:rsidR="00F428C3" w:rsidRPr="00A04D4B">
        <w:t xml:space="preserve">ncillary </w:t>
      </w:r>
      <w:r w:rsidR="00B2570A" w:rsidRPr="00A04D4B">
        <w:t>S</w:t>
      </w:r>
      <w:r w:rsidR="00F428C3" w:rsidRPr="00A04D4B">
        <w:t xml:space="preserve">ervice </w:t>
      </w:r>
      <w:r w:rsidR="005F6191" w:rsidRPr="00A04D4B">
        <w:t xml:space="preserve">duration </w:t>
      </w:r>
      <w:r w:rsidR="00F428C3" w:rsidRPr="00A04D4B">
        <w:t>qualification</w:t>
      </w:r>
      <w:r w:rsidR="009336B4" w:rsidRPr="00A04D4B">
        <w:t xml:space="preserve"> for that </w:t>
      </w:r>
      <w:r w:rsidR="00B2570A" w:rsidRPr="00A04D4B">
        <w:t>A</w:t>
      </w:r>
      <w:r w:rsidR="009336B4" w:rsidRPr="00A04D4B">
        <w:t xml:space="preserve">ncillary </w:t>
      </w:r>
      <w:r w:rsidR="00B2570A" w:rsidRPr="00A04D4B">
        <w:t>S</w:t>
      </w:r>
      <w:r w:rsidR="009336B4" w:rsidRPr="00A04D4B">
        <w:t>ervice</w:t>
      </w:r>
      <w:r w:rsidR="000D7B88" w:rsidRPr="00A04D4B">
        <w:t xml:space="preserve"> (e.g. </w:t>
      </w:r>
      <w:r w:rsidR="0035740C" w:rsidRPr="00A04D4B">
        <w:t>four</w:t>
      </w:r>
      <w:r w:rsidR="000D7B88" w:rsidRPr="00A04D4B">
        <w:t>-hours of capacity under the Non-Spin duration qualification requirements)</w:t>
      </w:r>
      <w:r w:rsidR="00B479AD" w:rsidRPr="00A04D4B">
        <w:t>.</w:t>
      </w:r>
      <w:r w:rsidR="009079A8" w:rsidRPr="00A04D4B">
        <w:t xml:space="preserve"> </w:t>
      </w:r>
    </w:p>
    <w:p w14:paraId="36AE150E" w14:textId="1D6C4D93" w:rsidR="00CD4CCE" w:rsidRPr="00A04D4B" w:rsidRDefault="009079A8" w:rsidP="00780326">
      <w:pPr>
        <w:pStyle w:val="NormalArial"/>
        <w:jc w:val="both"/>
      </w:pPr>
      <w:r w:rsidRPr="00A04D4B">
        <w:t xml:space="preserve">Today, separate values </w:t>
      </w:r>
      <w:r w:rsidR="009B14AF" w:rsidRPr="00A04D4B">
        <w:t xml:space="preserve">for </w:t>
      </w:r>
      <w:r w:rsidR="00683728" w:rsidRPr="00A04D4B">
        <w:t xml:space="preserve">duration qualification and </w:t>
      </w:r>
      <w:r w:rsidR="001769D2" w:rsidRPr="00A04D4B">
        <w:t>R</w:t>
      </w:r>
      <w:r w:rsidR="00E707FE" w:rsidRPr="00A04D4B">
        <w:t>eal-</w:t>
      </w:r>
      <w:r w:rsidR="004645B0" w:rsidRPr="00A04D4B">
        <w:t>T</w:t>
      </w:r>
      <w:r w:rsidR="00E707FE" w:rsidRPr="00A04D4B">
        <w:t xml:space="preserve">ime </w:t>
      </w:r>
      <w:r w:rsidR="00A9407E" w:rsidRPr="00A04D4B">
        <w:t xml:space="preserve">SOC </w:t>
      </w:r>
      <w:r w:rsidR="008E6DF6" w:rsidRPr="00A04D4B">
        <w:t xml:space="preserve">requirements </w:t>
      </w:r>
      <w:r w:rsidRPr="00A04D4B">
        <w:t xml:space="preserve">are </w:t>
      </w:r>
      <w:r w:rsidR="00484350" w:rsidRPr="00A04D4B">
        <w:t>used</w:t>
      </w:r>
      <w:r w:rsidRPr="00A04D4B">
        <w:t xml:space="preserve">, a solution which stemmed from direction from the </w:t>
      </w:r>
      <w:r w:rsidR="00484350" w:rsidRPr="00A04D4B">
        <w:t xml:space="preserve">ERCOT </w:t>
      </w:r>
      <w:r w:rsidRPr="00A04D4B">
        <w:t>Board</w:t>
      </w:r>
      <w:r w:rsidR="00FF6282" w:rsidRPr="00A04D4B">
        <w:t xml:space="preserve"> at their August 31, 2023, meeting to address the issue of “stranded energy” associated with proposed State of Charge requirements in NPRR1186</w:t>
      </w:r>
      <w:r w:rsidR="00674F77">
        <w:t xml:space="preserve">, </w:t>
      </w:r>
      <w:r w:rsidR="00FF6282" w:rsidRPr="00A04D4B">
        <w:t>Improvements Prior to the RTC+B Project for Better ESR State of Charge Awareness, Accounting, and Monitoring, as proposed at that time</w:t>
      </w:r>
      <w:r w:rsidRPr="00A04D4B">
        <w:rPr>
          <w:rStyle w:val="FootnoteReference"/>
        </w:rPr>
        <w:footnoteReference w:id="10"/>
      </w:r>
      <w:r w:rsidR="00F428C3" w:rsidRPr="00A04D4B">
        <w:t>.</w:t>
      </w:r>
      <w:r w:rsidR="009409B5" w:rsidRPr="00A04D4B">
        <w:t xml:space="preserve"> </w:t>
      </w:r>
      <w:r w:rsidR="00484350" w:rsidRPr="00A04D4B">
        <w:t>At that time</w:t>
      </w:r>
      <w:r w:rsidR="00EA0338" w:rsidRPr="00A04D4B">
        <w:t xml:space="preserve">, </w:t>
      </w:r>
      <w:r w:rsidR="00CD4CCE" w:rsidRPr="00A04D4B">
        <w:t>ERCOT propose</w:t>
      </w:r>
      <w:r w:rsidR="00EA0338" w:rsidRPr="00A04D4B">
        <w:t>d</w:t>
      </w:r>
      <w:r w:rsidR="00CD4CCE" w:rsidRPr="00A04D4B">
        <w:t xml:space="preserve"> </w:t>
      </w:r>
      <w:r w:rsidR="00EA0338" w:rsidRPr="00A04D4B">
        <w:t>for</w:t>
      </w:r>
      <w:r w:rsidR="00CD4CCE" w:rsidRPr="00A04D4B">
        <w:t xml:space="preserve"> </w:t>
      </w:r>
      <w:r w:rsidR="00EA0338" w:rsidRPr="00A04D4B">
        <w:t>“</w:t>
      </w:r>
      <w:r w:rsidR="00CD4CCE" w:rsidRPr="00A04D4B">
        <w:t>the minimum SOC requirements for ECRS and Non-Spin to slope from the full hourly Ancillary</w:t>
      </w:r>
      <w:r w:rsidR="00B2570A" w:rsidRPr="00A04D4B">
        <w:t xml:space="preserve"> </w:t>
      </w:r>
      <w:r w:rsidR="00CD4CCE" w:rsidRPr="00A04D4B">
        <w:t xml:space="preserve">Service Resource Responsibility at the start of each hour to 0 MWh at the end of the hour in each hour where the Resource is carrying that </w:t>
      </w:r>
      <w:r w:rsidR="00CD4CCE" w:rsidRPr="00A04D4B">
        <w:lastRenderedPageBreak/>
        <w:t>Responsibility</w:t>
      </w:r>
      <w:r w:rsidR="00EA0338" w:rsidRPr="00A04D4B">
        <w:t>…</w:t>
      </w:r>
      <w:r w:rsidR="00CD4CCE" w:rsidRPr="00A04D4B">
        <w:t>.</w:t>
      </w:r>
      <w:r w:rsidR="00CD4CCE" w:rsidRPr="00A04D4B">
        <w:rPr>
          <w:rFonts w:ascii="Times New Roman" w:hAnsi="Times New Roman"/>
        </w:rPr>
        <w:t xml:space="preserve"> </w:t>
      </w:r>
      <w:r w:rsidR="00CD4CCE" w:rsidRPr="00A04D4B">
        <w:t>This change will eliminate the need for Energy Storage Resources (ESRs) to hold any more SOC than the amount needed for a full deployment across a single hour and will enable this energy to be made available to the grid in all conditions, including scarcity.”</w:t>
      </w:r>
      <w:r w:rsidR="0032650C" w:rsidRPr="00A04D4B">
        <w:t xml:space="preserve"> Again, </w:t>
      </w:r>
      <w:r w:rsidR="00E63CFF" w:rsidRPr="00A04D4B">
        <w:t>while a direct corollary cannot be made</w:t>
      </w:r>
      <w:r w:rsidR="00385383" w:rsidRPr="00A04D4B">
        <w:t xml:space="preserve">, NPRR1186 </w:t>
      </w:r>
      <w:r w:rsidR="00FA0AA6" w:rsidRPr="00A04D4B">
        <w:t>constitutes</w:t>
      </w:r>
      <w:r w:rsidR="00385383" w:rsidRPr="00A04D4B">
        <w:t xml:space="preserve"> ERCOT’s measures to ensure </w:t>
      </w:r>
      <w:r w:rsidR="00716082" w:rsidRPr="00A04D4B">
        <w:t xml:space="preserve">that state of charge could meet operational needs, pre-RTC. </w:t>
      </w:r>
      <w:r w:rsidR="000E4787" w:rsidRPr="00A04D4B">
        <w:t xml:space="preserve">As the current length of an </w:t>
      </w:r>
      <w:r w:rsidR="00B2570A" w:rsidRPr="00A04D4B">
        <w:t>A</w:t>
      </w:r>
      <w:r w:rsidR="000E4787" w:rsidRPr="00A04D4B">
        <w:t xml:space="preserve">ncillary </w:t>
      </w:r>
      <w:r w:rsidR="00B2570A" w:rsidRPr="00A04D4B">
        <w:t>S</w:t>
      </w:r>
      <w:r w:rsidR="000E4787" w:rsidRPr="00A04D4B">
        <w:t xml:space="preserve">ervice award is one hour, most </w:t>
      </w:r>
      <w:r w:rsidR="00B2570A" w:rsidRPr="00A04D4B">
        <w:t>A</w:t>
      </w:r>
      <w:r w:rsidR="000E4787" w:rsidRPr="00A04D4B">
        <w:t xml:space="preserve">ncillary </w:t>
      </w:r>
      <w:r w:rsidR="00B2570A" w:rsidRPr="00A04D4B">
        <w:t>S</w:t>
      </w:r>
      <w:r w:rsidR="000E4787" w:rsidRPr="00A04D4B">
        <w:t>ervices carry an expectation of SOC that begins at one hour and slopes down so that the required SOC can reasonably deplete as the time in the hour diminishes (forming a “triangle”).</w:t>
      </w:r>
      <w:r w:rsidR="00513649" w:rsidRPr="00A04D4B">
        <w:t xml:space="preserve"> In other words, </w:t>
      </w:r>
      <w:r w:rsidR="001B282C" w:rsidRPr="00A04D4B">
        <w:t xml:space="preserve">under today’s operations </w:t>
      </w:r>
      <w:r w:rsidR="00513649" w:rsidRPr="00A04D4B">
        <w:t xml:space="preserve">the </w:t>
      </w:r>
      <w:r w:rsidR="00B2570A" w:rsidRPr="00A04D4B">
        <w:t>A</w:t>
      </w:r>
      <w:r w:rsidR="00BC45C1" w:rsidRPr="00A04D4B">
        <w:t xml:space="preserve">ncillary </w:t>
      </w:r>
      <w:r w:rsidR="00B2570A" w:rsidRPr="00A04D4B">
        <w:t>S</w:t>
      </w:r>
      <w:r w:rsidR="00BC45C1" w:rsidRPr="00A04D4B">
        <w:t>ervice</w:t>
      </w:r>
      <w:r w:rsidR="00513649" w:rsidRPr="00A04D4B">
        <w:t xml:space="preserve"> commitment </w:t>
      </w:r>
      <w:r w:rsidR="007C4576" w:rsidRPr="00A04D4B">
        <w:t xml:space="preserve">awarded for each </w:t>
      </w:r>
      <w:r w:rsidR="00BC45C1" w:rsidRPr="00A04D4B">
        <w:t>o</w:t>
      </w:r>
      <w:r w:rsidR="007C4576" w:rsidRPr="00A04D4B">
        <w:t xml:space="preserve">perating </w:t>
      </w:r>
      <w:r w:rsidR="00BC45C1" w:rsidRPr="00A04D4B">
        <w:t>h</w:t>
      </w:r>
      <w:r w:rsidR="007C4576" w:rsidRPr="00A04D4B">
        <w:t xml:space="preserve">our must be matched </w:t>
      </w:r>
      <w:r w:rsidR="00687E1C" w:rsidRPr="00A04D4B">
        <w:t xml:space="preserve">by </w:t>
      </w:r>
      <w:r w:rsidR="007C4576" w:rsidRPr="00A04D4B">
        <w:t xml:space="preserve">an available store of energy to cover the </w:t>
      </w:r>
      <w:r w:rsidR="00EC4DE7" w:rsidRPr="00A04D4B">
        <w:t>capacity</w:t>
      </w:r>
      <w:r w:rsidR="001B282C" w:rsidRPr="00A04D4B">
        <w:t xml:space="preserve"> </w:t>
      </w:r>
      <w:r w:rsidR="00687E1C" w:rsidRPr="00A04D4B">
        <w:t>obligation through the h</w:t>
      </w:r>
      <w:r w:rsidR="007C4576" w:rsidRPr="00A04D4B">
        <w:t xml:space="preserve">our. </w:t>
      </w:r>
    </w:p>
    <w:p w14:paraId="6A824541" w14:textId="77777777" w:rsidR="00A301E8" w:rsidRPr="00A04D4B" w:rsidRDefault="00A301E8" w:rsidP="00780326">
      <w:pPr>
        <w:pStyle w:val="NormalArial"/>
        <w:jc w:val="both"/>
      </w:pPr>
    </w:p>
    <w:p w14:paraId="54A5B840" w14:textId="176E0C3E" w:rsidR="009C0978" w:rsidRPr="00A04D4B" w:rsidRDefault="009C0978" w:rsidP="00780326">
      <w:pPr>
        <w:pStyle w:val="NormalArial"/>
        <w:jc w:val="both"/>
      </w:pPr>
      <w:r w:rsidRPr="00A04D4B">
        <w:t>See duration and SOC re</w:t>
      </w:r>
      <w:r w:rsidR="0002261F" w:rsidRPr="00A04D4B">
        <w:t>quirements as of passage of NPRR1186 below.</w:t>
      </w:r>
    </w:p>
    <w:p w14:paraId="3B6EEA7F" w14:textId="77777777" w:rsidR="009C0978" w:rsidRPr="00A04D4B" w:rsidRDefault="009C0978" w:rsidP="00780326">
      <w:pPr>
        <w:pStyle w:val="NormalAri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22"/>
        <w:gridCol w:w="3116"/>
      </w:tblGrid>
      <w:tr w:rsidR="00A301E8" w:rsidRPr="00A04D4B" w14:paraId="7BA51E7A" w14:textId="77777777" w:rsidTr="00B1125F">
        <w:tc>
          <w:tcPr>
            <w:tcW w:w="9576" w:type="dxa"/>
            <w:gridSpan w:val="3"/>
          </w:tcPr>
          <w:p w14:paraId="10DFFACC" w14:textId="77777777" w:rsidR="00A301E8" w:rsidRPr="00A04D4B" w:rsidRDefault="00A301E8" w:rsidP="004601E4">
            <w:pPr>
              <w:pStyle w:val="NormalArial"/>
              <w:jc w:val="center"/>
              <w:rPr>
                <w:b/>
                <w:bCs/>
              </w:rPr>
            </w:pPr>
            <w:r w:rsidRPr="00A04D4B">
              <w:rPr>
                <w:b/>
                <w:bCs/>
              </w:rPr>
              <w:t>Pre-RTC</w:t>
            </w:r>
          </w:p>
        </w:tc>
      </w:tr>
      <w:tr w:rsidR="00A301E8" w:rsidRPr="00A04D4B" w14:paraId="0AB4240B" w14:textId="77777777" w:rsidTr="00B1125F">
        <w:tc>
          <w:tcPr>
            <w:tcW w:w="3192" w:type="dxa"/>
          </w:tcPr>
          <w:p w14:paraId="088F1B45" w14:textId="77777777" w:rsidR="00A301E8" w:rsidRPr="00A04D4B" w:rsidRDefault="00A301E8" w:rsidP="00780326">
            <w:pPr>
              <w:pStyle w:val="NormalArial"/>
              <w:jc w:val="both"/>
            </w:pPr>
            <w:r w:rsidRPr="00A04D4B">
              <w:t>Ancillary Service</w:t>
            </w:r>
          </w:p>
        </w:tc>
        <w:tc>
          <w:tcPr>
            <w:tcW w:w="3192" w:type="dxa"/>
          </w:tcPr>
          <w:p w14:paraId="7515DDBC" w14:textId="77777777" w:rsidR="00A301E8" w:rsidRPr="00A04D4B" w:rsidRDefault="00A301E8" w:rsidP="00780326">
            <w:pPr>
              <w:pStyle w:val="NormalArial"/>
              <w:jc w:val="both"/>
            </w:pPr>
            <w:r w:rsidRPr="00A04D4B">
              <w:t xml:space="preserve">Qualification Requirement </w:t>
            </w:r>
          </w:p>
        </w:tc>
        <w:tc>
          <w:tcPr>
            <w:tcW w:w="3192" w:type="dxa"/>
          </w:tcPr>
          <w:p w14:paraId="62E873ED" w14:textId="77777777" w:rsidR="00A301E8" w:rsidRPr="00A04D4B" w:rsidRDefault="00A301E8" w:rsidP="00780326">
            <w:pPr>
              <w:pStyle w:val="NormalArial"/>
              <w:jc w:val="both"/>
            </w:pPr>
            <w:r w:rsidRPr="00A04D4B">
              <w:t xml:space="preserve">SOC Expectation  </w:t>
            </w:r>
          </w:p>
        </w:tc>
      </w:tr>
      <w:tr w:rsidR="00A301E8" w:rsidRPr="00A04D4B" w14:paraId="1EB8EE36" w14:textId="77777777" w:rsidTr="00B1125F">
        <w:tc>
          <w:tcPr>
            <w:tcW w:w="3192" w:type="dxa"/>
          </w:tcPr>
          <w:p w14:paraId="3BD75E69" w14:textId="77777777" w:rsidR="00A301E8" w:rsidRPr="00A04D4B" w:rsidRDefault="00A301E8" w:rsidP="00780326">
            <w:pPr>
              <w:pStyle w:val="NormalArial"/>
              <w:jc w:val="both"/>
            </w:pPr>
            <w:r w:rsidRPr="00A04D4B">
              <w:t xml:space="preserve">Non-Spin Reserve Service </w:t>
            </w:r>
          </w:p>
        </w:tc>
        <w:tc>
          <w:tcPr>
            <w:tcW w:w="3192" w:type="dxa"/>
          </w:tcPr>
          <w:p w14:paraId="504DC69F" w14:textId="77777777" w:rsidR="00A301E8" w:rsidRPr="00A04D4B" w:rsidRDefault="00A301E8" w:rsidP="00780326">
            <w:pPr>
              <w:pStyle w:val="NormalArial"/>
              <w:jc w:val="both"/>
            </w:pPr>
            <w:r w:rsidRPr="00A04D4B">
              <w:t xml:space="preserve">4 hours </w:t>
            </w:r>
          </w:p>
        </w:tc>
        <w:tc>
          <w:tcPr>
            <w:tcW w:w="3192" w:type="dxa"/>
          </w:tcPr>
          <w:p w14:paraId="52C9B1DB" w14:textId="77777777" w:rsidR="00A301E8" w:rsidRPr="00A04D4B" w:rsidRDefault="00A301E8" w:rsidP="00780326">
            <w:pPr>
              <w:pStyle w:val="NormalArial"/>
              <w:jc w:val="both"/>
            </w:pPr>
            <w:r w:rsidRPr="00A04D4B">
              <w:t xml:space="preserve">1 hour, sloping down across the hour </w:t>
            </w:r>
          </w:p>
        </w:tc>
      </w:tr>
      <w:tr w:rsidR="00A301E8" w:rsidRPr="00A04D4B" w14:paraId="6B95B9C9" w14:textId="77777777" w:rsidTr="00B1125F">
        <w:tc>
          <w:tcPr>
            <w:tcW w:w="3192" w:type="dxa"/>
          </w:tcPr>
          <w:p w14:paraId="37974451" w14:textId="77777777" w:rsidR="00A301E8" w:rsidRPr="00A04D4B" w:rsidRDefault="00A301E8" w:rsidP="00780326">
            <w:pPr>
              <w:pStyle w:val="NormalArial"/>
              <w:jc w:val="both"/>
            </w:pPr>
            <w:r w:rsidRPr="00A04D4B">
              <w:t>ECRS</w:t>
            </w:r>
          </w:p>
        </w:tc>
        <w:tc>
          <w:tcPr>
            <w:tcW w:w="3192" w:type="dxa"/>
          </w:tcPr>
          <w:p w14:paraId="4124A1D4" w14:textId="77777777" w:rsidR="00A301E8" w:rsidRPr="00A04D4B" w:rsidRDefault="00A301E8" w:rsidP="00780326">
            <w:pPr>
              <w:pStyle w:val="NormalArial"/>
              <w:jc w:val="both"/>
            </w:pPr>
            <w:r w:rsidRPr="00A04D4B">
              <w:t>2 hours</w:t>
            </w:r>
          </w:p>
        </w:tc>
        <w:tc>
          <w:tcPr>
            <w:tcW w:w="3192" w:type="dxa"/>
          </w:tcPr>
          <w:p w14:paraId="35612A04" w14:textId="77777777" w:rsidR="00A301E8" w:rsidRPr="00A04D4B" w:rsidRDefault="00A301E8" w:rsidP="00780326">
            <w:pPr>
              <w:pStyle w:val="NormalArial"/>
              <w:jc w:val="both"/>
            </w:pPr>
            <w:r w:rsidRPr="00A04D4B">
              <w:t>1 hour, sloping down across the hour</w:t>
            </w:r>
          </w:p>
        </w:tc>
      </w:tr>
      <w:tr w:rsidR="00A301E8" w:rsidRPr="00A04D4B" w14:paraId="729DCBD9" w14:textId="77777777" w:rsidTr="00B1125F">
        <w:tc>
          <w:tcPr>
            <w:tcW w:w="3192" w:type="dxa"/>
          </w:tcPr>
          <w:p w14:paraId="6A054828" w14:textId="77777777" w:rsidR="00A301E8" w:rsidRPr="00A04D4B" w:rsidRDefault="00A301E8" w:rsidP="00780326">
            <w:pPr>
              <w:pStyle w:val="NormalArial"/>
              <w:jc w:val="both"/>
            </w:pPr>
            <w:r w:rsidRPr="00A04D4B">
              <w:t>Regulation Service</w:t>
            </w:r>
          </w:p>
        </w:tc>
        <w:tc>
          <w:tcPr>
            <w:tcW w:w="3192" w:type="dxa"/>
          </w:tcPr>
          <w:p w14:paraId="67AE1559" w14:textId="77777777" w:rsidR="00A301E8" w:rsidRPr="00A04D4B" w:rsidRDefault="00A301E8" w:rsidP="00780326">
            <w:pPr>
              <w:pStyle w:val="NormalArial"/>
              <w:jc w:val="both"/>
            </w:pPr>
            <w:r w:rsidRPr="00A04D4B">
              <w:t>1 hour</w:t>
            </w:r>
          </w:p>
        </w:tc>
        <w:tc>
          <w:tcPr>
            <w:tcW w:w="3192" w:type="dxa"/>
          </w:tcPr>
          <w:p w14:paraId="1C75E9FA" w14:textId="77777777" w:rsidR="00A301E8" w:rsidRPr="00A04D4B" w:rsidRDefault="00A301E8" w:rsidP="00780326">
            <w:pPr>
              <w:pStyle w:val="NormalArial"/>
              <w:jc w:val="both"/>
            </w:pPr>
            <w:r w:rsidRPr="00A04D4B">
              <w:t>1 hour, sloping down across the hour</w:t>
            </w:r>
          </w:p>
        </w:tc>
      </w:tr>
      <w:tr w:rsidR="00A301E8" w:rsidRPr="00A04D4B" w14:paraId="302B6CC6" w14:textId="77777777" w:rsidTr="00B1125F">
        <w:tc>
          <w:tcPr>
            <w:tcW w:w="3192" w:type="dxa"/>
          </w:tcPr>
          <w:p w14:paraId="2AA22E3B" w14:textId="77777777" w:rsidR="00A301E8" w:rsidRPr="00A04D4B" w:rsidRDefault="00A301E8" w:rsidP="00780326">
            <w:pPr>
              <w:pStyle w:val="NormalArial"/>
              <w:jc w:val="both"/>
            </w:pPr>
            <w:r w:rsidRPr="00A04D4B">
              <w:t>RRS</w:t>
            </w:r>
          </w:p>
        </w:tc>
        <w:tc>
          <w:tcPr>
            <w:tcW w:w="3192" w:type="dxa"/>
          </w:tcPr>
          <w:p w14:paraId="2AD46494" w14:textId="77777777" w:rsidR="00A301E8" w:rsidRPr="00A04D4B" w:rsidRDefault="00A301E8" w:rsidP="00780326">
            <w:pPr>
              <w:pStyle w:val="NormalArial"/>
              <w:jc w:val="both"/>
            </w:pPr>
            <w:r w:rsidRPr="00A04D4B">
              <w:t>1 hour</w:t>
            </w:r>
          </w:p>
        </w:tc>
        <w:tc>
          <w:tcPr>
            <w:tcW w:w="3192" w:type="dxa"/>
          </w:tcPr>
          <w:p w14:paraId="31233EC2" w14:textId="77777777" w:rsidR="00A301E8" w:rsidRPr="00A04D4B" w:rsidRDefault="00A301E8" w:rsidP="00780326">
            <w:pPr>
              <w:pStyle w:val="NormalArial"/>
              <w:jc w:val="both"/>
            </w:pPr>
            <w:r w:rsidRPr="00A04D4B">
              <w:t>1 hour, sloping down across the hour</w:t>
            </w:r>
          </w:p>
        </w:tc>
      </w:tr>
    </w:tbl>
    <w:p w14:paraId="0CF8A8AC" w14:textId="77777777" w:rsidR="00A301E8" w:rsidRPr="00A04D4B" w:rsidRDefault="00A301E8" w:rsidP="00780326">
      <w:pPr>
        <w:pStyle w:val="NormalArial"/>
        <w:jc w:val="both"/>
      </w:pPr>
    </w:p>
    <w:p w14:paraId="3A6B7F90" w14:textId="551735BD" w:rsidR="00A301E8" w:rsidRPr="00A04D4B" w:rsidRDefault="00A301E8" w:rsidP="00780326">
      <w:pPr>
        <w:pStyle w:val="NormalArial"/>
        <w:jc w:val="both"/>
      </w:pPr>
      <w:r w:rsidRPr="00A04D4B">
        <w:lastRenderedPageBreak/>
        <w:t xml:space="preserve">The current expectation of SOC that an ESR must hold across the hour if it was awarded an </w:t>
      </w:r>
      <w:r w:rsidR="00B2570A" w:rsidRPr="00A04D4B">
        <w:t>A</w:t>
      </w:r>
      <w:r w:rsidRPr="00A04D4B">
        <w:t xml:space="preserve">ncillary </w:t>
      </w:r>
      <w:r w:rsidR="00B2570A" w:rsidRPr="00A04D4B">
        <w:t>S</w:t>
      </w:r>
      <w:r w:rsidRPr="00A04D4B">
        <w:t>ervice in the</w:t>
      </w:r>
      <w:r w:rsidR="00A07546" w:rsidRPr="00A04D4B">
        <w:t xml:space="preserve"> hourly</w:t>
      </w:r>
      <w:r w:rsidRPr="00A04D4B">
        <w:t xml:space="preserve"> </w:t>
      </w:r>
      <w:r w:rsidR="00C80D02" w:rsidRPr="00A04D4B">
        <w:t>D</w:t>
      </w:r>
      <w:r w:rsidRPr="00A04D4B">
        <w:t>ay-</w:t>
      </w:r>
      <w:r w:rsidR="00C80D02" w:rsidRPr="00A04D4B">
        <w:t>A</w:t>
      </w:r>
      <w:r w:rsidRPr="00A04D4B">
        <w:t xml:space="preserve">head market can be equated to the amount of SOC that RTC SCED will require in order to award an ESR a physical responsibility for an </w:t>
      </w:r>
      <w:r w:rsidR="00B2570A" w:rsidRPr="00A04D4B">
        <w:t>A</w:t>
      </w:r>
      <w:r w:rsidRPr="00A04D4B">
        <w:t xml:space="preserve">ncillary </w:t>
      </w:r>
      <w:r w:rsidR="00B2570A" w:rsidRPr="00A04D4B">
        <w:t>S</w:t>
      </w:r>
      <w:r w:rsidRPr="00A04D4B">
        <w:t xml:space="preserve">ervice in </w:t>
      </w:r>
      <w:r w:rsidR="004645B0" w:rsidRPr="00A04D4B">
        <w:t>R</w:t>
      </w:r>
      <w:r w:rsidRPr="00A04D4B">
        <w:t>eal-</w:t>
      </w:r>
      <w:r w:rsidR="004645B0" w:rsidRPr="00A04D4B">
        <w:t>T</w:t>
      </w:r>
      <w:r w:rsidRPr="00A04D4B">
        <w:t xml:space="preserve">ime, under RTC. See proposed values, as in NPRR1282 as passed by TAC, below. </w:t>
      </w:r>
    </w:p>
    <w:p w14:paraId="4909902D" w14:textId="77777777" w:rsidR="00A301E8" w:rsidRPr="00A04D4B" w:rsidRDefault="00A301E8" w:rsidP="00780326">
      <w:pPr>
        <w:pStyle w:val="NormalArial"/>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27"/>
        <w:gridCol w:w="3105"/>
      </w:tblGrid>
      <w:tr w:rsidR="00A301E8" w:rsidRPr="00A04D4B" w14:paraId="3406EEEB" w14:textId="77777777" w:rsidTr="00B1125F">
        <w:tc>
          <w:tcPr>
            <w:tcW w:w="9576" w:type="dxa"/>
            <w:gridSpan w:val="3"/>
          </w:tcPr>
          <w:p w14:paraId="0EECF886" w14:textId="77777777" w:rsidR="00A301E8" w:rsidRPr="00A04D4B" w:rsidRDefault="00A301E8" w:rsidP="00081A45">
            <w:pPr>
              <w:pStyle w:val="NormalArial"/>
              <w:jc w:val="center"/>
              <w:rPr>
                <w:b/>
                <w:bCs/>
              </w:rPr>
            </w:pPr>
            <w:r w:rsidRPr="00A04D4B">
              <w:rPr>
                <w:b/>
                <w:bCs/>
              </w:rPr>
              <w:t>RTC</w:t>
            </w:r>
          </w:p>
        </w:tc>
      </w:tr>
      <w:tr w:rsidR="00A301E8" w:rsidRPr="00A04D4B" w14:paraId="50E7230C" w14:textId="77777777" w:rsidTr="00B1125F">
        <w:tc>
          <w:tcPr>
            <w:tcW w:w="3192" w:type="dxa"/>
          </w:tcPr>
          <w:p w14:paraId="090876BB" w14:textId="77777777" w:rsidR="00A301E8" w:rsidRPr="00A04D4B" w:rsidRDefault="00A301E8" w:rsidP="00780326">
            <w:pPr>
              <w:pStyle w:val="NormalArial"/>
              <w:jc w:val="both"/>
            </w:pPr>
            <w:r w:rsidRPr="00A04D4B">
              <w:t>Ancillary Service</w:t>
            </w:r>
          </w:p>
        </w:tc>
        <w:tc>
          <w:tcPr>
            <w:tcW w:w="3192" w:type="dxa"/>
          </w:tcPr>
          <w:p w14:paraId="24BF90BE" w14:textId="77777777" w:rsidR="00A301E8" w:rsidRPr="00A04D4B" w:rsidRDefault="00A301E8" w:rsidP="00780326">
            <w:pPr>
              <w:pStyle w:val="NormalArial"/>
              <w:jc w:val="both"/>
            </w:pPr>
            <w:r w:rsidRPr="00A04D4B">
              <w:t xml:space="preserve">Qualification Requirement </w:t>
            </w:r>
          </w:p>
        </w:tc>
        <w:tc>
          <w:tcPr>
            <w:tcW w:w="3192" w:type="dxa"/>
          </w:tcPr>
          <w:p w14:paraId="64209453" w14:textId="77777777" w:rsidR="00A301E8" w:rsidRPr="00A04D4B" w:rsidRDefault="00A301E8" w:rsidP="00780326">
            <w:pPr>
              <w:pStyle w:val="NormalArial"/>
              <w:jc w:val="both"/>
            </w:pPr>
            <w:r w:rsidRPr="00A04D4B">
              <w:t xml:space="preserve">RTC-SCED </w:t>
            </w:r>
          </w:p>
        </w:tc>
      </w:tr>
      <w:tr w:rsidR="00A301E8" w:rsidRPr="00A04D4B" w14:paraId="78E453C0" w14:textId="77777777" w:rsidTr="00B1125F">
        <w:tc>
          <w:tcPr>
            <w:tcW w:w="3192" w:type="dxa"/>
          </w:tcPr>
          <w:p w14:paraId="4E38569B" w14:textId="77777777" w:rsidR="00A301E8" w:rsidRPr="00A04D4B" w:rsidRDefault="00A301E8" w:rsidP="00780326">
            <w:pPr>
              <w:pStyle w:val="NormalArial"/>
              <w:jc w:val="both"/>
            </w:pPr>
            <w:r w:rsidRPr="00A04D4B">
              <w:t xml:space="preserve">Non-Spin Reserve Service </w:t>
            </w:r>
          </w:p>
        </w:tc>
        <w:tc>
          <w:tcPr>
            <w:tcW w:w="3192" w:type="dxa"/>
          </w:tcPr>
          <w:p w14:paraId="625F4A94" w14:textId="77777777" w:rsidR="00A301E8" w:rsidRPr="00A04D4B" w:rsidRDefault="00A301E8" w:rsidP="00780326">
            <w:pPr>
              <w:pStyle w:val="NormalArial"/>
              <w:jc w:val="both"/>
            </w:pPr>
            <w:r w:rsidRPr="00A04D4B">
              <w:t>4 hours</w:t>
            </w:r>
          </w:p>
        </w:tc>
        <w:tc>
          <w:tcPr>
            <w:tcW w:w="3192" w:type="dxa"/>
          </w:tcPr>
          <w:p w14:paraId="7CBCFA89" w14:textId="77777777" w:rsidR="00A301E8" w:rsidRPr="00A04D4B" w:rsidRDefault="00A301E8" w:rsidP="00780326">
            <w:pPr>
              <w:pStyle w:val="NormalArial"/>
              <w:jc w:val="both"/>
            </w:pPr>
            <w:r w:rsidRPr="00A04D4B">
              <w:t xml:space="preserve">4 hours </w:t>
            </w:r>
          </w:p>
        </w:tc>
      </w:tr>
      <w:tr w:rsidR="00A301E8" w:rsidRPr="00A04D4B" w14:paraId="0EB58840" w14:textId="77777777" w:rsidTr="00B1125F">
        <w:tc>
          <w:tcPr>
            <w:tcW w:w="3192" w:type="dxa"/>
          </w:tcPr>
          <w:p w14:paraId="6A6DE1DC" w14:textId="77777777" w:rsidR="00A301E8" w:rsidRPr="00A04D4B" w:rsidRDefault="00A301E8" w:rsidP="00780326">
            <w:pPr>
              <w:pStyle w:val="NormalArial"/>
              <w:jc w:val="both"/>
            </w:pPr>
            <w:r w:rsidRPr="00A04D4B">
              <w:t>ECRS</w:t>
            </w:r>
          </w:p>
        </w:tc>
        <w:tc>
          <w:tcPr>
            <w:tcW w:w="3192" w:type="dxa"/>
          </w:tcPr>
          <w:p w14:paraId="147EB188" w14:textId="77777777" w:rsidR="00A301E8" w:rsidRPr="00A04D4B" w:rsidRDefault="00A301E8" w:rsidP="00780326">
            <w:pPr>
              <w:pStyle w:val="NormalArial"/>
              <w:jc w:val="both"/>
            </w:pPr>
            <w:r w:rsidRPr="00A04D4B">
              <w:t>1 hour</w:t>
            </w:r>
          </w:p>
        </w:tc>
        <w:tc>
          <w:tcPr>
            <w:tcW w:w="3192" w:type="dxa"/>
          </w:tcPr>
          <w:p w14:paraId="5B6D6481" w14:textId="77777777" w:rsidR="00A301E8" w:rsidRPr="00A04D4B" w:rsidRDefault="00A301E8" w:rsidP="00780326">
            <w:pPr>
              <w:pStyle w:val="NormalArial"/>
              <w:jc w:val="both"/>
            </w:pPr>
            <w:r w:rsidRPr="00A04D4B">
              <w:t>1 hours</w:t>
            </w:r>
          </w:p>
        </w:tc>
      </w:tr>
      <w:tr w:rsidR="00A301E8" w:rsidRPr="00A04D4B" w14:paraId="2518B0F5" w14:textId="77777777" w:rsidTr="00B1125F">
        <w:tc>
          <w:tcPr>
            <w:tcW w:w="3192" w:type="dxa"/>
          </w:tcPr>
          <w:p w14:paraId="6538BB7E" w14:textId="77777777" w:rsidR="00A301E8" w:rsidRPr="00A04D4B" w:rsidRDefault="00A301E8" w:rsidP="00780326">
            <w:pPr>
              <w:pStyle w:val="NormalArial"/>
              <w:jc w:val="both"/>
            </w:pPr>
            <w:r w:rsidRPr="00A04D4B">
              <w:t xml:space="preserve">Regulation Service </w:t>
            </w:r>
          </w:p>
        </w:tc>
        <w:tc>
          <w:tcPr>
            <w:tcW w:w="3192" w:type="dxa"/>
          </w:tcPr>
          <w:p w14:paraId="4C7DAC1C" w14:textId="77777777" w:rsidR="00A301E8" w:rsidRPr="00A04D4B" w:rsidRDefault="00A301E8" w:rsidP="00780326">
            <w:pPr>
              <w:pStyle w:val="NormalArial"/>
              <w:jc w:val="both"/>
            </w:pPr>
            <w:r w:rsidRPr="00A04D4B">
              <w:t>30 minutes</w:t>
            </w:r>
          </w:p>
        </w:tc>
        <w:tc>
          <w:tcPr>
            <w:tcW w:w="3192" w:type="dxa"/>
          </w:tcPr>
          <w:p w14:paraId="0C409820" w14:textId="77777777" w:rsidR="00A301E8" w:rsidRPr="00A04D4B" w:rsidRDefault="00A301E8" w:rsidP="00780326">
            <w:pPr>
              <w:pStyle w:val="NormalArial"/>
              <w:jc w:val="both"/>
            </w:pPr>
            <w:r w:rsidRPr="00A04D4B">
              <w:t>30 minutes</w:t>
            </w:r>
          </w:p>
        </w:tc>
      </w:tr>
      <w:tr w:rsidR="00A301E8" w:rsidRPr="00A04D4B" w14:paraId="1BE844AC" w14:textId="77777777" w:rsidTr="00B1125F">
        <w:tc>
          <w:tcPr>
            <w:tcW w:w="3192" w:type="dxa"/>
          </w:tcPr>
          <w:p w14:paraId="3F497CB9" w14:textId="77777777" w:rsidR="00A301E8" w:rsidRPr="00A04D4B" w:rsidRDefault="00A301E8" w:rsidP="00780326">
            <w:pPr>
              <w:pStyle w:val="NormalArial"/>
              <w:jc w:val="both"/>
            </w:pPr>
            <w:r w:rsidRPr="00A04D4B">
              <w:t>RRS</w:t>
            </w:r>
          </w:p>
        </w:tc>
        <w:tc>
          <w:tcPr>
            <w:tcW w:w="3192" w:type="dxa"/>
          </w:tcPr>
          <w:p w14:paraId="01429742" w14:textId="77777777" w:rsidR="00A301E8" w:rsidRPr="00A04D4B" w:rsidRDefault="00A301E8" w:rsidP="00780326">
            <w:pPr>
              <w:pStyle w:val="NormalArial"/>
              <w:jc w:val="both"/>
            </w:pPr>
            <w:r w:rsidRPr="00A04D4B">
              <w:t>30 minutes</w:t>
            </w:r>
          </w:p>
        </w:tc>
        <w:tc>
          <w:tcPr>
            <w:tcW w:w="3192" w:type="dxa"/>
          </w:tcPr>
          <w:p w14:paraId="72B16E7A" w14:textId="77777777" w:rsidR="00A301E8" w:rsidRPr="00A04D4B" w:rsidRDefault="00A301E8" w:rsidP="00780326">
            <w:pPr>
              <w:pStyle w:val="NormalArial"/>
              <w:jc w:val="both"/>
            </w:pPr>
            <w:r w:rsidRPr="00A04D4B">
              <w:t>30 minutes</w:t>
            </w:r>
          </w:p>
        </w:tc>
      </w:tr>
    </w:tbl>
    <w:p w14:paraId="32A37D34" w14:textId="77777777" w:rsidR="00A301E8" w:rsidRPr="00A04D4B" w:rsidRDefault="00A301E8" w:rsidP="00780326">
      <w:pPr>
        <w:pStyle w:val="NormalArial"/>
        <w:jc w:val="both"/>
      </w:pPr>
    </w:p>
    <w:p w14:paraId="41C80B6F" w14:textId="42FDAC7E" w:rsidR="00307280" w:rsidRPr="00A04D4B" w:rsidRDefault="00E33AE1" w:rsidP="00780326">
      <w:pPr>
        <w:pStyle w:val="NormalArial"/>
        <w:jc w:val="both"/>
      </w:pPr>
      <w:r w:rsidRPr="00A04D4B">
        <w:t xml:space="preserve">Under RTC, </w:t>
      </w:r>
      <w:r w:rsidR="00674F77">
        <w:t>R</w:t>
      </w:r>
      <w:r w:rsidRPr="00A04D4B">
        <w:t xml:space="preserve">esources will receive a new physical </w:t>
      </w:r>
      <w:r w:rsidR="00B2570A" w:rsidRPr="00A04D4B">
        <w:t>A</w:t>
      </w:r>
      <w:r w:rsidRPr="00A04D4B">
        <w:t xml:space="preserve">ncillary </w:t>
      </w:r>
      <w:r w:rsidR="00B2570A" w:rsidRPr="00A04D4B">
        <w:t>S</w:t>
      </w:r>
      <w:r w:rsidRPr="00A04D4B">
        <w:t xml:space="preserve">ervice award every five minutes. Therefore, as an example, if the requirement for RTC-SCED for ECRS is one hour, then in order to receive a five minute award for ECRS, a resource would need one full hour’s worth of SOC, and then in order to receive the next five minute award for ECRS, a resource would again need one full hour’s worth of SOC, and then in order to receive a third five minute award for ECRS, the resource would for a third time, need one full hour’s worth of SOC, and so on. Designing </w:t>
      </w:r>
      <w:r w:rsidR="00B2570A" w:rsidRPr="00A04D4B">
        <w:t>A</w:t>
      </w:r>
      <w:r w:rsidRPr="00A04D4B">
        <w:t xml:space="preserve">ncillary </w:t>
      </w:r>
      <w:r w:rsidR="00B2570A" w:rsidRPr="00A04D4B">
        <w:t>S</w:t>
      </w:r>
      <w:r w:rsidRPr="00A04D4B">
        <w:t xml:space="preserve">ervice requirements this way counteracts the very flexibility that RTC should capitalize on and will lead to much higher prices of ancillaries, </w:t>
      </w:r>
      <w:proofErr w:type="gramStart"/>
      <w:r w:rsidRPr="00A04D4B">
        <w:t>in particular across</w:t>
      </w:r>
      <w:proofErr w:type="gramEnd"/>
      <w:r w:rsidRPr="00A04D4B">
        <w:t xml:space="preserve"> the sunset hours where the requirement to hold rolling future SOC levels will significantly restrict available </w:t>
      </w:r>
      <w:r w:rsidR="00B2570A" w:rsidRPr="00A04D4B">
        <w:t>A</w:t>
      </w:r>
      <w:r w:rsidRPr="00A04D4B">
        <w:t xml:space="preserve">ncillary </w:t>
      </w:r>
      <w:r w:rsidR="00B2570A" w:rsidRPr="00A04D4B">
        <w:t>S</w:t>
      </w:r>
      <w:r w:rsidRPr="00A04D4B">
        <w:t>ervice capacity for R</w:t>
      </w:r>
      <w:r w:rsidR="002F7177" w:rsidRPr="00A04D4B">
        <w:t>eal-Time</w:t>
      </w:r>
      <w:r w:rsidRPr="00A04D4B">
        <w:t xml:space="preserve"> </w:t>
      </w:r>
      <w:r w:rsidR="003B7DA4" w:rsidRPr="00A04D4B">
        <w:t>dispatch</w:t>
      </w:r>
      <w:r w:rsidRPr="00A04D4B">
        <w:t>.</w:t>
      </w:r>
    </w:p>
    <w:p w14:paraId="6FCB7622" w14:textId="77777777" w:rsidR="003B7DA4" w:rsidRPr="00A04D4B" w:rsidRDefault="003B7DA4" w:rsidP="00780326">
      <w:pPr>
        <w:pStyle w:val="NormalArial"/>
        <w:jc w:val="both"/>
      </w:pPr>
    </w:p>
    <w:p w14:paraId="2738D004" w14:textId="253D111C" w:rsidR="00634A74" w:rsidRPr="00A04D4B" w:rsidRDefault="00634A74" w:rsidP="00780326">
      <w:pPr>
        <w:pStyle w:val="NormalArial"/>
        <w:spacing w:after="240"/>
        <w:jc w:val="both"/>
        <w:rPr>
          <w:rFonts w:cs="Arial"/>
        </w:rPr>
      </w:pPr>
      <w:r w:rsidRPr="00A04D4B">
        <w:rPr>
          <w:rFonts w:cs="Arial"/>
        </w:rPr>
        <w:lastRenderedPageBreak/>
        <w:t>As noted above, duration and SOC are distinct metrics,</w:t>
      </w:r>
      <w:r w:rsidR="002774CB" w:rsidRPr="00A04D4B">
        <w:rPr>
          <w:rFonts w:cs="Arial"/>
        </w:rPr>
        <w:t xml:space="preserve"> one used for qualification of resources and one used </w:t>
      </w:r>
      <w:r w:rsidR="0034303D" w:rsidRPr="00A04D4B">
        <w:rPr>
          <w:rFonts w:cs="Arial"/>
        </w:rPr>
        <w:t xml:space="preserve">for measurement in </w:t>
      </w:r>
      <w:r w:rsidR="004645B0" w:rsidRPr="00A04D4B">
        <w:rPr>
          <w:rFonts w:cs="Arial"/>
        </w:rPr>
        <w:t>R</w:t>
      </w:r>
      <w:r w:rsidR="0034303D" w:rsidRPr="00A04D4B">
        <w:rPr>
          <w:rFonts w:cs="Arial"/>
        </w:rPr>
        <w:t>eal-</w:t>
      </w:r>
      <w:r w:rsidR="004645B0" w:rsidRPr="00A04D4B">
        <w:rPr>
          <w:rFonts w:cs="Arial"/>
        </w:rPr>
        <w:t>T</w:t>
      </w:r>
      <w:r w:rsidR="0034303D" w:rsidRPr="00A04D4B">
        <w:rPr>
          <w:rFonts w:cs="Arial"/>
        </w:rPr>
        <w:t>ime operations,</w:t>
      </w:r>
      <w:r w:rsidRPr="00A04D4B">
        <w:rPr>
          <w:rFonts w:cs="Arial"/>
        </w:rPr>
        <w:t xml:space="preserve"> and ERCOT has historically established separate requirements for each. Duration requirements were most recently addressed in NPRR1096, Require Sustained Two-Hour Capability for ECRS and Four-Hour Capability for Non-Spin, which set the current minimum capability standards—two hours for ECRS and four</w:t>
      </w:r>
      <w:r w:rsidR="0034303D" w:rsidRPr="00A04D4B">
        <w:rPr>
          <w:rFonts w:cs="Arial"/>
        </w:rPr>
        <w:t xml:space="preserve"> </w:t>
      </w:r>
      <w:r w:rsidRPr="00A04D4B">
        <w:rPr>
          <w:rFonts w:cs="Arial"/>
        </w:rPr>
        <w:t>hours for Non-Spin</w:t>
      </w:r>
      <w:r w:rsidRPr="00A04D4B">
        <w:rPr>
          <w:rFonts w:cs="Arial"/>
          <w:b/>
          <w:bCs/>
          <w:i/>
          <w:iCs/>
        </w:rPr>
        <w:t>.</w:t>
      </w:r>
    </w:p>
    <w:p w14:paraId="4990DE21" w14:textId="77777777" w:rsidR="00634A74" w:rsidRPr="00A04D4B" w:rsidRDefault="00634A74" w:rsidP="00780326">
      <w:pPr>
        <w:pStyle w:val="NormalArial"/>
        <w:spacing w:after="240"/>
        <w:jc w:val="both"/>
        <w:rPr>
          <w:rFonts w:cs="Arial"/>
        </w:rPr>
      </w:pPr>
      <w:r w:rsidRPr="00A04D4B">
        <w:rPr>
          <w:rFonts w:cs="Arial"/>
        </w:rPr>
        <w:t>In 2024, as part of the Commission’s review of Ancillary Services required by the 87</w:t>
      </w:r>
      <w:r w:rsidRPr="00A04D4B">
        <w:rPr>
          <w:rFonts w:cs="Arial"/>
          <w:vertAlign w:val="superscript"/>
        </w:rPr>
        <w:t>th</w:t>
      </w:r>
      <w:r w:rsidRPr="00A04D4B">
        <w:rPr>
          <w:rFonts w:cs="Arial"/>
        </w:rPr>
        <w:t xml:space="preserve"> Legislature’s Senate Bill (SB) 3, the IMM explicitly recommended revisiting duration requirements for Non-Spin and ECRS. Commission Staff agreed that there was “some merit” reopening these discussions—but only after RTC+B has reached a steady state, which is consistent with ERCOT’s phased approach outlined in NPRR1096.</w:t>
      </w:r>
      <w:r w:rsidRPr="00A04D4B">
        <w:rPr>
          <w:rStyle w:val="FootnoteReference"/>
          <w:rFonts w:cs="Arial"/>
        </w:rPr>
        <w:footnoteReference w:id="11"/>
      </w:r>
      <w:r w:rsidRPr="00A04D4B">
        <w:rPr>
          <w:rFonts w:cs="Arial"/>
        </w:rPr>
        <w:t xml:space="preserve"> </w:t>
      </w:r>
    </w:p>
    <w:p w14:paraId="58374948" w14:textId="6ED9B2AA" w:rsidR="00794411" w:rsidRPr="00A04D4B" w:rsidRDefault="007260C1" w:rsidP="00780326">
      <w:pPr>
        <w:pStyle w:val="NormalArial"/>
        <w:jc w:val="both"/>
        <w:rPr>
          <w:rFonts w:cs="Arial"/>
        </w:rPr>
      </w:pPr>
      <w:r w:rsidRPr="00A04D4B">
        <w:rPr>
          <w:rFonts w:cs="Arial"/>
        </w:rPr>
        <w:t xml:space="preserve">Not only does NPRR1282 as passed by TAC change </w:t>
      </w:r>
      <w:r w:rsidR="006A0268" w:rsidRPr="00A04D4B">
        <w:rPr>
          <w:rFonts w:cs="Arial"/>
        </w:rPr>
        <w:t>the durations set in NPRR1096, but it changes the hard-earned policy on state of charge, which this Board helped form</w:t>
      </w:r>
      <w:r w:rsidR="00FA0443" w:rsidRPr="00A04D4B">
        <w:rPr>
          <w:rFonts w:cs="Arial"/>
        </w:rPr>
        <w:t xml:space="preserve">, </w:t>
      </w:r>
      <w:r w:rsidR="006E11F6" w:rsidRPr="00A04D4B">
        <w:rPr>
          <w:rFonts w:cs="Arial"/>
        </w:rPr>
        <w:t>last year and with the full knowledge of the pending RTC+B</w:t>
      </w:r>
      <w:r w:rsidR="006A0268" w:rsidRPr="00A04D4B">
        <w:rPr>
          <w:rFonts w:cs="Arial"/>
        </w:rPr>
        <w:t xml:space="preserve">. </w:t>
      </w:r>
      <w:r w:rsidR="00D5660B" w:rsidRPr="00A04D4B">
        <w:rPr>
          <w:rFonts w:cs="Arial"/>
        </w:rPr>
        <w:t xml:space="preserve">NPRR1282 revises the duration policy established in NPRR1096 and imposes a new, rigid SOC requirement that was never contemplated in that proceeding. Importantly, it also conflicts directly with the Commission’s policy </w:t>
      </w:r>
      <w:r w:rsidR="00D5660B" w:rsidRPr="00A04D4B">
        <w:rPr>
          <w:rFonts w:cs="Arial"/>
        </w:rPr>
        <w:lastRenderedPageBreak/>
        <w:t xml:space="preserve">decision in NPRR1186—rejecting similar blanket SOC requirements in favor of a risk-based, performance-driven approach that enables ERCOT to assess and deploy storage based on actual system needs and capabilities. </w:t>
      </w:r>
    </w:p>
    <w:p w14:paraId="5C032F10" w14:textId="77777777" w:rsidR="00557704" w:rsidRPr="00A04D4B" w:rsidRDefault="00557704" w:rsidP="00780326">
      <w:pPr>
        <w:pStyle w:val="NormalArial"/>
        <w:jc w:val="both"/>
      </w:pPr>
    </w:p>
    <w:p w14:paraId="013165D6" w14:textId="6A57B63E" w:rsidR="00FF6282" w:rsidRPr="00A04D4B" w:rsidRDefault="00FF6282" w:rsidP="00780326">
      <w:pPr>
        <w:pStyle w:val="NormalArial"/>
        <w:jc w:val="both"/>
        <w:rPr>
          <w:b/>
          <w:bCs/>
          <w:u w:val="single"/>
        </w:rPr>
      </w:pPr>
      <w:r w:rsidRPr="00A04D4B">
        <w:rPr>
          <w:b/>
          <w:bCs/>
          <w:u w:val="single"/>
        </w:rPr>
        <w:t>Joint Commenters</w:t>
      </w:r>
      <w:r w:rsidR="00A93E18" w:rsidRPr="00A04D4B">
        <w:rPr>
          <w:b/>
          <w:bCs/>
          <w:u w:val="single"/>
        </w:rPr>
        <w:t>’</w:t>
      </w:r>
      <w:r w:rsidRPr="00A04D4B">
        <w:rPr>
          <w:b/>
          <w:bCs/>
          <w:u w:val="single"/>
        </w:rPr>
        <w:t xml:space="preserve"> </w:t>
      </w:r>
      <w:r w:rsidR="00A93E18" w:rsidRPr="00A04D4B">
        <w:rPr>
          <w:b/>
          <w:bCs/>
          <w:u w:val="single"/>
        </w:rPr>
        <w:t>a</w:t>
      </w:r>
      <w:r w:rsidRPr="00A04D4B">
        <w:rPr>
          <w:b/>
          <w:bCs/>
          <w:u w:val="single"/>
        </w:rPr>
        <w:t>pproach</w:t>
      </w:r>
      <w:r w:rsidR="00FA0AA6" w:rsidRPr="00A04D4B">
        <w:rPr>
          <w:b/>
          <w:bCs/>
          <w:u w:val="single"/>
        </w:rPr>
        <w:t xml:space="preserve"> </w:t>
      </w:r>
      <w:r w:rsidR="00FF2BDD" w:rsidRPr="00A04D4B">
        <w:rPr>
          <w:b/>
          <w:bCs/>
          <w:u w:val="single"/>
        </w:rPr>
        <w:t xml:space="preserve">to </w:t>
      </w:r>
      <w:r w:rsidR="00561CBA">
        <w:rPr>
          <w:b/>
          <w:bCs/>
          <w:u w:val="single"/>
        </w:rPr>
        <w:t>NPRR</w:t>
      </w:r>
      <w:r w:rsidR="00FF2BDD" w:rsidRPr="00A04D4B">
        <w:rPr>
          <w:b/>
          <w:bCs/>
          <w:u w:val="single"/>
        </w:rPr>
        <w:t xml:space="preserve">1282 </w:t>
      </w:r>
      <w:r w:rsidR="00A93E18" w:rsidRPr="00A04D4B">
        <w:rPr>
          <w:b/>
          <w:bCs/>
          <w:u w:val="single"/>
        </w:rPr>
        <w:t>w</w:t>
      </w:r>
      <w:r w:rsidR="00FF2BDD" w:rsidRPr="00A04D4B">
        <w:rPr>
          <w:b/>
          <w:bCs/>
          <w:u w:val="single"/>
        </w:rPr>
        <w:t xml:space="preserve">ould </w:t>
      </w:r>
      <w:r w:rsidR="00A93E18" w:rsidRPr="00A04D4B">
        <w:rPr>
          <w:b/>
          <w:bCs/>
          <w:u w:val="single"/>
        </w:rPr>
        <w:t>c</w:t>
      </w:r>
      <w:r w:rsidR="00FF2BDD" w:rsidRPr="00A04D4B">
        <w:rPr>
          <w:b/>
          <w:bCs/>
          <w:u w:val="single"/>
        </w:rPr>
        <w:t xml:space="preserve">reate </w:t>
      </w:r>
      <w:r w:rsidR="00A93E18" w:rsidRPr="00A04D4B">
        <w:rPr>
          <w:b/>
          <w:bCs/>
          <w:u w:val="single"/>
        </w:rPr>
        <w:t>s</w:t>
      </w:r>
      <w:r w:rsidR="00FF2BDD" w:rsidRPr="00A04D4B">
        <w:rPr>
          <w:b/>
          <w:bCs/>
          <w:u w:val="single"/>
        </w:rPr>
        <w:t xml:space="preserve">uperior </w:t>
      </w:r>
      <w:r w:rsidR="00561CBA">
        <w:rPr>
          <w:b/>
          <w:bCs/>
          <w:u w:val="single"/>
        </w:rPr>
        <w:t xml:space="preserve">market </w:t>
      </w:r>
      <w:r w:rsidR="00A93E18" w:rsidRPr="00A04D4B">
        <w:rPr>
          <w:b/>
          <w:bCs/>
          <w:u w:val="single"/>
        </w:rPr>
        <w:t>o</w:t>
      </w:r>
      <w:r w:rsidR="00FF2BDD" w:rsidRPr="00A04D4B">
        <w:rPr>
          <w:b/>
          <w:bCs/>
          <w:u w:val="single"/>
        </w:rPr>
        <w:t>utcomes</w:t>
      </w:r>
      <w:r w:rsidR="00A93E18" w:rsidRPr="00A04D4B">
        <w:rPr>
          <w:b/>
          <w:bCs/>
          <w:u w:val="single"/>
        </w:rPr>
        <w:t>.</w:t>
      </w:r>
    </w:p>
    <w:p w14:paraId="5F1C813B" w14:textId="77777777" w:rsidR="00FF6282" w:rsidRPr="00A04D4B" w:rsidRDefault="00FF6282" w:rsidP="00780326">
      <w:pPr>
        <w:pStyle w:val="NormalArial"/>
        <w:jc w:val="both"/>
      </w:pPr>
    </w:p>
    <w:p w14:paraId="6396A101" w14:textId="409E774E" w:rsidR="006A0268" w:rsidRPr="00A04D4B" w:rsidRDefault="00484350" w:rsidP="00780326">
      <w:pPr>
        <w:pStyle w:val="NormalArial"/>
        <w:jc w:val="both"/>
      </w:pPr>
      <w:r w:rsidRPr="00A04D4B">
        <w:t xml:space="preserve">As stated in our May 7, 2025, comments, “Jupiter Power asserts that the requirements for qualification and for operating requirements should remain decoupled and that the values should be different, in order to realize the benefit of </w:t>
      </w:r>
      <w:r w:rsidR="00A007E5" w:rsidRPr="00A04D4B">
        <w:t xml:space="preserve">operating </w:t>
      </w:r>
      <w:r w:rsidRPr="00A04D4B">
        <w:t xml:space="preserve">flexibility that </w:t>
      </w:r>
      <w:r w:rsidR="00640C7E" w:rsidRPr="00A04D4B">
        <w:t>is intended to be</w:t>
      </w:r>
      <w:r w:rsidRPr="00A04D4B">
        <w:t xml:space="preserve"> inherent to Real-</w:t>
      </w:r>
      <w:r w:rsidR="001F57A9" w:rsidRPr="00A04D4B">
        <w:t>T</w:t>
      </w:r>
      <w:r w:rsidRPr="00A04D4B">
        <w:t xml:space="preserve">ime Co-optimization, while preserving the reliability under the existing market design.” </w:t>
      </w:r>
    </w:p>
    <w:p w14:paraId="1C5309FF" w14:textId="77777777" w:rsidR="00275C94" w:rsidRPr="00A04D4B" w:rsidRDefault="00275C94" w:rsidP="00780326">
      <w:pPr>
        <w:pStyle w:val="NormalArial"/>
        <w:jc w:val="both"/>
      </w:pPr>
    </w:p>
    <w:p w14:paraId="76173F4A" w14:textId="03D442A4" w:rsidR="00092220" w:rsidRPr="00A04D4B" w:rsidRDefault="00092220" w:rsidP="00780326">
      <w:pPr>
        <w:pStyle w:val="NormalArial"/>
        <w:spacing w:after="240"/>
        <w:jc w:val="both"/>
        <w:rPr>
          <w:rFonts w:cs="Arial"/>
        </w:rPr>
      </w:pPr>
      <w:r w:rsidRPr="00A04D4B">
        <w:rPr>
          <w:rFonts w:cs="Arial"/>
        </w:rPr>
        <w:t xml:space="preserve">Under RTC, </w:t>
      </w:r>
      <w:r w:rsidR="0088755A" w:rsidRPr="00A04D4B">
        <w:rPr>
          <w:rFonts w:cs="Arial"/>
        </w:rPr>
        <w:t xml:space="preserve">Day-Ahead </w:t>
      </w:r>
      <w:r w:rsidRPr="00A04D4B">
        <w:rPr>
          <w:rFonts w:cs="Arial"/>
        </w:rPr>
        <w:t xml:space="preserve">Ancillary Service </w:t>
      </w:r>
      <w:r w:rsidR="00BE20AC" w:rsidRPr="00A04D4B">
        <w:rPr>
          <w:rFonts w:cs="Arial"/>
        </w:rPr>
        <w:t>responsibilities</w:t>
      </w:r>
      <w:r w:rsidR="005F633D" w:rsidRPr="00A04D4B">
        <w:rPr>
          <w:rFonts w:cs="Arial"/>
        </w:rPr>
        <w:t xml:space="preserve"> (Non-Spin in this example) </w:t>
      </w:r>
      <w:r w:rsidR="0088755A" w:rsidRPr="00A04D4B">
        <w:rPr>
          <w:rFonts w:cs="Arial"/>
        </w:rPr>
        <w:t>do</w:t>
      </w:r>
      <w:r w:rsidR="005F633D" w:rsidRPr="00A04D4B">
        <w:rPr>
          <w:rFonts w:cs="Arial"/>
        </w:rPr>
        <w:t xml:space="preserve"> </w:t>
      </w:r>
      <w:r w:rsidRPr="00A04D4B">
        <w:rPr>
          <w:rFonts w:cs="Arial"/>
        </w:rPr>
        <w:t>not</w:t>
      </w:r>
      <w:r w:rsidR="005F633D" w:rsidRPr="00A04D4B">
        <w:rPr>
          <w:rFonts w:cs="Arial"/>
        </w:rPr>
        <w:t xml:space="preserve"> </w:t>
      </w:r>
      <w:r w:rsidR="0088755A" w:rsidRPr="00A04D4B">
        <w:rPr>
          <w:rFonts w:cs="Arial"/>
        </w:rPr>
        <w:t xml:space="preserve">hold </w:t>
      </w:r>
      <w:r w:rsidRPr="00A04D4B">
        <w:rPr>
          <w:rFonts w:cs="Arial"/>
        </w:rPr>
        <w:t>physical requirement to deliver energy continuously over four hours</w:t>
      </w:r>
      <w:r w:rsidR="0088755A" w:rsidRPr="00A04D4B">
        <w:rPr>
          <w:rFonts w:cs="Arial"/>
        </w:rPr>
        <w:t xml:space="preserve"> but are awarded on a </w:t>
      </w:r>
      <w:r w:rsidR="00A8689A" w:rsidRPr="00A04D4B">
        <w:rPr>
          <w:rFonts w:cs="Arial"/>
        </w:rPr>
        <w:t>one-hour</w:t>
      </w:r>
      <w:r w:rsidR="0088755A" w:rsidRPr="00A04D4B">
        <w:rPr>
          <w:rFonts w:cs="Arial"/>
        </w:rPr>
        <w:t xml:space="preserve"> basis and carry </w:t>
      </w:r>
      <w:r w:rsidR="000D576B" w:rsidRPr="00A04D4B">
        <w:rPr>
          <w:rFonts w:cs="Arial"/>
        </w:rPr>
        <w:t>financial responsibilit</w:t>
      </w:r>
      <w:r w:rsidR="00A8689A" w:rsidRPr="00A04D4B">
        <w:rPr>
          <w:rFonts w:cs="Arial"/>
        </w:rPr>
        <w:t>ies</w:t>
      </w:r>
      <w:r w:rsidR="000D576B" w:rsidRPr="00A04D4B">
        <w:rPr>
          <w:rFonts w:cs="Arial"/>
        </w:rPr>
        <w:t>, paid through imbalance settlement</w:t>
      </w:r>
      <w:r w:rsidR="00A8689A" w:rsidRPr="00A04D4B">
        <w:rPr>
          <w:rFonts w:cs="Arial"/>
        </w:rPr>
        <w:t>,</w:t>
      </w:r>
      <w:r w:rsidR="000D576B" w:rsidRPr="00A04D4B">
        <w:rPr>
          <w:rFonts w:cs="Arial"/>
        </w:rPr>
        <w:t xml:space="preserve"> if not met</w:t>
      </w:r>
      <w:r w:rsidRPr="00A04D4B">
        <w:rPr>
          <w:rFonts w:cs="Arial"/>
        </w:rPr>
        <w:t xml:space="preserve">. under the TAC-approved version of NPRR1282, </w:t>
      </w:r>
      <w:r w:rsidR="000D576B" w:rsidRPr="00A04D4B">
        <w:rPr>
          <w:rFonts w:cs="Arial"/>
        </w:rPr>
        <w:t xml:space="preserve">not only would </w:t>
      </w:r>
      <w:r w:rsidRPr="00A04D4B">
        <w:rPr>
          <w:rFonts w:cs="Arial"/>
        </w:rPr>
        <w:t>ESRs be required to h</w:t>
      </w:r>
      <w:r w:rsidR="007E5152" w:rsidRPr="00A04D4B">
        <w:rPr>
          <w:rFonts w:cs="Arial"/>
        </w:rPr>
        <w:t>ave</w:t>
      </w:r>
      <w:r w:rsidRPr="00A04D4B">
        <w:rPr>
          <w:rFonts w:cs="Arial"/>
        </w:rPr>
        <w:t xml:space="preserve"> four hours o</w:t>
      </w:r>
      <w:r w:rsidR="000D576B" w:rsidRPr="00A04D4B">
        <w:rPr>
          <w:rFonts w:cs="Arial"/>
        </w:rPr>
        <w:t xml:space="preserve">f duration </w:t>
      </w:r>
      <w:r w:rsidRPr="00A04D4B">
        <w:rPr>
          <w:rFonts w:cs="Arial"/>
        </w:rPr>
        <w:t>just to qualify for a one</w:t>
      </w:r>
      <w:r w:rsidR="00A8689A" w:rsidRPr="00A04D4B">
        <w:rPr>
          <w:rFonts w:cs="Arial"/>
        </w:rPr>
        <w:t>-</w:t>
      </w:r>
      <w:r w:rsidRPr="00A04D4B">
        <w:rPr>
          <w:rFonts w:cs="Arial"/>
        </w:rPr>
        <w:t>hour Non-Spin award</w:t>
      </w:r>
      <w:r w:rsidR="000D576B" w:rsidRPr="00A04D4B">
        <w:rPr>
          <w:rFonts w:cs="Arial"/>
        </w:rPr>
        <w:t xml:space="preserve"> in the Day-Ahead, but they would also have to carry four hours of SOC</w:t>
      </w:r>
      <w:r w:rsidR="007E5152" w:rsidRPr="00A04D4B">
        <w:rPr>
          <w:rFonts w:cs="Arial"/>
        </w:rPr>
        <w:t xml:space="preserve"> to receive a five-minute award in Real-</w:t>
      </w:r>
      <w:r w:rsidR="00A8689A" w:rsidRPr="00A04D4B">
        <w:rPr>
          <w:rFonts w:cs="Arial"/>
        </w:rPr>
        <w:t>T</w:t>
      </w:r>
      <w:r w:rsidR="007E5152" w:rsidRPr="00A04D4B">
        <w:rPr>
          <w:rFonts w:cs="Arial"/>
        </w:rPr>
        <w:t>ime</w:t>
      </w:r>
      <w:r w:rsidRPr="00A04D4B">
        <w:rPr>
          <w:rFonts w:cs="Arial"/>
        </w:rPr>
        <w:t xml:space="preserve">. This creates an economically and operationally inefficient barrier that unfairly </w:t>
      </w:r>
      <w:r w:rsidRPr="00A04D4B">
        <w:rPr>
          <w:rFonts w:cs="Arial"/>
        </w:rPr>
        <w:lastRenderedPageBreak/>
        <w:t>disadvantages ESRs, even though ERCOT already has full visibility into SOC and dispatch duration through RTC systems.</w:t>
      </w:r>
    </w:p>
    <w:p w14:paraId="7FB61E09" w14:textId="77777777" w:rsidR="00A8689A" w:rsidRPr="00A04D4B" w:rsidRDefault="00A8689A" w:rsidP="00A8689A">
      <w:pPr>
        <w:pStyle w:val="NormalArial"/>
        <w:jc w:val="both"/>
      </w:pPr>
      <w:r w:rsidRPr="00A04D4B">
        <w:t>Jupiter Power agrees with the IMM’s commentary on NPRR1282:</w:t>
      </w:r>
    </w:p>
    <w:p w14:paraId="08AB2D91" w14:textId="77777777" w:rsidR="00A8689A" w:rsidRPr="00A04D4B" w:rsidRDefault="00A8689A" w:rsidP="00A8689A">
      <w:pPr>
        <w:pStyle w:val="NormalArial"/>
        <w:jc w:val="both"/>
        <w:rPr>
          <w:b/>
          <w:bCs/>
        </w:rPr>
      </w:pPr>
    </w:p>
    <w:p w14:paraId="29FFD58A" w14:textId="673F11E2" w:rsidR="00A8689A" w:rsidRPr="00A04D4B" w:rsidRDefault="00A8689A" w:rsidP="00A8689A">
      <w:pPr>
        <w:pStyle w:val="NormalArial"/>
        <w:ind w:left="720"/>
        <w:jc w:val="both"/>
      </w:pPr>
      <w:r w:rsidRPr="00A04D4B">
        <w:t>“SCED will recognize less available supply for these products, resulting in higher AS</w:t>
      </w:r>
      <w:r w:rsidR="00E63BD1" w:rsidRPr="00A04D4B">
        <w:t xml:space="preserve"> (</w:t>
      </w:r>
      <w:r w:rsidR="00610102" w:rsidRPr="00A04D4B">
        <w:t>A</w:t>
      </w:r>
      <w:r w:rsidR="00E63BD1" w:rsidRPr="00A04D4B">
        <w:t xml:space="preserve">ncillary </w:t>
      </w:r>
      <w:r w:rsidR="00610102" w:rsidRPr="00A04D4B">
        <w:t>S</w:t>
      </w:r>
      <w:r w:rsidR="00E63BD1" w:rsidRPr="00A04D4B">
        <w:t>ervice)</w:t>
      </w:r>
      <w:r w:rsidRPr="00A04D4B">
        <w:t xml:space="preserve"> and energy prices. The higher energy prices will tend to lead to more energy awards for ESRs sooner into a reliability event”</w:t>
      </w:r>
      <w:r w:rsidRPr="00A04D4B">
        <w:rPr>
          <w:rStyle w:val="FootnoteReference"/>
        </w:rPr>
        <w:footnoteReference w:id="12"/>
      </w:r>
    </w:p>
    <w:p w14:paraId="56AFDC02" w14:textId="77777777" w:rsidR="00A8689A" w:rsidRPr="00A04D4B" w:rsidRDefault="00A8689A" w:rsidP="00A8689A">
      <w:pPr>
        <w:pStyle w:val="NormalArial"/>
        <w:ind w:left="720"/>
        <w:jc w:val="both"/>
      </w:pPr>
    </w:p>
    <w:p w14:paraId="33982081" w14:textId="77777777" w:rsidR="00A8689A" w:rsidRPr="00A04D4B" w:rsidRDefault="00A8689A" w:rsidP="00A8689A">
      <w:pPr>
        <w:pStyle w:val="NormalArial"/>
        <w:jc w:val="both"/>
      </w:pPr>
    </w:p>
    <w:p w14:paraId="6E23BE4A" w14:textId="32130025" w:rsidR="00A8689A" w:rsidRPr="00A04D4B" w:rsidRDefault="00EB652B" w:rsidP="00A8689A">
      <w:pPr>
        <w:pStyle w:val="NormalWeb"/>
        <w:jc w:val="both"/>
      </w:pPr>
      <w:r>
        <w:rPr>
          <w:noProof/>
        </w:rPr>
        <w:lastRenderedPageBreak/>
        <w:drawing>
          <wp:inline distT="0" distB="0" distL="0" distR="0" wp14:anchorId="1464F275" wp14:editId="755DFF2B">
            <wp:extent cx="5425440" cy="4015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4015740"/>
                    </a:xfrm>
                    <a:prstGeom prst="rect">
                      <a:avLst/>
                    </a:prstGeom>
                    <a:noFill/>
                    <a:ln>
                      <a:noFill/>
                    </a:ln>
                  </pic:spPr>
                </pic:pic>
              </a:graphicData>
            </a:graphic>
          </wp:inline>
        </w:drawing>
      </w:r>
      <w:r w:rsidR="00A8689A" w:rsidRPr="00A04D4B">
        <w:rPr>
          <w:rStyle w:val="FootnoteReference"/>
          <w:noProof/>
        </w:rPr>
        <w:footnoteReference w:id="13"/>
      </w:r>
    </w:p>
    <w:p w14:paraId="6C481D62" w14:textId="77777777" w:rsidR="00A8689A" w:rsidRPr="00A04D4B" w:rsidRDefault="00A8689A" w:rsidP="00A8689A">
      <w:pPr>
        <w:pStyle w:val="NormalArial"/>
        <w:ind w:left="720"/>
        <w:jc w:val="both"/>
      </w:pPr>
    </w:p>
    <w:p w14:paraId="03B4AEDA" w14:textId="51C838D1" w:rsidR="00582711" w:rsidRPr="00A04D4B" w:rsidRDefault="00582711" w:rsidP="00780326">
      <w:pPr>
        <w:pStyle w:val="NormalArial"/>
        <w:spacing w:after="240"/>
        <w:jc w:val="both"/>
        <w:rPr>
          <w:rFonts w:cs="Arial"/>
        </w:rPr>
      </w:pPr>
      <w:r w:rsidRPr="00A04D4B">
        <w:rPr>
          <w:rFonts w:cs="Arial"/>
        </w:rPr>
        <w:t xml:space="preserve">In contrast, thermal </w:t>
      </w:r>
      <w:r w:rsidR="00674F77">
        <w:rPr>
          <w:rFonts w:cs="Arial"/>
        </w:rPr>
        <w:t>R</w:t>
      </w:r>
      <w:r w:rsidRPr="00A04D4B">
        <w:rPr>
          <w:rFonts w:cs="Arial"/>
        </w:rPr>
        <w:t xml:space="preserve">esources are eligible to provide Non-Spin if they can respond within 30 minutes, meaning they only need to be available for half the product length. This creates a significant asymmetry that is both inequitable and inefficient, disadvantaging storage </w:t>
      </w:r>
      <w:r w:rsidR="00674F77">
        <w:rPr>
          <w:rFonts w:cs="Arial"/>
        </w:rPr>
        <w:t>R</w:t>
      </w:r>
      <w:r w:rsidRPr="00A04D4B">
        <w:rPr>
          <w:rFonts w:cs="Arial"/>
        </w:rPr>
        <w:t xml:space="preserve">esources and inflating the cost of reserves by excluding </w:t>
      </w:r>
      <w:r w:rsidRPr="00A04D4B">
        <w:rPr>
          <w:rFonts w:cs="Arial"/>
        </w:rPr>
        <w:lastRenderedPageBreak/>
        <w:t>flexible, fast-ramping assets that are otherwise capable of reliably responding.</w:t>
      </w:r>
    </w:p>
    <w:p w14:paraId="6EEAE11E" w14:textId="08C77617" w:rsidR="003C1FF6" w:rsidRPr="00A04D4B" w:rsidRDefault="006A0268" w:rsidP="00780326">
      <w:pPr>
        <w:pStyle w:val="NormalArial"/>
        <w:jc w:val="both"/>
      </w:pPr>
      <w:r w:rsidRPr="00A04D4B">
        <w:t xml:space="preserve">The Joint Commenter proposal </w:t>
      </w:r>
      <w:r w:rsidR="007D7B41" w:rsidRPr="00A04D4B">
        <w:t xml:space="preserve">made </w:t>
      </w:r>
      <w:r w:rsidRPr="00A04D4B">
        <w:t>by Jupiter</w:t>
      </w:r>
      <w:r w:rsidR="00FF2BDD" w:rsidRPr="00A04D4B">
        <w:t xml:space="preserve"> Power LLC</w:t>
      </w:r>
      <w:r w:rsidRPr="00A04D4B">
        <w:t xml:space="preserve"> and Engie</w:t>
      </w:r>
      <w:r w:rsidR="00FF2BDD" w:rsidRPr="00A04D4B">
        <w:t xml:space="preserve"> North America seeks to remedy the </w:t>
      </w:r>
      <w:r w:rsidR="00201F63" w:rsidRPr="00A04D4B">
        <w:t xml:space="preserve">asymmetric pricing outcomes by decoupling the values for qualification duration requirement and Real-Time State of Charge operating requirements. </w:t>
      </w:r>
      <w:r w:rsidRPr="00A04D4B">
        <w:t xml:space="preserve"> </w:t>
      </w:r>
      <w:r w:rsidR="00500148" w:rsidRPr="00A04D4B">
        <w:t xml:space="preserve"> </w:t>
      </w:r>
    </w:p>
    <w:p w14:paraId="43CB21E0" w14:textId="77777777" w:rsidR="00FA7B63" w:rsidRPr="00A04D4B" w:rsidRDefault="00FA7B63" w:rsidP="00780326">
      <w:pPr>
        <w:pStyle w:val="NormalArial"/>
        <w:jc w:val="both"/>
      </w:pPr>
    </w:p>
    <w:p w14:paraId="62DF7074" w14:textId="6D7F83C3" w:rsidR="00FA7B63" w:rsidRPr="00A04D4B" w:rsidRDefault="00FA7B63" w:rsidP="00780326">
      <w:pPr>
        <w:pStyle w:val="NormalArial"/>
        <w:spacing w:before="120" w:after="120"/>
        <w:jc w:val="both"/>
      </w:pPr>
      <w:r w:rsidRPr="00A04D4B">
        <w:t xml:space="preserve">Joint Commenters </w:t>
      </w:r>
      <w:r w:rsidR="00201F63" w:rsidRPr="00A04D4B">
        <w:t xml:space="preserve">proposed the below values in </w:t>
      </w:r>
      <w:r w:rsidR="007E1F53" w:rsidRPr="00A04D4B">
        <w:t>May 12, 2025,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20"/>
        <w:gridCol w:w="3120"/>
      </w:tblGrid>
      <w:tr w:rsidR="00FA7B63" w:rsidRPr="00A04D4B" w14:paraId="1D787B08" w14:textId="77777777" w:rsidTr="00FE66EA">
        <w:tc>
          <w:tcPr>
            <w:tcW w:w="9350" w:type="dxa"/>
            <w:gridSpan w:val="3"/>
          </w:tcPr>
          <w:p w14:paraId="30EA096D" w14:textId="77777777" w:rsidR="00FA7B63" w:rsidRPr="00A04D4B" w:rsidRDefault="00FA7B63" w:rsidP="00BC07AC">
            <w:pPr>
              <w:pStyle w:val="NormalArial"/>
              <w:jc w:val="center"/>
              <w:rPr>
                <w:b/>
                <w:bCs/>
              </w:rPr>
            </w:pPr>
            <w:r w:rsidRPr="00A04D4B">
              <w:rPr>
                <w:b/>
                <w:bCs/>
              </w:rPr>
              <w:t>RTC</w:t>
            </w:r>
          </w:p>
        </w:tc>
      </w:tr>
      <w:tr w:rsidR="00FA7B63" w:rsidRPr="00A04D4B" w14:paraId="33CE769C" w14:textId="77777777" w:rsidTr="00FE66EA">
        <w:tc>
          <w:tcPr>
            <w:tcW w:w="3110" w:type="dxa"/>
          </w:tcPr>
          <w:p w14:paraId="3214B2FB" w14:textId="77777777" w:rsidR="00FA7B63" w:rsidRPr="00A04D4B" w:rsidRDefault="00FA7B63" w:rsidP="00780326">
            <w:pPr>
              <w:pStyle w:val="NormalArial"/>
              <w:jc w:val="both"/>
            </w:pPr>
            <w:r w:rsidRPr="00A04D4B">
              <w:t>Ancillary Service</w:t>
            </w:r>
          </w:p>
        </w:tc>
        <w:tc>
          <w:tcPr>
            <w:tcW w:w="3120" w:type="dxa"/>
          </w:tcPr>
          <w:p w14:paraId="5F230F30" w14:textId="77777777" w:rsidR="00FA7B63" w:rsidRPr="00A04D4B" w:rsidRDefault="00FA7B63" w:rsidP="00780326">
            <w:pPr>
              <w:pStyle w:val="NormalArial"/>
              <w:jc w:val="both"/>
            </w:pPr>
            <w:r w:rsidRPr="00A04D4B">
              <w:t xml:space="preserve">Qualification Requirement </w:t>
            </w:r>
          </w:p>
        </w:tc>
        <w:tc>
          <w:tcPr>
            <w:tcW w:w="3120" w:type="dxa"/>
          </w:tcPr>
          <w:p w14:paraId="5F0A93A1" w14:textId="77777777" w:rsidR="00FA7B63" w:rsidRPr="00A04D4B" w:rsidRDefault="00FA7B63" w:rsidP="00780326">
            <w:pPr>
              <w:pStyle w:val="NormalArial"/>
              <w:jc w:val="both"/>
            </w:pPr>
            <w:r w:rsidRPr="00A04D4B">
              <w:t xml:space="preserve">RTC-SCED/SOC Enforcement Requirement </w:t>
            </w:r>
          </w:p>
        </w:tc>
      </w:tr>
      <w:tr w:rsidR="00FA7B63" w:rsidRPr="00A04D4B" w14:paraId="03E97D13" w14:textId="77777777" w:rsidTr="00FE66EA">
        <w:tc>
          <w:tcPr>
            <w:tcW w:w="3110" w:type="dxa"/>
          </w:tcPr>
          <w:p w14:paraId="12A90076" w14:textId="77777777" w:rsidR="00FA7B63" w:rsidRPr="00A04D4B" w:rsidRDefault="00FA7B63" w:rsidP="00780326">
            <w:pPr>
              <w:pStyle w:val="NormalArial"/>
              <w:jc w:val="both"/>
            </w:pPr>
            <w:r w:rsidRPr="00A04D4B">
              <w:t xml:space="preserve">Non-Spin Reserve Service </w:t>
            </w:r>
          </w:p>
        </w:tc>
        <w:tc>
          <w:tcPr>
            <w:tcW w:w="3120" w:type="dxa"/>
          </w:tcPr>
          <w:p w14:paraId="788374C6" w14:textId="77777777" w:rsidR="00FA7B63" w:rsidRPr="00A04D4B" w:rsidRDefault="00FA7B63" w:rsidP="00780326">
            <w:pPr>
              <w:pStyle w:val="NormalArial"/>
              <w:jc w:val="both"/>
            </w:pPr>
            <w:r w:rsidRPr="00A04D4B">
              <w:t>4 hours</w:t>
            </w:r>
          </w:p>
        </w:tc>
        <w:tc>
          <w:tcPr>
            <w:tcW w:w="3120" w:type="dxa"/>
          </w:tcPr>
          <w:p w14:paraId="6623BBD3" w14:textId="77777777" w:rsidR="00FA7B63" w:rsidRPr="00A04D4B" w:rsidRDefault="00FA7B63" w:rsidP="00780326">
            <w:pPr>
              <w:pStyle w:val="NormalArial"/>
              <w:jc w:val="both"/>
            </w:pPr>
            <w:r w:rsidRPr="00A04D4B">
              <w:t xml:space="preserve">1 hours </w:t>
            </w:r>
          </w:p>
        </w:tc>
      </w:tr>
      <w:tr w:rsidR="00FA7B63" w:rsidRPr="00A04D4B" w14:paraId="2E37C8D6" w14:textId="77777777" w:rsidTr="00FE66EA">
        <w:tc>
          <w:tcPr>
            <w:tcW w:w="3110" w:type="dxa"/>
          </w:tcPr>
          <w:p w14:paraId="2F6FF933" w14:textId="77777777" w:rsidR="00FA7B63" w:rsidRPr="00A04D4B" w:rsidRDefault="00FA7B63" w:rsidP="00780326">
            <w:pPr>
              <w:pStyle w:val="NormalArial"/>
              <w:jc w:val="both"/>
            </w:pPr>
            <w:r w:rsidRPr="00A04D4B">
              <w:t>ECRS</w:t>
            </w:r>
          </w:p>
        </w:tc>
        <w:tc>
          <w:tcPr>
            <w:tcW w:w="3120" w:type="dxa"/>
          </w:tcPr>
          <w:p w14:paraId="75B7F550" w14:textId="77777777" w:rsidR="00FA7B63" w:rsidRPr="00A04D4B" w:rsidRDefault="00FA7B63" w:rsidP="00780326">
            <w:pPr>
              <w:pStyle w:val="NormalArial"/>
              <w:jc w:val="both"/>
            </w:pPr>
            <w:r w:rsidRPr="00A04D4B">
              <w:t>1 hour</w:t>
            </w:r>
          </w:p>
        </w:tc>
        <w:tc>
          <w:tcPr>
            <w:tcW w:w="3120" w:type="dxa"/>
          </w:tcPr>
          <w:p w14:paraId="2D4AEB76" w14:textId="77777777" w:rsidR="00FA7B63" w:rsidRPr="00A04D4B" w:rsidRDefault="00FA7B63" w:rsidP="00780326">
            <w:pPr>
              <w:pStyle w:val="NormalArial"/>
              <w:jc w:val="both"/>
            </w:pPr>
            <w:r w:rsidRPr="00A04D4B">
              <w:t>15 minutes</w:t>
            </w:r>
          </w:p>
        </w:tc>
      </w:tr>
      <w:tr w:rsidR="00FA7B63" w:rsidRPr="00A04D4B" w14:paraId="7877B070" w14:textId="77777777" w:rsidTr="00FE66EA">
        <w:tc>
          <w:tcPr>
            <w:tcW w:w="3110" w:type="dxa"/>
          </w:tcPr>
          <w:p w14:paraId="2D2091B6" w14:textId="77777777" w:rsidR="00FA7B63" w:rsidRPr="00A04D4B" w:rsidRDefault="00FA7B63" w:rsidP="00780326">
            <w:pPr>
              <w:pStyle w:val="NormalArial"/>
              <w:jc w:val="both"/>
            </w:pPr>
            <w:r w:rsidRPr="00A04D4B">
              <w:t xml:space="preserve">Regulation Service </w:t>
            </w:r>
          </w:p>
        </w:tc>
        <w:tc>
          <w:tcPr>
            <w:tcW w:w="3120" w:type="dxa"/>
          </w:tcPr>
          <w:p w14:paraId="5582B008" w14:textId="77777777" w:rsidR="00FA7B63" w:rsidRPr="00A04D4B" w:rsidRDefault="00FA7B63" w:rsidP="00780326">
            <w:pPr>
              <w:pStyle w:val="NormalArial"/>
              <w:jc w:val="both"/>
            </w:pPr>
            <w:r w:rsidRPr="00A04D4B">
              <w:t>30 minutes</w:t>
            </w:r>
          </w:p>
        </w:tc>
        <w:tc>
          <w:tcPr>
            <w:tcW w:w="3120" w:type="dxa"/>
          </w:tcPr>
          <w:p w14:paraId="11A81699" w14:textId="77777777" w:rsidR="00FA7B63" w:rsidRPr="00A04D4B" w:rsidRDefault="00FA7B63" w:rsidP="00780326">
            <w:pPr>
              <w:pStyle w:val="NormalArial"/>
              <w:jc w:val="both"/>
            </w:pPr>
            <w:r w:rsidRPr="00A04D4B">
              <w:t>15 minutes</w:t>
            </w:r>
          </w:p>
        </w:tc>
      </w:tr>
      <w:tr w:rsidR="00FA7B63" w:rsidRPr="00A04D4B" w14:paraId="4AAC3455" w14:textId="77777777" w:rsidTr="00FE66EA">
        <w:tc>
          <w:tcPr>
            <w:tcW w:w="3110" w:type="dxa"/>
          </w:tcPr>
          <w:p w14:paraId="22B8B61F" w14:textId="77777777" w:rsidR="00FA7B63" w:rsidRPr="00A04D4B" w:rsidRDefault="00FA7B63" w:rsidP="00780326">
            <w:pPr>
              <w:pStyle w:val="NormalArial"/>
              <w:jc w:val="both"/>
            </w:pPr>
            <w:r w:rsidRPr="00A04D4B">
              <w:t>RRS</w:t>
            </w:r>
          </w:p>
        </w:tc>
        <w:tc>
          <w:tcPr>
            <w:tcW w:w="3120" w:type="dxa"/>
          </w:tcPr>
          <w:p w14:paraId="232F7970" w14:textId="77777777" w:rsidR="00FA7B63" w:rsidRPr="00A04D4B" w:rsidRDefault="00FA7B63" w:rsidP="00780326">
            <w:pPr>
              <w:pStyle w:val="NormalArial"/>
              <w:jc w:val="both"/>
            </w:pPr>
            <w:r w:rsidRPr="00A04D4B">
              <w:t>30 minutes</w:t>
            </w:r>
          </w:p>
        </w:tc>
        <w:tc>
          <w:tcPr>
            <w:tcW w:w="3120" w:type="dxa"/>
          </w:tcPr>
          <w:p w14:paraId="6F527DAC" w14:textId="77777777" w:rsidR="00FA7B63" w:rsidRPr="00A04D4B" w:rsidRDefault="00FA7B63" w:rsidP="00780326">
            <w:pPr>
              <w:pStyle w:val="NormalArial"/>
              <w:jc w:val="both"/>
            </w:pPr>
            <w:r w:rsidRPr="00A04D4B">
              <w:t>15 minutes</w:t>
            </w:r>
          </w:p>
        </w:tc>
      </w:tr>
    </w:tbl>
    <w:p w14:paraId="4F9B7327" w14:textId="77777777" w:rsidR="00FA7B63" w:rsidRPr="00A04D4B" w:rsidRDefault="00FA7B63" w:rsidP="00780326">
      <w:pPr>
        <w:pStyle w:val="NormalArial"/>
        <w:jc w:val="both"/>
      </w:pPr>
    </w:p>
    <w:p w14:paraId="3D8AC908" w14:textId="5DE4DC81" w:rsidR="007E1F53" w:rsidRPr="00A04D4B" w:rsidRDefault="00FA380D" w:rsidP="00780326">
      <w:pPr>
        <w:pStyle w:val="NormalArial"/>
        <w:spacing w:after="240"/>
        <w:jc w:val="both"/>
      </w:pPr>
      <w:r w:rsidRPr="00A04D4B">
        <w:t>In the one-month time period between the NPRR being filed by ERCOT (on April 29</w:t>
      </w:r>
      <w:r w:rsidRPr="00A04D4B">
        <w:rPr>
          <w:vertAlign w:val="superscript"/>
        </w:rPr>
        <w:t>th</w:t>
      </w:r>
      <w:r w:rsidRPr="00A04D4B">
        <w:t>) and its consideration at TAC, four compromise proposals were made. Those proposals were made by TSSA in May 4</w:t>
      </w:r>
      <w:r w:rsidRPr="00A04D4B">
        <w:rPr>
          <w:vertAlign w:val="superscript"/>
        </w:rPr>
        <w:t>th</w:t>
      </w:r>
      <w:r w:rsidRPr="00A04D4B">
        <w:t xml:space="preserve"> comments, by Jupiter Power in May 7</w:t>
      </w:r>
      <w:r w:rsidRPr="00A04D4B">
        <w:rPr>
          <w:vertAlign w:val="superscript"/>
        </w:rPr>
        <w:t>th</w:t>
      </w:r>
      <w:r w:rsidRPr="00A04D4B">
        <w:t xml:space="preserve"> comments, by Joint Comments Jupiter Power and Engie NA in May 12</w:t>
      </w:r>
      <w:r w:rsidRPr="00A04D4B">
        <w:rPr>
          <w:vertAlign w:val="superscript"/>
        </w:rPr>
        <w:t>th</w:t>
      </w:r>
      <w:r w:rsidRPr="00A04D4B">
        <w:t xml:space="preserve"> comments, and by the IMM in May 13</w:t>
      </w:r>
      <w:r w:rsidRPr="00A04D4B">
        <w:rPr>
          <w:vertAlign w:val="superscript"/>
        </w:rPr>
        <w:t>th</w:t>
      </w:r>
      <w:r w:rsidRPr="00A04D4B">
        <w:t xml:space="preserve"> comments, and included a variety of solutions, including a threshold for state of charge standards at a certain level of PRC, keeping duration and </w:t>
      </w:r>
      <w:r w:rsidR="00674F77">
        <w:t>SOC</w:t>
      </w:r>
      <w:r w:rsidRPr="00A04D4B">
        <w:t xml:space="preserve"> requirements decoupled in RTC, and lowering </w:t>
      </w:r>
      <w:r w:rsidR="00A5717A" w:rsidRPr="00A04D4B">
        <w:t>N</w:t>
      </w:r>
      <w:r w:rsidRPr="00A04D4B">
        <w:t>on-</w:t>
      </w:r>
      <w:r w:rsidR="00A5717A" w:rsidRPr="00A04D4B">
        <w:t>S</w:t>
      </w:r>
      <w:r w:rsidRPr="00A04D4B">
        <w:t xml:space="preserve">pin duration requirements. </w:t>
      </w:r>
    </w:p>
    <w:p w14:paraId="66DE9D9F" w14:textId="2FEC1EF9" w:rsidR="004A358E" w:rsidRPr="00A04D4B" w:rsidRDefault="00304FEA" w:rsidP="00780326">
      <w:pPr>
        <w:pStyle w:val="NormalArial"/>
        <w:spacing w:after="240"/>
        <w:jc w:val="both"/>
      </w:pPr>
      <w:r w:rsidRPr="00A04D4B">
        <w:lastRenderedPageBreak/>
        <w:t xml:space="preserve">At its May 28 meeting, </w:t>
      </w:r>
      <w:r w:rsidR="00FA380D" w:rsidRPr="00A04D4B">
        <w:t xml:space="preserve">TAC </w:t>
      </w:r>
      <w:r w:rsidR="00B075CE" w:rsidRPr="00A04D4B">
        <w:t xml:space="preserve">took a first </w:t>
      </w:r>
      <w:r w:rsidR="00FA380D" w:rsidRPr="00A04D4B">
        <w:t>vote</w:t>
      </w:r>
      <w:r w:rsidR="006445C5" w:rsidRPr="00A04D4B">
        <w:t xml:space="preserve"> </w:t>
      </w:r>
      <w:r w:rsidR="00FA380D" w:rsidRPr="00A04D4B">
        <w:t>on the proposal made by Joint Comments</w:t>
      </w:r>
      <w:r w:rsidR="006445C5" w:rsidRPr="00A04D4B">
        <w:t>. N</w:t>
      </w:r>
      <w:r w:rsidR="00985950" w:rsidRPr="00A04D4B">
        <w:t>otably, the Joint Commenters' proposal received 38% support at TAC —</w:t>
      </w:r>
      <w:r w:rsidR="00674F77">
        <w:t xml:space="preserve"> </w:t>
      </w:r>
      <w:r w:rsidR="00985950" w:rsidRPr="00A04D4B">
        <w:t>including affirmative votes from the Consumers, Independent Power Marketer, Municipally Owned Utility, and Generator segments—demonstrating meaningful cross-sector alignment in favor of a more flexible and balanced approach. Jupiter believe</w:t>
      </w:r>
      <w:r w:rsidR="00B075CE" w:rsidRPr="00A04D4B">
        <w:t>s</w:t>
      </w:r>
      <w:r w:rsidR="00985950" w:rsidRPr="00A04D4B">
        <w:t xml:space="preserve"> that </w:t>
      </w:r>
      <w:r w:rsidR="00B075CE" w:rsidRPr="00A04D4B">
        <w:t xml:space="preserve">this </w:t>
      </w:r>
      <w:r w:rsidR="00985950" w:rsidRPr="00A04D4B">
        <w:t>warrants further consideration and compromise with ERCOT.</w:t>
      </w:r>
      <w:r w:rsidR="00B075CE" w:rsidRPr="00A04D4B">
        <w:t xml:space="preserve"> </w:t>
      </w:r>
    </w:p>
    <w:p w14:paraId="7B3F7CEA" w14:textId="6B55549B" w:rsidR="006A0268" w:rsidRPr="00A04D4B" w:rsidRDefault="00FA380D" w:rsidP="00780326">
      <w:pPr>
        <w:pStyle w:val="NormalArial"/>
        <w:spacing w:after="240"/>
        <w:jc w:val="both"/>
        <w:rPr>
          <w:rFonts w:cs="Arial"/>
        </w:rPr>
      </w:pPr>
      <w:r w:rsidRPr="00A04D4B">
        <w:rPr>
          <w:rFonts w:cs="Arial"/>
        </w:rPr>
        <w:t>Th</w:t>
      </w:r>
      <w:r w:rsidR="004A358E" w:rsidRPr="00A04D4B">
        <w:rPr>
          <w:rFonts w:cs="Arial"/>
        </w:rPr>
        <w:t>is</w:t>
      </w:r>
      <w:r w:rsidRPr="00A04D4B">
        <w:rPr>
          <w:rFonts w:cs="Arial"/>
        </w:rPr>
        <w:t xml:space="preserve"> proposal reflect</w:t>
      </w:r>
      <w:r w:rsidR="004A358E" w:rsidRPr="00A04D4B">
        <w:rPr>
          <w:rFonts w:cs="Arial"/>
        </w:rPr>
        <w:t>s</w:t>
      </w:r>
      <w:r w:rsidRPr="00A04D4B">
        <w:rPr>
          <w:rFonts w:cs="Arial"/>
        </w:rPr>
        <w:t xml:space="preserve"> the substantial consideration and willingness to collaborate across the stakeholder community to find a workable, reliability-focused solution. </w:t>
      </w:r>
      <w:r w:rsidR="00436A98" w:rsidRPr="00A04D4B">
        <w:rPr>
          <w:rFonts w:cs="Arial"/>
        </w:rPr>
        <w:t>T</w:t>
      </w:r>
      <w:r w:rsidR="001B6BEE" w:rsidRPr="00A04D4B">
        <w:rPr>
          <w:rFonts w:cs="Arial"/>
        </w:rPr>
        <w:t xml:space="preserve">he </w:t>
      </w:r>
      <w:r w:rsidR="00436A98" w:rsidRPr="00A04D4B">
        <w:rPr>
          <w:rFonts w:cs="Arial"/>
        </w:rPr>
        <w:t>Joint Commenter</w:t>
      </w:r>
      <w:r w:rsidR="001B6BEE" w:rsidRPr="00A04D4B">
        <w:rPr>
          <w:rFonts w:cs="Arial"/>
        </w:rPr>
        <w:t>s</w:t>
      </w:r>
      <w:r w:rsidR="00436A98" w:rsidRPr="00A04D4B">
        <w:rPr>
          <w:rFonts w:cs="Arial"/>
        </w:rPr>
        <w:t>’</w:t>
      </w:r>
      <w:r w:rsidR="001B6BEE" w:rsidRPr="00A04D4B">
        <w:rPr>
          <w:rFonts w:cs="Arial"/>
        </w:rPr>
        <w:t xml:space="preserve"> framework preserves ERCOT’s ability to model duration conservatively for qualification (fou</w:t>
      </w:r>
      <w:r w:rsidR="00436A98" w:rsidRPr="00A04D4B">
        <w:rPr>
          <w:rFonts w:cs="Arial"/>
        </w:rPr>
        <w:t>r</w:t>
      </w:r>
      <w:r w:rsidR="001B6BEE" w:rsidRPr="00A04D4B">
        <w:rPr>
          <w:rFonts w:cs="Arial"/>
        </w:rPr>
        <w:t xml:space="preserve"> hours for Non-Spin) while ensuring that </w:t>
      </w:r>
      <w:r w:rsidR="001F57A9" w:rsidRPr="00A04D4B">
        <w:rPr>
          <w:rFonts w:cs="Arial"/>
        </w:rPr>
        <w:t>R</w:t>
      </w:r>
      <w:r w:rsidR="001B6BEE" w:rsidRPr="00A04D4B">
        <w:rPr>
          <w:rFonts w:cs="Arial"/>
        </w:rPr>
        <w:t>eal-</w:t>
      </w:r>
      <w:r w:rsidR="001F57A9" w:rsidRPr="00A04D4B">
        <w:rPr>
          <w:rFonts w:cs="Arial"/>
        </w:rPr>
        <w:t>T</w:t>
      </w:r>
      <w:r w:rsidR="001B6BEE" w:rsidRPr="00A04D4B">
        <w:rPr>
          <w:rFonts w:cs="Arial"/>
        </w:rPr>
        <w:t>ime dispatch obligations are grounded in actual system needs</w:t>
      </w:r>
      <w:r w:rsidR="008D0F27" w:rsidRPr="00A04D4B">
        <w:rPr>
          <w:rFonts w:cs="Arial"/>
        </w:rPr>
        <w:t xml:space="preserve">, matching energy requirements to </w:t>
      </w:r>
      <w:r w:rsidR="00D16F3C" w:rsidRPr="00A04D4B">
        <w:rPr>
          <w:rFonts w:cs="Arial"/>
        </w:rPr>
        <w:t xml:space="preserve">awarded </w:t>
      </w:r>
      <w:r w:rsidR="008D0F27" w:rsidRPr="00A04D4B">
        <w:rPr>
          <w:rFonts w:cs="Arial"/>
        </w:rPr>
        <w:t>commitments</w:t>
      </w:r>
      <w:r w:rsidR="001B6BEE" w:rsidRPr="00A04D4B">
        <w:rPr>
          <w:rFonts w:cs="Arial"/>
        </w:rPr>
        <w:t xml:space="preserve">. This balance promotes operational flexibility, broadens ESR participation, and improves reliability and affordability across the grid. In its January 23, 2025, presentation to the RTCBTF, the IMM further reinforced </w:t>
      </w:r>
      <w:r w:rsidR="00436A98" w:rsidRPr="00A04D4B">
        <w:rPr>
          <w:rFonts w:cs="Arial"/>
        </w:rPr>
        <w:t>this</w:t>
      </w:r>
      <w:r w:rsidR="001B6BEE" w:rsidRPr="00A04D4B">
        <w:rPr>
          <w:rFonts w:cs="Arial"/>
        </w:rPr>
        <w:t xml:space="preserve"> position, stating that “separate duration requirements for qualification vs. RTC-SCED is a reasonable short-term approach.”</w:t>
      </w:r>
      <w:r w:rsidR="001B6BEE" w:rsidRPr="00A04D4B">
        <w:rPr>
          <w:rStyle w:val="FootnoteReference"/>
          <w:rFonts w:cs="Arial"/>
        </w:rPr>
        <w:footnoteReference w:id="14"/>
      </w:r>
      <w:r w:rsidR="001B6BEE" w:rsidRPr="00A04D4B">
        <w:rPr>
          <w:rFonts w:cs="Arial"/>
        </w:rPr>
        <w:t xml:space="preserve"> The IMM explained that while ERCOT could continue to use the current 2- and four (4)-hour thresholds to qualify ESRs, but that in RTC-SCED, the </w:t>
      </w:r>
      <w:r w:rsidR="001F57A9" w:rsidRPr="00A04D4B">
        <w:rPr>
          <w:rFonts w:cs="Arial"/>
        </w:rPr>
        <w:t>R</w:t>
      </w:r>
      <w:r w:rsidR="001B6BEE" w:rsidRPr="00A04D4B">
        <w:rPr>
          <w:rFonts w:cs="Arial"/>
        </w:rPr>
        <w:t>eal-</w:t>
      </w:r>
      <w:r w:rsidR="001F57A9" w:rsidRPr="00A04D4B">
        <w:rPr>
          <w:rFonts w:cs="Arial"/>
        </w:rPr>
        <w:t>T</w:t>
      </w:r>
      <w:r w:rsidR="001B6BEE" w:rsidRPr="00A04D4B">
        <w:rPr>
          <w:rFonts w:cs="Arial"/>
        </w:rPr>
        <w:t>ime deployment requirements should be capped at no more than one (1) hour for each service.</w:t>
      </w:r>
      <w:r w:rsidR="001B6BEE" w:rsidRPr="00A04D4B">
        <w:rPr>
          <w:rStyle w:val="FootnoteReference"/>
          <w:rFonts w:cs="Arial"/>
        </w:rPr>
        <w:t xml:space="preserve"> </w:t>
      </w:r>
      <w:r w:rsidR="001B6BEE" w:rsidRPr="00A04D4B">
        <w:rPr>
          <w:rFonts w:cs="Arial"/>
        </w:rPr>
        <w:t xml:space="preserve">This </w:t>
      </w:r>
      <w:r w:rsidR="001B6BEE" w:rsidRPr="00A04D4B">
        <w:rPr>
          <w:rFonts w:cs="Arial"/>
        </w:rPr>
        <w:lastRenderedPageBreak/>
        <w:t>distinction, the IMM noted, helps avoid the worst reliability and market outcomes by preventing unnecessary disqualification of storage while still enabling ERCOT to aggregate reserves across multiple ESRs.</w:t>
      </w:r>
      <w:r w:rsidR="001B6BEE" w:rsidRPr="00A04D4B">
        <w:rPr>
          <w:rStyle w:val="FootnoteReference"/>
          <w:rFonts w:cs="Arial"/>
        </w:rPr>
        <w:footnoteReference w:id="15"/>
      </w:r>
    </w:p>
    <w:p w14:paraId="1F98AEC6" w14:textId="6D2DB565" w:rsidR="009F5E77" w:rsidRPr="00A04D4B" w:rsidRDefault="009F5E77" w:rsidP="00780326">
      <w:pPr>
        <w:pStyle w:val="NormalArial"/>
        <w:jc w:val="both"/>
        <w:rPr>
          <w:b/>
          <w:bCs/>
          <w:u w:val="single"/>
        </w:rPr>
      </w:pPr>
      <w:r w:rsidRPr="00A04D4B">
        <w:rPr>
          <w:b/>
          <w:bCs/>
          <w:u w:val="single"/>
        </w:rPr>
        <w:t>NPRR1282 as passed by TAC will limit participation of E</w:t>
      </w:r>
      <w:r w:rsidR="007A66A5" w:rsidRPr="00A04D4B">
        <w:rPr>
          <w:b/>
          <w:bCs/>
          <w:u w:val="single"/>
        </w:rPr>
        <w:t>nergy Storage Resources</w:t>
      </w:r>
      <w:r w:rsidRPr="00A04D4B">
        <w:rPr>
          <w:b/>
          <w:bCs/>
          <w:u w:val="single"/>
        </w:rPr>
        <w:t xml:space="preserve"> in </w:t>
      </w:r>
      <w:r w:rsidR="007A66A5" w:rsidRPr="00A04D4B">
        <w:rPr>
          <w:b/>
          <w:bCs/>
          <w:u w:val="single"/>
        </w:rPr>
        <w:t>Ancillary Services</w:t>
      </w:r>
      <w:r w:rsidRPr="00A04D4B">
        <w:rPr>
          <w:b/>
          <w:bCs/>
          <w:u w:val="single"/>
        </w:rPr>
        <w:t xml:space="preserve">, </w:t>
      </w:r>
      <w:r w:rsidR="00561CBA">
        <w:rPr>
          <w:b/>
          <w:bCs/>
          <w:u w:val="single"/>
        </w:rPr>
        <w:t xml:space="preserve">posing </w:t>
      </w:r>
      <w:r w:rsidRPr="00A04D4B">
        <w:rPr>
          <w:b/>
          <w:bCs/>
          <w:u w:val="single"/>
        </w:rPr>
        <w:t>reliability</w:t>
      </w:r>
      <w:r w:rsidR="00561CBA">
        <w:rPr>
          <w:b/>
          <w:bCs/>
          <w:u w:val="single"/>
        </w:rPr>
        <w:t xml:space="preserve"> concerns</w:t>
      </w:r>
      <w:r w:rsidRPr="00A04D4B">
        <w:rPr>
          <w:b/>
          <w:bCs/>
          <w:u w:val="single"/>
        </w:rPr>
        <w:t xml:space="preserve">. </w:t>
      </w:r>
    </w:p>
    <w:p w14:paraId="3F75A2AB" w14:textId="77777777" w:rsidR="00BD7258" w:rsidRPr="00A04D4B" w:rsidRDefault="00BD7258" w:rsidP="00780326">
      <w:pPr>
        <w:pStyle w:val="NormalArial"/>
        <w:jc w:val="both"/>
      </w:pPr>
    </w:p>
    <w:p w14:paraId="5F7A2370" w14:textId="43E5FBF8" w:rsidR="00EB5346" w:rsidRPr="00A04D4B" w:rsidRDefault="00EB5346" w:rsidP="00780326">
      <w:pPr>
        <w:pStyle w:val="NormalArial"/>
        <w:spacing w:after="240"/>
        <w:jc w:val="both"/>
        <w:rPr>
          <w:rFonts w:cs="Arial"/>
        </w:rPr>
      </w:pPr>
      <w:r w:rsidRPr="00A04D4B">
        <w:rPr>
          <w:rFonts w:cs="Arial"/>
        </w:rPr>
        <w:t>On May 14, 2025, the North American Electric Reliability Corporation (NERC) released its 2025 Summer Reliability Assessment, which evaluates each region’s risk of electricity supply shortfalls for the upcoming summer by analyzing planning reserve margins, probabilistic risk scenarios, and operational conditions—assessing whether operating reserves will be sufficient not only under typical conditions but also during extreme stress events. NERC’s report finds that ERCOT is well-positioned to maintain adequate reserves under normal summer peak conditions. NERC identified that ERCOT’s evening EEA risk is considerably decreased from last summer (i.e., 18% for 2024; 3% for 2025) and referenced ESRs as main driver in reducing ERCOT’s EEA probability for 2025 during solar ramp down hours.</w:t>
      </w:r>
    </w:p>
    <w:p w14:paraId="6BAE7A91" w14:textId="77777777" w:rsidR="00EB5346" w:rsidRPr="00A04D4B" w:rsidRDefault="00EB5346" w:rsidP="00780326">
      <w:pPr>
        <w:pStyle w:val="NormalArial"/>
        <w:numPr>
          <w:ilvl w:val="0"/>
          <w:numId w:val="8"/>
        </w:numPr>
        <w:spacing w:after="240"/>
        <w:ind w:left="792"/>
        <w:jc w:val="both"/>
        <w:rPr>
          <w:rFonts w:cs="Arial"/>
        </w:rPr>
      </w:pPr>
      <w:r w:rsidRPr="00A04D4B">
        <w:rPr>
          <w:rFonts w:cs="Arial"/>
        </w:rPr>
        <w:lastRenderedPageBreak/>
        <w:t>"</w:t>
      </w:r>
      <w:r w:rsidRPr="00A04D4B">
        <w:rPr>
          <w:rFonts w:cs="Arial"/>
          <w:b/>
          <w:bCs/>
        </w:rPr>
        <w:t xml:space="preserve">Lower risk is attributed to </w:t>
      </w:r>
      <w:r w:rsidRPr="00A04D4B">
        <w:rPr>
          <w:rFonts w:cs="Arial"/>
        </w:rPr>
        <w:t xml:space="preserve">a nearly </w:t>
      </w:r>
      <w:r w:rsidRPr="00A04D4B">
        <w:rPr>
          <w:rFonts w:cs="Arial"/>
          <w:b/>
          <w:bCs/>
        </w:rPr>
        <w:t>doubling</w:t>
      </w:r>
      <w:r w:rsidRPr="00A04D4B">
        <w:rPr>
          <w:rFonts w:cs="Arial"/>
        </w:rPr>
        <w:t xml:space="preserve"> </w:t>
      </w:r>
      <w:r w:rsidRPr="00A04D4B">
        <w:rPr>
          <w:rFonts w:cs="Arial"/>
          <w:b/>
          <w:bCs/>
        </w:rPr>
        <w:t>of battery energy storage capacity</w:t>
      </w:r>
      <w:r w:rsidRPr="00A04D4B">
        <w:rPr>
          <w:rFonts w:cs="Arial"/>
        </w:rPr>
        <w:t xml:space="preserve"> and improved </w:t>
      </w:r>
      <w:r w:rsidRPr="00A04D4B">
        <w:rPr>
          <w:rFonts w:cs="Arial"/>
          <w:b/>
          <w:bCs/>
        </w:rPr>
        <w:t>energy availability from new battery storage</w:t>
      </w:r>
      <w:r w:rsidRPr="00A04D4B">
        <w:rPr>
          <w:rFonts w:cs="Arial"/>
        </w:rPr>
        <w:t xml:space="preserve"> and operational rules.”</w:t>
      </w:r>
      <w:r w:rsidRPr="00A04D4B">
        <w:rPr>
          <w:rStyle w:val="FootnoteReference"/>
          <w:rFonts w:cs="Arial"/>
        </w:rPr>
        <w:footnoteReference w:id="16"/>
      </w:r>
      <w:r w:rsidRPr="00A04D4B">
        <w:rPr>
          <w:rFonts w:cs="Arial"/>
        </w:rPr>
        <w:t xml:space="preserve"> </w:t>
      </w:r>
    </w:p>
    <w:p w14:paraId="1FA108AF" w14:textId="77777777" w:rsidR="00EB5346" w:rsidRPr="00A04D4B" w:rsidRDefault="00EB5346" w:rsidP="00780326">
      <w:pPr>
        <w:pStyle w:val="NormalArial"/>
        <w:numPr>
          <w:ilvl w:val="0"/>
          <w:numId w:val="8"/>
        </w:numPr>
        <w:spacing w:after="240"/>
        <w:ind w:left="792"/>
        <w:jc w:val="both"/>
        <w:rPr>
          <w:rFonts w:cs="Arial"/>
        </w:rPr>
      </w:pPr>
      <w:r w:rsidRPr="00A04D4B">
        <w:rPr>
          <w:rFonts w:cs="Arial"/>
        </w:rPr>
        <w:t xml:space="preserve">“The </w:t>
      </w:r>
      <w:r w:rsidRPr="00A04D4B">
        <w:rPr>
          <w:rFonts w:cs="Arial"/>
          <w:b/>
          <w:bCs/>
        </w:rPr>
        <w:t>large decrease in EEA probabilities</w:t>
      </w:r>
      <w:r w:rsidRPr="00A04D4B">
        <w:rPr>
          <w:rFonts w:cs="Arial"/>
        </w:rPr>
        <w:t xml:space="preserve"> is </w:t>
      </w:r>
      <w:r w:rsidRPr="00A04D4B">
        <w:rPr>
          <w:rFonts w:cs="Arial"/>
          <w:b/>
          <w:bCs/>
        </w:rPr>
        <w:t>due to</w:t>
      </w:r>
      <w:r w:rsidRPr="00A04D4B">
        <w:rPr>
          <w:rFonts w:cs="Arial"/>
        </w:rPr>
        <w:t xml:space="preserve"> the addition of 7,414 MW of </w:t>
      </w:r>
      <w:r w:rsidRPr="00A04D4B">
        <w:rPr>
          <w:rFonts w:cs="Arial"/>
          <w:b/>
          <w:bCs/>
        </w:rPr>
        <w:t>BESS capacity</w:t>
      </w:r>
      <w:r w:rsidRPr="00A04D4B">
        <w:rPr>
          <w:rFonts w:cs="Arial"/>
        </w:rPr>
        <w:t>.”</w:t>
      </w:r>
      <w:r w:rsidRPr="00A04D4B">
        <w:rPr>
          <w:rStyle w:val="FootnoteReference"/>
          <w:rFonts w:cs="Arial"/>
        </w:rPr>
        <w:footnoteReference w:id="17"/>
      </w:r>
    </w:p>
    <w:p w14:paraId="7FD6ECB9" w14:textId="77777777" w:rsidR="00EB5346" w:rsidRPr="00A04D4B" w:rsidRDefault="00EB5346" w:rsidP="00780326">
      <w:pPr>
        <w:pStyle w:val="NormalArial"/>
        <w:numPr>
          <w:ilvl w:val="0"/>
          <w:numId w:val="8"/>
        </w:numPr>
        <w:spacing w:after="240"/>
        <w:ind w:left="792"/>
        <w:jc w:val="both"/>
        <w:rPr>
          <w:rFonts w:cs="Arial"/>
        </w:rPr>
      </w:pPr>
      <w:r w:rsidRPr="00A04D4B">
        <w:rPr>
          <w:rFonts w:cs="Arial"/>
        </w:rPr>
        <w:t>“</w:t>
      </w:r>
      <w:r w:rsidRPr="00A04D4B">
        <w:rPr>
          <w:rFonts w:cs="Arial"/>
          <w:b/>
          <w:bCs/>
        </w:rPr>
        <w:t>New</w:t>
      </w:r>
      <w:r w:rsidRPr="00A04D4B">
        <w:rPr>
          <w:rFonts w:cs="Arial"/>
        </w:rPr>
        <w:t xml:space="preserve"> solar generation, </w:t>
      </w:r>
      <w:r w:rsidRPr="00A04D4B">
        <w:rPr>
          <w:rFonts w:cs="Arial"/>
          <w:b/>
          <w:bCs/>
        </w:rPr>
        <w:t>battery resources</w:t>
      </w:r>
      <w:r w:rsidRPr="00A04D4B">
        <w:rPr>
          <w:rFonts w:cs="Arial"/>
        </w:rPr>
        <w:t xml:space="preserve">, and some thermal generation additions since Summer 2023 boosted electricity supplies, </w:t>
      </w:r>
      <w:r w:rsidRPr="00A04D4B">
        <w:rPr>
          <w:rFonts w:cs="Arial"/>
          <w:b/>
          <w:bCs/>
        </w:rPr>
        <w:t>enabling operators to meet demand records</w:t>
      </w:r>
      <w:r w:rsidRPr="00A04D4B">
        <w:rPr>
          <w:rFonts w:cs="Arial"/>
        </w:rPr>
        <w:t xml:space="preserve"> without demand-side management.”</w:t>
      </w:r>
      <w:r w:rsidRPr="00A04D4B">
        <w:rPr>
          <w:rStyle w:val="FootnoteReference"/>
          <w:rFonts w:cs="Arial"/>
        </w:rPr>
        <w:footnoteReference w:id="18"/>
      </w:r>
    </w:p>
    <w:p w14:paraId="3E28B226" w14:textId="0AF10108" w:rsidR="00606109" w:rsidRPr="00A04D4B" w:rsidRDefault="00D75837" w:rsidP="00780326">
      <w:pPr>
        <w:pStyle w:val="NormalArial"/>
        <w:jc w:val="both"/>
      </w:pPr>
      <w:r w:rsidRPr="00A04D4B">
        <w:t xml:space="preserve">There are also serious reliability reasons for not </w:t>
      </w:r>
      <w:r w:rsidR="00512FA5" w:rsidRPr="00A04D4B">
        <w:t xml:space="preserve">requiring </w:t>
      </w:r>
      <w:r w:rsidR="00D2511A" w:rsidRPr="00A04D4B">
        <w:t xml:space="preserve">a whole asset-class </w:t>
      </w:r>
      <w:r w:rsidR="00512FA5" w:rsidRPr="00A04D4B">
        <w:t xml:space="preserve">ESRs to hold their </w:t>
      </w:r>
      <w:r w:rsidR="00674F77">
        <w:t>SOC</w:t>
      </w:r>
      <w:r w:rsidR="00512FA5" w:rsidRPr="00A04D4B">
        <w:t xml:space="preserve"> high at all times to meet future </w:t>
      </w:r>
      <w:r w:rsidR="00AD387D" w:rsidRPr="00A04D4B">
        <w:t>responsibilities</w:t>
      </w:r>
      <w:r w:rsidR="00512FA5" w:rsidRPr="00A04D4B">
        <w:t xml:space="preserve">. </w:t>
      </w:r>
      <w:r w:rsidR="00FF60AE" w:rsidRPr="00A04D4B">
        <w:t>A topic of</w:t>
      </w:r>
      <w:r w:rsidR="009E6C7E" w:rsidRPr="00A04D4B">
        <w:t xml:space="preserve"> concern from ERCOT a</w:t>
      </w:r>
      <w:r w:rsidR="00FF60AE" w:rsidRPr="00A04D4B">
        <w:t>t</w:t>
      </w:r>
      <w:r w:rsidR="00606109" w:rsidRPr="00A04D4B">
        <w:t xml:space="preserve"> the</w:t>
      </w:r>
      <w:r w:rsidR="009E6C7E" w:rsidRPr="00A04D4B">
        <w:t xml:space="preserve"> recent</w:t>
      </w:r>
      <w:r w:rsidR="00606109" w:rsidRPr="00A04D4B">
        <w:t xml:space="preserve"> Large Load </w:t>
      </w:r>
      <w:r w:rsidR="00FF60AE" w:rsidRPr="00A04D4B">
        <w:t>Working Group</w:t>
      </w:r>
      <w:r w:rsidR="00674F77">
        <w:t xml:space="preserve"> </w:t>
      </w:r>
      <w:r w:rsidR="00674F77" w:rsidRPr="00A04D4B">
        <w:t xml:space="preserve">(LLWG) </w:t>
      </w:r>
      <w:r w:rsidR="00FF60AE" w:rsidRPr="00A04D4B">
        <w:t xml:space="preserve">meetings </w:t>
      </w:r>
      <w:r w:rsidR="00A66DCE" w:rsidRPr="00A04D4B">
        <w:t>is the lack of “foot-room” or ability for load to ramp up (i.e. charge</w:t>
      </w:r>
      <w:r w:rsidR="009A26EA" w:rsidRPr="00A04D4B">
        <w:t xml:space="preserve"> an ESR</w:t>
      </w:r>
      <w:r w:rsidR="00A66DCE" w:rsidRPr="00A04D4B">
        <w:t xml:space="preserve">) in the </w:t>
      </w:r>
      <w:r w:rsidR="009A26EA" w:rsidRPr="00A04D4B">
        <w:t xml:space="preserve">event of a trip of a </w:t>
      </w:r>
      <w:r w:rsidR="00674F77">
        <w:t>L</w:t>
      </w:r>
      <w:r w:rsidR="009A26EA" w:rsidRPr="00A04D4B">
        <w:t xml:space="preserve">arge </w:t>
      </w:r>
      <w:r w:rsidR="00674F77">
        <w:t>L</w:t>
      </w:r>
      <w:r w:rsidR="009A26EA" w:rsidRPr="00A04D4B">
        <w:t>oad.</w:t>
      </w:r>
      <w:r w:rsidR="00C6678C" w:rsidRPr="00A04D4B">
        <w:t xml:space="preserve"> ERCOT has introduced a problem statement regarding </w:t>
      </w:r>
      <w:r w:rsidR="00AD387D" w:rsidRPr="00A04D4B">
        <w:t>Large</w:t>
      </w:r>
      <w:r w:rsidR="00C6678C" w:rsidRPr="00A04D4B">
        <w:t xml:space="preserve"> Load voltage ride</w:t>
      </w:r>
      <w:r w:rsidRPr="00A04D4B">
        <w:t xml:space="preserve">-through that “under worst-case inertia and foot-room conditions, it could cause system-wide </w:t>
      </w:r>
      <w:r w:rsidRPr="00A04D4B">
        <w:lastRenderedPageBreak/>
        <w:t>frequency instability if not mitigated.</w:t>
      </w:r>
      <w:r w:rsidR="00512FA5" w:rsidRPr="00A04D4B">
        <w:t xml:space="preserve">” ERCOT has gone further to suggest </w:t>
      </w:r>
      <w:r w:rsidR="00AD4B53" w:rsidRPr="00A04D4B">
        <w:t>that a solution could be to “establish new Ancillary Service to preserve frequency responsive foot-room on resources.”</w:t>
      </w:r>
      <w:r w:rsidR="00F40C7D" w:rsidRPr="00A04D4B">
        <w:rPr>
          <w:rStyle w:val="FootnoteReference"/>
        </w:rPr>
        <w:footnoteReference w:id="19"/>
      </w:r>
      <w:r w:rsidR="00F40C7D" w:rsidRPr="00A04D4B">
        <w:t xml:space="preserve"> </w:t>
      </w:r>
      <w:r w:rsidR="00AD4B53" w:rsidRPr="00A04D4B">
        <w:t xml:space="preserve">Requiring batteries to hold </w:t>
      </w:r>
      <w:r w:rsidR="00AD387D" w:rsidRPr="00A04D4B">
        <w:t>arbitrarily</w:t>
      </w:r>
      <w:r w:rsidR="00AD4B53" w:rsidRPr="00A04D4B">
        <w:t xml:space="preserve"> </w:t>
      </w:r>
      <w:r w:rsidR="00751022" w:rsidRPr="00A04D4B">
        <w:t xml:space="preserve">high SOC exacerbates the problem that an </w:t>
      </w:r>
      <w:r w:rsidR="00610102" w:rsidRPr="00A04D4B">
        <w:t>A</w:t>
      </w:r>
      <w:r w:rsidR="00751022" w:rsidRPr="00A04D4B">
        <w:t xml:space="preserve">ncillary </w:t>
      </w:r>
      <w:r w:rsidR="00610102" w:rsidRPr="00A04D4B">
        <w:t>S</w:t>
      </w:r>
      <w:r w:rsidR="00751022" w:rsidRPr="00A04D4B">
        <w:t xml:space="preserve">ervice requiring foot-room would seek to mitigate, </w:t>
      </w:r>
      <w:r w:rsidR="00AD387D" w:rsidRPr="00A04D4B">
        <w:t>prolonging</w:t>
      </w:r>
      <w:r w:rsidR="00751022" w:rsidRPr="00A04D4B">
        <w:t xml:space="preserve"> a reliability problem, and </w:t>
      </w:r>
      <w:r w:rsidR="00F40C7D" w:rsidRPr="00A04D4B">
        <w:t>forcing consumers to pay</w:t>
      </w:r>
      <w:r w:rsidR="00AD387D" w:rsidRPr="00A04D4B">
        <w:t xml:space="preserve"> for a solution that they are also paying to create by limiting foot</w:t>
      </w:r>
      <w:r w:rsidR="00D2511A" w:rsidRPr="00A04D4B">
        <w:t>-</w:t>
      </w:r>
      <w:r w:rsidR="00AD387D" w:rsidRPr="00A04D4B">
        <w:t>room on ESRs</w:t>
      </w:r>
      <w:r w:rsidR="00F40C7D" w:rsidRPr="00A04D4B">
        <w:t>.</w:t>
      </w:r>
    </w:p>
    <w:p w14:paraId="2A6067E5" w14:textId="77777777" w:rsidR="00AD387D" w:rsidRPr="00A04D4B" w:rsidRDefault="00AD387D" w:rsidP="00780326">
      <w:pPr>
        <w:pStyle w:val="NormalArial"/>
        <w:jc w:val="both"/>
      </w:pPr>
    </w:p>
    <w:p w14:paraId="238E2E88" w14:textId="477C5778" w:rsidR="00AD387D" w:rsidRPr="00A04D4B" w:rsidRDefault="00AD387D" w:rsidP="00780326">
      <w:pPr>
        <w:pStyle w:val="NormalArial"/>
        <w:jc w:val="both"/>
      </w:pPr>
      <w:r w:rsidRPr="00A04D4B">
        <w:t xml:space="preserve">In its presentation to the May 21, RTC+B task force meeting, the IMM noted that the expressed intention of the higher duration constraint for </w:t>
      </w:r>
      <w:r w:rsidR="00610102" w:rsidRPr="00A04D4B">
        <w:t>Non-Spin</w:t>
      </w:r>
      <w:r w:rsidRPr="00A04D4B">
        <w:t xml:space="preserve"> is to ensure that reserves are able to last longer through a reliability event such as prolonged forecast error, but that in practice, this constraint will lead to more (energy) base points being awarded to ESRs, which will then exhaust their SOC and make them unavailable to provide either energy or reserves as the event persists.</w:t>
      </w:r>
      <w:r w:rsidRPr="00A04D4B">
        <w:rPr>
          <w:rStyle w:val="FootnoteReference"/>
        </w:rPr>
        <w:footnoteReference w:id="20"/>
      </w:r>
      <w:r w:rsidR="00610102" w:rsidRPr="00A04D4B">
        <w:t xml:space="preserve"> For example on a </w:t>
      </w:r>
      <w:r w:rsidR="006D3CC3" w:rsidRPr="00A04D4B">
        <w:t>summer afternoon, where prices may rise, but the sunset hours may still be the highest risk time,</w:t>
      </w:r>
      <w:r w:rsidR="00A93E18" w:rsidRPr="00A04D4B">
        <w:t xml:space="preserve"> RTC-SCED will prefer ESRs to provide energy earlier, rather than as reserves later, which may exacerbate potential emergencies during the sunset hours.</w:t>
      </w:r>
    </w:p>
    <w:p w14:paraId="46937F79" w14:textId="77777777" w:rsidR="00AD387D" w:rsidRPr="00A04D4B" w:rsidRDefault="00AD387D" w:rsidP="00780326">
      <w:pPr>
        <w:pStyle w:val="NormalArial"/>
        <w:jc w:val="both"/>
      </w:pPr>
    </w:p>
    <w:p w14:paraId="22DF6909" w14:textId="70AC6186" w:rsidR="00FA7B63" w:rsidRPr="00A04D4B" w:rsidRDefault="00EB652B" w:rsidP="00780326">
      <w:pPr>
        <w:pStyle w:val="NormalWeb"/>
        <w:jc w:val="both"/>
        <w:rPr>
          <w:noProof/>
        </w:rPr>
      </w:pPr>
      <w:r>
        <w:rPr>
          <w:noProof/>
        </w:rPr>
        <w:lastRenderedPageBreak/>
        <w:drawing>
          <wp:inline distT="0" distB="0" distL="0" distR="0" wp14:anchorId="364A66B3" wp14:editId="2E1EDA60">
            <wp:extent cx="5364480" cy="411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480" cy="4114800"/>
                    </a:xfrm>
                    <a:prstGeom prst="rect">
                      <a:avLst/>
                    </a:prstGeom>
                    <a:noFill/>
                    <a:ln>
                      <a:noFill/>
                    </a:ln>
                  </pic:spPr>
                </pic:pic>
              </a:graphicData>
            </a:graphic>
          </wp:inline>
        </w:drawing>
      </w:r>
      <w:r w:rsidR="00FA7B63" w:rsidRPr="00A04D4B">
        <w:rPr>
          <w:rStyle w:val="FootnoteReference"/>
          <w:noProof/>
        </w:rPr>
        <w:footnoteReference w:id="21"/>
      </w:r>
    </w:p>
    <w:p w14:paraId="57B8716A" w14:textId="77777777" w:rsidR="00FA7B63" w:rsidRPr="00A04D4B" w:rsidRDefault="00FA7B63" w:rsidP="00780326">
      <w:pPr>
        <w:pStyle w:val="NormalArial"/>
        <w:jc w:val="both"/>
      </w:pPr>
    </w:p>
    <w:p w14:paraId="77865893" w14:textId="2101ECDD" w:rsidR="00686240" w:rsidRPr="00A04D4B" w:rsidRDefault="00686240" w:rsidP="00780326">
      <w:pPr>
        <w:pStyle w:val="NormalArial"/>
        <w:spacing w:after="240"/>
        <w:jc w:val="both"/>
        <w:rPr>
          <w:rFonts w:cs="Arial"/>
        </w:rPr>
      </w:pPr>
      <w:r w:rsidRPr="00A04D4B">
        <w:rPr>
          <w:rFonts w:cs="Arial"/>
        </w:rPr>
        <w:t xml:space="preserve">Winter Storms Elliott (December 2022) and Heather (January 2024) brought sustained freezing temperatures, record-high electricity demand, and strained generation conditions across Texas—testing the resilience of the ERCOT grid under extreme and prolonged weather events. In both events, ERCOT relied heavily on ESRs to maintain system stability—batteries provided over half of RRS and </w:t>
      </w:r>
      <w:r w:rsidRPr="00A04D4B">
        <w:rPr>
          <w:rFonts w:cs="Arial"/>
        </w:rPr>
        <w:lastRenderedPageBreak/>
        <w:t xml:space="preserve">nearly 90% of Reg-Up during Elliott, and delivered up to 1,200 MW of fast-ramping capacity during Heather—demonstrating that ESRs are proven, high-performing assets that have repeatedly delivered critical flexibility, frequency response, and </w:t>
      </w:r>
      <w:r w:rsidR="001F57A9" w:rsidRPr="00A04D4B">
        <w:rPr>
          <w:rFonts w:cs="Arial"/>
        </w:rPr>
        <w:t>R</w:t>
      </w:r>
      <w:r w:rsidRPr="00A04D4B">
        <w:rPr>
          <w:rFonts w:cs="Arial"/>
        </w:rPr>
        <w:t>eal-</w:t>
      </w:r>
      <w:r w:rsidR="001F57A9" w:rsidRPr="00A04D4B">
        <w:rPr>
          <w:rFonts w:cs="Arial"/>
        </w:rPr>
        <w:t>T</w:t>
      </w:r>
      <w:r w:rsidRPr="00A04D4B">
        <w:rPr>
          <w:rFonts w:cs="Arial"/>
        </w:rPr>
        <w:t>ime support during peak demand and extreme conditions, helping ERCOT avoid more severe emergency actions.</w:t>
      </w:r>
    </w:p>
    <w:p w14:paraId="6E2A10F6" w14:textId="3FE05614" w:rsidR="005A2D1F" w:rsidRPr="00A04D4B" w:rsidRDefault="000D4F6C" w:rsidP="00780326">
      <w:pPr>
        <w:pStyle w:val="NormalArial"/>
        <w:spacing w:after="240"/>
        <w:jc w:val="both"/>
        <w:rPr>
          <w:rFonts w:cs="Arial"/>
        </w:rPr>
      </w:pPr>
      <w:r w:rsidRPr="00A04D4B">
        <w:rPr>
          <w:rFonts w:cs="Arial"/>
        </w:rPr>
        <w:t xml:space="preserve">ESR’s has also greatly contributed to reliability in recent summers. </w:t>
      </w:r>
      <w:r w:rsidR="005A2D1F" w:rsidRPr="00A04D4B">
        <w:rPr>
          <w:rFonts w:cs="Arial"/>
        </w:rPr>
        <w:t>At the Jan</w:t>
      </w:r>
      <w:r w:rsidR="00610102" w:rsidRPr="00A04D4B">
        <w:rPr>
          <w:rFonts w:cs="Arial"/>
        </w:rPr>
        <w:t xml:space="preserve">uary </w:t>
      </w:r>
      <w:r w:rsidR="005A2D1F" w:rsidRPr="00A04D4B">
        <w:rPr>
          <w:rFonts w:cs="Arial"/>
        </w:rPr>
        <w:t>18, 2024, PUCT Open Meeting, Commissioner Cobos, in response to operational challenges with solar ramp-down on hot days:</w:t>
      </w:r>
    </w:p>
    <w:p w14:paraId="151EAFF8" w14:textId="2CF3EF96" w:rsidR="001646A4" w:rsidRPr="00A04D4B" w:rsidRDefault="005A2D1F" w:rsidP="003A32B5">
      <w:pPr>
        <w:pStyle w:val="NormalArial"/>
        <w:spacing w:after="240"/>
        <w:ind w:left="806" w:right="720"/>
        <w:jc w:val="both"/>
        <w:rPr>
          <w:rFonts w:cs="Arial"/>
        </w:rPr>
      </w:pPr>
      <w:r w:rsidRPr="00A04D4B">
        <w:rPr>
          <w:rFonts w:cs="Arial"/>
        </w:rPr>
        <w:t>ERCOT so far has been able to maintain reliability. In the September 6 EEA event, we had 2,000 MW of storage on the system that helped us avoid load shed, so from this perspective, we are dealing with an operational challenge [that is] going to get more pronounced in the future, and so how do we fill in those gaps? We have to fill them with fast flexible dispatchable generation, and that includes both thermal generation and battery storage. And while we have [new thermal projects] being announced—and that is fantastic—it takes three to four years to get those in place. In the meantime, we have to take advantage of every megawatt that we can get on the system to help with this operational challenge.</w:t>
      </w:r>
      <w:r w:rsidRPr="00A04D4B">
        <w:rPr>
          <w:rStyle w:val="FootnoteReference"/>
          <w:rFonts w:cs="Arial"/>
        </w:rPr>
        <w:footnoteReference w:id="22"/>
      </w:r>
      <w:r w:rsidR="003A32B5" w:rsidRPr="00A04D4B">
        <w:rPr>
          <w:rFonts w:cs="Arial"/>
        </w:rPr>
        <w:t>past</w:t>
      </w:r>
    </w:p>
    <w:p w14:paraId="53E01E0D" w14:textId="0B7FC5E5" w:rsidR="000D4F6C" w:rsidRDefault="00F57D05" w:rsidP="00780326">
      <w:pPr>
        <w:pStyle w:val="NormalArial"/>
        <w:jc w:val="both"/>
      </w:pPr>
      <w:r w:rsidRPr="00A04D4B">
        <w:lastRenderedPageBreak/>
        <w:t>In con</w:t>
      </w:r>
      <w:r w:rsidR="00E60864" w:rsidRPr="00A04D4B">
        <w:t>clusion, Jupiter</w:t>
      </w:r>
      <w:r w:rsidR="003A32B5" w:rsidRPr="00A04D4B">
        <w:t xml:space="preserve"> Power</w:t>
      </w:r>
      <w:r w:rsidR="00E60864" w:rsidRPr="00A04D4B">
        <w:t xml:space="preserve"> appreciates the time and consideration given to this issue by the ERCOT </w:t>
      </w:r>
      <w:r w:rsidR="00D15AED" w:rsidRPr="00A04D4B">
        <w:t>Board and</w:t>
      </w:r>
      <w:r w:rsidR="00E60864" w:rsidRPr="00A04D4B">
        <w:t xml:space="preserve"> </w:t>
      </w:r>
      <w:r w:rsidR="00712529" w:rsidRPr="00A04D4B">
        <w:t xml:space="preserve">respectfully </w:t>
      </w:r>
      <w:r w:rsidR="00E60864" w:rsidRPr="00A04D4B">
        <w:t xml:space="preserve">requests that more consideration be given to a compromise proposal </w:t>
      </w:r>
      <w:r w:rsidR="00D16BF9" w:rsidRPr="00A04D4B">
        <w:t>regarding Real-Time</w:t>
      </w:r>
      <w:r w:rsidR="00872572" w:rsidRPr="00A04D4B">
        <w:t xml:space="preserve"> </w:t>
      </w:r>
      <w:r w:rsidR="00674F77">
        <w:t>SOC</w:t>
      </w:r>
      <w:r w:rsidR="00872572" w:rsidRPr="00A04D4B">
        <w:t xml:space="preserve"> requirements</w:t>
      </w:r>
      <w:r w:rsidR="00667757" w:rsidRPr="00A04D4B">
        <w:t>. The TAC</w:t>
      </w:r>
      <w:r w:rsidR="00EF3163" w:rsidRPr="00A04D4B">
        <w:t>-passed version of NPRR1282 includes</w:t>
      </w:r>
      <w:r w:rsidR="00592681" w:rsidRPr="00A04D4B">
        <w:t xml:space="preserve"> requirements</w:t>
      </w:r>
      <w:r w:rsidR="00D16BF9" w:rsidRPr="00A04D4B">
        <w:t xml:space="preserve"> that greatly diverge from </w:t>
      </w:r>
      <w:r w:rsidR="00674F77">
        <w:t>SOC</w:t>
      </w:r>
      <w:r w:rsidR="00D16BF9" w:rsidRPr="00A04D4B">
        <w:t xml:space="preserve"> policy </w:t>
      </w:r>
      <w:r w:rsidR="00EF3163" w:rsidRPr="00A04D4B">
        <w:t xml:space="preserve">that was </w:t>
      </w:r>
      <w:r w:rsidR="00EE2A76" w:rsidRPr="00A04D4B">
        <w:t xml:space="preserve">recently considered by this </w:t>
      </w:r>
      <w:r w:rsidR="00674F77">
        <w:t>B</w:t>
      </w:r>
      <w:r w:rsidR="00EE2A76" w:rsidRPr="00A04D4B">
        <w:t>oard, without showing tha</w:t>
      </w:r>
      <w:r w:rsidR="006F4628" w:rsidRPr="00A04D4B">
        <w:t>t</w:t>
      </w:r>
      <w:r w:rsidR="00D15AED" w:rsidRPr="00A04D4B">
        <w:t>,</w:t>
      </w:r>
      <w:r w:rsidR="003E1267" w:rsidRPr="00A04D4B">
        <w:t xml:space="preserve"> since NPR</w:t>
      </w:r>
      <w:r w:rsidR="00B4761E" w:rsidRPr="00A04D4B">
        <w:t>R</w:t>
      </w:r>
      <w:r w:rsidR="003E1267" w:rsidRPr="00A04D4B">
        <w:t>1186’s passage in April of 2024,</w:t>
      </w:r>
      <w:r w:rsidR="00B4761E" w:rsidRPr="00A04D4B">
        <w:t xml:space="preserve"> </w:t>
      </w:r>
      <w:r w:rsidR="006F4628" w:rsidRPr="00A04D4B">
        <w:t>a reliability benefit would be gained from such a change in policy</w:t>
      </w:r>
      <w:r w:rsidR="00B4761E" w:rsidRPr="00A04D4B">
        <w:t>. Rather</w:t>
      </w:r>
      <w:r w:rsidR="00325C92" w:rsidRPr="00A04D4B">
        <w:t>,</w:t>
      </w:r>
      <w:r w:rsidR="00B04D02">
        <w:t xml:space="preserve"> RTC</w:t>
      </w:r>
      <w:r w:rsidR="00325C92" w:rsidRPr="00A04D4B">
        <w:t xml:space="preserve"> should allow for the benefit of more flexibility and competition of </w:t>
      </w:r>
      <w:r w:rsidR="00B04D02">
        <w:t>R</w:t>
      </w:r>
      <w:r w:rsidR="00325C92" w:rsidRPr="00A04D4B">
        <w:t xml:space="preserve">esources, </w:t>
      </w:r>
      <w:r w:rsidR="00136063" w:rsidRPr="00A04D4B">
        <w:t>while</w:t>
      </w:r>
      <w:r w:rsidR="00D16BF9" w:rsidRPr="00A04D4B">
        <w:t xml:space="preserve"> </w:t>
      </w:r>
      <w:r w:rsidR="00712529" w:rsidRPr="00A04D4B">
        <w:t xml:space="preserve">the TAC-passed version of NPRR1282 </w:t>
      </w:r>
      <w:r w:rsidR="00437C34" w:rsidRPr="00A04D4B">
        <w:t>will stifle th</w:t>
      </w:r>
      <w:r w:rsidR="00712529" w:rsidRPr="00A04D4B">
        <w:t>ose</w:t>
      </w:r>
      <w:r w:rsidR="00437C34" w:rsidRPr="00A04D4B">
        <w:t xml:space="preserve"> flexibility benefits of </w:t>
      </w:r>
      <w:r w:rsidR="00B04D02">
        <w:t>RTC</w:t>
      </w:r>
      <w:r w:rsidR="004C444E" w:rsidRPr="00A04D4B">
        <w:t>, at an</w:t>
      </w:r>
      <w:r w:rsidR="00437C34" w:rsidRPr="00A04D4B">
        <w:t xml:space="preserve"> increase</w:t>
      </w:r>
      <w:r w:rsidR="004C444E" w:rsidRPr="00A04D4B">
        <w:t>d</w:t>
      </w:r>
      <w:r w:rsidR="00437C34" w:rsidRPr="00A04D4B">
        <w:t xml:space="preserve"> costs to consumers.</w:t>
      </w:r>
    </w:p>
    <w:p w14:paraId="4E33802B" w14:textId="77777777" w:rsidR="00B04D02" w:rsidRPr="00674F77" w:rsidRDefault="00B04D02" w:rsidP="00780326">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A04D4B" w14:paraId="23C312F7" w14:textId="77777777" w:rsidTr="00B5080A">
        <w:trPr>
          <w:trHeight w:val="350"/>
        </w:trPr>
        <w:tc>
          <w:tcPr>
            <w:tcW w:w="10440" w:type="dxa"/>
            <w:tcBorders>
              <w:bottom w:val="single" w:sz="4" w:space="0" w:color="auto"/>
            </w:tcBorders>
            <w:shd w:val="clear" w:color="auto" w:fill="FFFFFF"/>
            <w:vAlign w:val="center"/>
          </w:tcPr>
          <w:p w14:paraId="150CB687" w14:textId="77777777" w:rsidR="00BD7258" w:rsidRPr="00674F77" w:rsidRDefault="00BD7258" w:rsidP="00674F77">
            <w:pPr>
              <w:pStyle w:val="Header"/>
              <w:jc w:val="center"/>
            </w:pPr>
            <w:r w:rsidRPr="00674F77">
              <w:t>Revised Cover Page Language</w:t>
            </w:r>
          </w:p>
        </w:tc>
      </w:tr>
    </w:tbl>
    <w:p w14:paraId="4FE0B216" w14:textId="6C415B60" w:rsidR="00BD7258" w:rsidRPr="00674F77" w:rsidRDefault="00020C08" w:rsidP="00674F77">
      <w:pPr>
        <w:pStyle w:val="BodyText"/>
        <w:jc w:val="both"/>
        <w:rPr>
          <w:rFonts w:ascii="Arial" w:hAnsi="Arial" w:cs="Arial"/>
          <w:bCs/>
        </w:rPr>
      </w:pPr>
      <w:r w:rsidRPr="00674F77">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A04D4B" w14:paraId="409156B4" w14:textId="77777777">
        <w:trPr>
          <w:trHeight w:val="350"/>
        </w:trPr>
        <w:tc>
          <w:tcPr>
            <w:tcW w:w="10440" w:type="dxa"/>
            <w:tcBorders>
              <w:bottom w:val="single" w:sz="4" w:space="0" w:color="auto"/>
            </w:tcBorders>
            <w:shd w:val="clear" w:color="auto" w:fill="FFFFFF"/>
            <w:vAlign w:val="center"/>
          </w:tcPr>
          <w:p w14:paraId="7A1CDE84" w14:textId="77777777" w:rsidR="00152993" w:rsidRPr="00A04D4B" w:rsidRDefault="00152993" w:rsidP="00674F77">
            <w:pPr>
              <w:pStyle w:val="Header"/>
              <w:jc w:val="center"/>
            </w:pPr>
            <w:r w:rsidRPr="00A04D4B">
              <w:t>Revised Proposed Protocol Language</w:t>
            </w:r>
          </w:p>
        </w:tc>
      </w:tr>
    </w:tbl>
    <w:p w14:paraId="0A1DDA3F" w14:textId="7133ED34" w:rsidR="00152993" w:rsidRPr="00674F77" w:rsidRDefault="00674F77" w:rsidP="00674F77">
      <w:pPr>
        <w:pStyle w:val="BodyText"/>
        <w:jc w:val="both"/>
        <w:rPr>
          <w:rFonts w:ascii="Arial" w:hAnsi="Arial" w:cs="Arial"/>
          <w:bCs/>
        </w:rPr>
      </w:pPr>
      <w:r w:rsidRPr="00674F77">
        <w:rPr>
          <w:rFonts w:ascii="Arial" w:hAnsi="Arial" w:cs="Arial"/>
          <w:bCs/>
        </w:rPr>
        <w:t>None</w:t>
      </w:r>
    </w:p>
    <w:sectPr w:rsidR="00152993" w:rsidRPr="00674F77"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2B38" w14:textId="77777777" w:rsidR="0077451E" w:rsidRDefault="0077451E">
      <w:r>
        <w:separator/>
      </w:r>
    </w:p>
  </w:endnote>
  <w:endnote w:type="continuationSeparator" w:id="0">
    <w:p w14:paraId="2C3BFA20" w14:textId="77777777" w:rsidR="0077451E" w:rsidRDefault="0077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9B22C" w14:textId="54CDE0EA"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74F77">
      <w:rPr>
        <w:rFonts w:ascii="Arial" w:hAnsi="Arial"/>
        <w:noProof/>
        <w:sz w:val="18"/>
      </w:rPr>
      <w:t>1282NPRR-14 Jupiter Power Comments 061</w:t>
    </w:r>
    <w:r w:rsidR="00561CBA">
      <w:rPr>
        <w:rFonts w:ascii="Arial" w:hAnsi="Arial"/>
        <w:noProof/>
        <w:sz w:val="18"/>
      </w:rPr>
      <w:t>8</w:t>
    </w:r>
    <w:r w:rsidR="00674F77">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D04F94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2DD92" w14:textId="77777777" w:rsidR="0077451E" w:rsidRDefault="0077451E">
      <w:r>
        <w:separator/>
      </w:r>
    </w:p>
  </w:footnote>
  <w:footnote w:type="continuationSeparator" w:id="0">
    <w:p w14:paraId="26B6D221" w14:textId="77777777" w:rsidR="0077451E" w:rsidRDefault="0077451E">
      <w:r>
        <w:continuationSeparator/>
      </w:r>
    </w:p>
  </w:footnote>
  <w:footnote w:id="1">
    <w:p w14:paraId="7780313E" w14:textId="56AFCDE2" w:rsidR="00EA0338" w:rsidRPr="00A27BDC" w:rsidRDefault="00EA0338">
      <w:pPr>
        <w:pStyle w:val="FootnoteText"/>
      </w:pPr>
      <w:r w:rsidRPr="00A27BDC">
        <w:rPr>
          <w:rStyle w:val="FootnoteReference"/>
        </w:rPr>
        <w:footnoteRef/>
      </w:r>
      <w:r w:rsidRPr="00A27BDC">
        <w:t xml:space="preserve"> </w:t>
      </w:r>
      <w:r w:rsidR="00974816" w:rsidRPr="00A27BDC">
        <w:t xml:space="preserve">“Single Model” </w:t>
      </w:r>
      <w:r w:rsidR="006C5841" w:rsidRPr="00A27BDC">
        <w:t>refers to the primary effort of the Battery Energy Storage Task Force (“BESTF”)</w:t>
      </w:r>
      <w:r w:rsidR="005251C2" w:rsidRPr="00A27BDC">
        <w:t xml:space="preserve">, created in 2019, </w:t>
      </w:r>
      <w:r w:rsidR="003F42B3" w:rsidRPr="00A27BDC">
        <w:t>to move from the “combination” model whereby</w:t>
      </w:r>
      <w:r w:rsidR="00BA3516" w:rsidRPr="00A27BDC">
        <w:t xml:space="preserve"> Energy Storage Resources</w:t>
      </w:r>
      <w:r w:rsidR="003F42B3" w:rsidRPr="00A27BDC">
        <w:t xml:space="preserve"> are modeled as a Controllable Load Resource when charging and as generation when discharging, to one “</w:t>
      </w:r>
      <w:r w:rsidR="00487CBF" w:rsidRPr="00A27BDC">
        <w:t xml:space="preserve">single model” resource. </w:t>
      </w:r>
    </w:p>
  </w:footnote>
  <w:footnote w:id="2">
    <w:p w14:paraId="295E75F8" w14:textId="51A4ACAD" w:rsidR="00A46EC6" w:rsidRDefault="00A46EC6">
      <w:pPr>
        <w:pStyle w:val="FootnoteText"/>
      </w:pPr>
      <w:r w:rsidRPr="00A27BDC">
        <w:rPr>
          <w:rStyle w:val="FootnoteReference"/>
        </w:rPr>
        <w:footnoteRef/>
      </w:r>
      <w:r w:rsidR="006E69EB" w:rsidRPr="00A27BDC">
        <w:t xml:space="preserve"> (1)</w:t>
      </w:r>
      <w:r w:rsidRPr="00A27BDC">
        <w:t xml:space="preserve"> </w:t>
      </w:r>
      <w:r w:rsidR="006E69EB" w:rsidRPr="00A27BDC">
        <w:t xml:space="preserve">1282NPRR-03 TSSA Comments 050425; (2) 1282NPRR-04 Jupiter Power Comments </w:t>
      </w:r>
      <w:r w:rsidR="00B21C87" w:rsidRPr="00A27BDC">
        <w:t>050725 and 1282NPRR-06 Joint Commenters Comments 051225</w:t>
      </w:r>
      <w:r w:rsidR="00E524D1" w:rsidRPr="00A27BDC">
        <w:t>; (3) 1282NPRR</w:t>
      </w:r>
      <w:r w:rsidR="00EA75E0" w:rsidRPr="00A27BDC">
        <w:t>-07 IMM Comments 051325</w:t>
      </w:r>
      <w:r w:rsidR="006E69EB">
        <w:br/>
      </w:r>
    </w:p>
  </w:footnote>
  <w:footnote w:id="3">
    <w:p w14:paraId="0DD6F67E" w14:textId="0EE39E8F" w:rsidR="006052F1" w:rsidRPr="003A4862" w:rsidRDefault="006052F1">
      <w:pPr>
        <w:pStyle w:val="FootnoteText"/>
      </w:pPr>
      <w:r>
        <w:rPr>
          <w:rStyle w:val="FootnoteReference"/>
        </w:rPr>
        <w:footnoteRef/>
      </w:r>
      <w:r>
        <w:t xml:space="preserve"> </w:t>
      </w:r>
      <w:r w:rsidR="008257E0" w:rsidRPr="003A4862">
        <w:t>1282NPRR-05 ERCOT Comments 051225</w:t>
      </w:r>
    </w:p>
  </w:footnote>
  <w:footnote w:id="4">
    <w:p w14:paraId="7D126E8C" w14:textId="590F2CC2" w:rsidR="00FD4079" w:rsidRPr="003121F2" w:rsidRDefault="00FD4079" w:rsidP="00FD4079">
      <w:pPr>
        <w:pStyle w:val="FootnoteText"/>
        <w:jc w:val="both"/>
      </w:pPr>
      <w:r w:rsidRPr="003121F2">
        <w:rPr>
          <w:rStyle w:val="FootnoteReference"/>
        </w:rPr>
        <w:footnoteRef/>
      </w:r>
      <w:r w:rsidRPr="003121F2">
        <w:t xml:space="preserve"> NPRR1282, Ancillary Service Duration under Real-Time Co-Optimization, TAC Report (Jun. 2, 2025) at </w:t>
      </w:r>
      <w:hyperlink r:id="rId1" w:history="1">
        <w:r w:rsidRPr="003121F2">
          <w:rPr>
            <w:rStyle w:val="Hyperlink"/>
          </w:rPr>
          <w:t>https://www.ercot.com/files/docs/2025/06/02/1282NPRR-13-TAC-Report-052825v2.docx</w:t>
        </w:r>
      </w:hyperlink>
      <w:r w:rsidRPr="003121F2">
        <w:t xml:space="preserve">. </w:t>
      </w:r>
    </w:p>
  </w:footnote>
  <w:footnote w:id="5">
    <w:p w14:paraId="4727ED64" w14:textId="3634F787" w:rsidR="00FD4079" w:rsidRPr="003121F2" w:rsidRDefault="00FD4079" w:rsidP="00FD4079">
      <w:pPr>
        <w:pStyle w:val="FootnoteText"/>
        <w:jc w:val="both"/>
      </w:pPr>
      <w:r w:rsidRPr="003121F2">
        <w:rPr>
          <w:rStyle w:val="FootnoteReference"/>
        </w:rPr>
        <w:footnoteRef/>
      </w:r>
      <w:r w:rsidRPr="003121F2">
        <w:t xml:space="preserve"> </w:t>
      </w:r>
      <w:r w:rsidRPr="003121F2">
        <w:rPr>
          <w:i/>
          <w:iCs/>
        </w:rPr>
        <w:t>Id.</w:t>
      </w:r>
    </w:p>
  </w:footnote>
  <w:footnote w:id="6">
    <w:p w14:paraId="40A51D89" w14:textId="77777777" w:rsidR="00FD4079" w:rsidRPr="00532882" w:rsidRDefault="00FD4079" w:rsidP="00FD4079">
      <w:pPr>
        <w:pStyle w:val="FootnoteText"/>
        <w:rPr>
          <w:rFonts w:ascii="Arial" w:hAnsi="Arial" w:cs="Arial"/>
        </w:rPr>
      </w:pPr>
      <w:r w:rsidRPr="003121F2">
        <w:rPr>
          <w:rStyle w:val="FootnoteReference"/>
        </w:rPr>
        <w:footnoteRef/>
      </w:r>
      <w:r w:rsidRPr="003121F2">
        <w:t xml:space="preserve"> </w:t>
      </w:r>
      <w:r w:rsidRPr="003121F2">
        <w:rPr>
          <w:i/>
          <w:iCs/>
        </w:rPr>
        <w:t xml:space="preserve">See </w:t>
      </w:r>
      <w:r w:rsidRPr="003121F2">
        <w:t>NPRR1096,</w:t>
      </w:r>
      <w:r w:rsidRPr="003121F2">
        <w:rPr>
          <w:b/>
          <w:bCs/>
          <w:color w:val="212529"/>
          <w:shd w:val="clear" w:color="auto" w:fill="FFFFFF"/>
        </w:rPr>
        <w:t xml:space="preserve"> </w:t>
      </w:r>
      <w:r w:rsidRPr="003121F2">
        <w:t xml:space="preserve">Require Sustained Two (2)-Hour Capability for ECRS and Four-Hour Capability for Non-Spin (May 12, 2022) at </w:t>
      </w:r>
      <w:hyperlink r:id="rId2" w:anchor="keydocs" w:history="1">
        <w:r w:rsidRPr="003121F2">
          <w:rPr>
            <w:rStyle w:val="Hyperlink"/>
          </w:rPr>
          <w:t>https://www.ercot.com/mktrules/issues/NPRR1096#keydocs</w:t>
        </w:r>
      </w:hyperlink>
      <w:r w:rsidRPr="003121F2">
        <w:t>.</w:t>
      </w:r>
      <w:r w:rsidRPr="00532882">
        <w:rPr>
          <w:rFonts w:ascii="Arial" w:hAnsi="Arial" w:cs="Arial"/>
        </w:rPr>
        <w:t xml:space="preserve"> </w:t>
      </w:r>
    </w:p>
  </w:footnote>
  <w:footnote w:id="7">
    <w:p w14:paraId="1A166E1E" w14:textId="6FA123CC" w:rsidR="009A483E" w:rsidRDefault="009A483E">
      <w:pPr>
        <w:pStyle w:val="FootnoteText"/>
      </w:pPr>
      <w:r>
        <w:rPr>
          <w:rStyle w:val="FootnoteReference"/>
        </w:rPr>
        <w:footnoteRef/>
      </w:r>
      <w:r>
        <w:t xml:space="preserve"> Real-Time Co-optimization (“RTC”) and Real-Time Co-Optimization + Batteries (“RTC+B”) used interchangeably </w:t>
      </w:r>
    </w:p>
  </w:footnote>
  <w:footnote w:id="8">
    <w:p w14:paraId="30EC4348" w14:textId="57606C97" w:rsidR="000C3CF2" w:rsidRDefault="000C3CF2">
      <w:pPr>
        <w:pStyle w:val="FootnoteText"/>
      </w:pPr>
      <w:r>
        <w:rPr>
          <w:rStyle w:val="FootnoteReference"/>
        </w:rPr>
        <w:footnoteRef/>
      </w:r>
      <w:r>
        <w:t xml:space="preserve"> </w:t>
      </w:r>
      <w:r w:rsidR="00E14911">
        <w:t xml:space="preserve">“Market </w:t>
      </w:r>
      <w:r w:rsidR="008B2AC4">
        <w:t>Design</w:t>
      </w:r>
      <w:r w:rsidR="00E14911">
        <w:t xml:space="preserve"> Framework – Workshop” Presentation to Technical Advisory Committee, April 23, 2025</w:t>
      </w:r>
    </w:p>
  </w:footnote>
  <w:footnote w:id="9">
    <w:p w14:paraId="15CD65D2" w14:textId="77777777" w:rsidR="00A6539E" w:rsidRPr="006C22F0" w:rsidRDefault="00A6539E" w:rsidP="00A6539E">
      <w:pPr>
        <w:pStyle w:val="FootnoteText"/>
        <w:jc w:val="both"/>
      </w:pPr>
      <w:r w:rsidRPr="006C22F0">
        <w:rPr>
          <w:rStyle w:val="FootnoteReference"/>
        </w:rPr>
        <w:footnoteRef/>
      </w:r>
      <w:r w:rsidRPr="006C22F0">
        <w:t xml:space="preserve"> </w:t>
      </w:r>
      <w:r w:rsidRPr="006C22F0">
        <w:rPr>
          <w:i/>
          <w:iCs/>
        </w:rPr>
        <w:t xml:space="preserve">See </w:t>
      </w:r>
      <w:r w:rsidRPr="006C22F0">
        <w:t xml:space="preserve">International Electrotechnical Commission (IEC) Standard 62933-2-1:2017, Section 4.4, implying that output duration is energy capacity divided by rated output power (“The energy capacity shall be defined as the product of the rated output power and the output duration time at this rated power.”); National Renewable Energy Laboratory (NREL) (“Storage duration is the amount of time storage can discharge at its power capacity before depleting its energy capacity. For example, a battery with 1 MW of power capacity and 4 MWh of usable energy capacity will have a storage duration of four hours.”) at </w:t>
      </w:r>
      <w:hyperlink r:id="rId3" w:history="1">
        <w:r w:rsidRPr="006C22F0">
          <w:rPr>
            <w:rStyle w:val="Hyperlink"/>
          </w:rPr>
          <w:t>https://docs.nrel.gov/docs/fy19osti/74426.pdf</w:t>
        </w:r>
      </w:hyperlink>
      <w:r w:rsidRPr="006C22F0">
        <w:t xml:space="preserve">; U.S. Department of Energy (DOE), Office of Energy Efficiency &amp; Renewable Energy, (“Long-duration energy storage (LDES) is defined as systems that can store energy and discharge it over a period of 10 hours or more”—i.e., presuming that “duration” is a measure of continuous discharge at rated output.) at </w:t>
      </w:r>
      <w:hyperlink r:id="rId4" w:history="1">
        <w:r w:rsidRPr="006C22F0">
          <w:rPr>
            <w:rStyle w:val="Hyperlink"/>
          </w:rPr>
          <w:t>https://www.energy.gov/oe/long-duration-storage-shot-summit</w:t>
        </w:r>
      </w:hyperlink>
      <w:r w:rsidRPr="006C22F0">
        <w:t>.</w:t>
      </w:r>
    </w:p>
  </w:footnote>
  <w:footnote w:id="10">
    <w:p w14:paraId="64C400F1" w14:textId="45C8A03D" w:rsidR="009079A8" w:rsidRDefault="009079A8">
      <w:pPr>
        <w:pStyle w:val="FootnoteText"/>
      </w:pPr>
      <w:r>
        <w:rPr>
          <w:rStyle w:val="FootnoteReference"/>
        </w:rPr>
        <w:footnoteRef/>
      </w:r>
      <w:r w:rsidR="009161E8">
        <w:t>1186</w:t>
      </w:r>
      <w:r w:rsidR="00A03E89">
        <w:t>NPRR-27 ERCOT Comments 091923</w:t>
      </w:r>
    </w:p>
  </w:footnote>
  <w:footnote w:id="11">
    <w:p w14:paraId="6BA657FD" w14:textId="47A0C2A5" w:rsidR="00634A74" w:rsidRPr="0083267B" w:rsidRDefault="00634A74" w:rsidP="00634A74">
      <w:pPr>
        <w:pStyle w:val="FootnoteText"/>
        <w:jc w:val="both"/>
      </w:pPr>
      <w:r w:rsidRPr="0083267B">
        <w:rPr>
          <w:rStyle w:val="FootnoteReference"/>
        </w:rPr>
        <w:footnoteRef/>
      </w:r>
      <w:r w:rsidRPr="0083267B">
        <w:t xml:space="preserve"> </w:t>
      </w:r>
      <w:r w:rsidR="000F0C83" w:rsidRPr="0083267B">
        <w:t xml:space="preserve">“Review of Ancillary Services in the ERCOT Market,” </w:t>
      </w:r>
      <w:r w:rsidR="0083267B" w:rsidRPr="0083267B">
        <w:t>Public Utility Commission of Texas, Project No. 55845, Staff Recommendations, November 15, 2024</w:t>
      </w:r>
    </w:p>
  </w:footnote>
  <w:footnote w:id="12">
    <w:p w14:paraId="54BDFF61" w14:textId="77777777" w:rsidR="00A8689A" w:rsidRDefault="00A8689A" w:rsidP="00A8689A">
      <w:pPr>
        <w:pStyle w:val="FootnoteText"/>
      </w:pPr>
      <w:r>
        <w:rPr>
          <w:rStyle w:val="FootnoteReference"/>
        </w:rPr>
        <w:footnoteRef/>
      </w:r>
      <w:r>
        <w:t xml:space="preserve"> IMM presentation Jan 23 RTCBTF</w:t>
      </w:r>
    </w:p>
  </w:footnote>
  <w:footnote w:id="13">
    <w:p w14:paraId="17FAFD50" w14:textId="2CD2D084" w:rsidR="00A8689A" w:rsidRDefault="00A8689A" w:rsidP="00A8689A">
      <w:pPr>
        <w:pStyle w:val="FootnoteText"/>
      </w:pPr>
      <w:r>
        <w:rPr>
          <w:rStyle w:val="FootnoteReference"/>
        </w:rPr>
        <w:footnoteRef/>
      </w:r>
      <w:r>
        <w:t xml:space="preserve"> </w:t>
      </w:r>
      <w:r w:rsidR="00555F4D">
        <w:t>“Impact of Duration Constraints for NSPIN on SCED Awards</w:t>
      </w:r>
      <w:r w:rsidR="00D44975">
        <w:t>,” Presented to: RTCBTF, Andrew Reimers, Ph.D., Potomac Economics, May 21, 2025</w:t>
      </w:r>
    </w:p>
  </w:footnote>
  <w:footnote w:id="14">
    <w:p w14:paraId="13420843" w14:textId="77777777" w:rsidR="001B6BEE" w:rsidRPr="00D44975" w:rsidRDefault="001B6BEE" w:rsidP="001B6BEE">
      <w:pPr>
        <w:pStyle w:val="FootnoteText"/>
        <w:jc w:val="both"/>
      </w:pPr>
      <w:r w:rsidRPr="00D44975">
        <w:rPr>
          <w:rStyle w:val="FootnoteReference"/>
        </w:rPr>
        <w:footnoteRef/>
      </w:r>
      <w:r w:rsidRPr="00D44975">
        <w:t xml:space="preserve"> IMM Presentation, RTCBTF (Jan. 23, 2025).</w:t>
      </w:r>
    </w:p>
  </w:footnote>
  <w:footnote w:id="15">
    <w:p w14:paraId="6743B6D2" w14:textId="77777777" w:rsidR="001B6BEE" w:rsidRPr="00D44975" w:rsidRDefault="001B6BEE" w:rsidP="001B6BEE">
      <w:pPr>
        <w:pStyle w:val="FootnoteText"/>
        <w:jc w:val="both"/>
        <w:rPr>
          <w:i/>
          <w:iCs/>
        </w:rPr>
      </w:pPr>
      <w:r w:rsidRPr="00D44975">
        <w:rPr>
          <w:rStyle w:val="FootnoteReference"/>
        </w:rPr>
        <w:footnoteRef/>
      </w:r>
      <w:r w:rsidRPr="00D44975">
        <w:t xml:space="preserve"> </w:t>
      </w:r>
      <w:r w:rsidRPr="00D44975">
        <w:rPr>
          <w:i/>
          <w:iCs/>
        </w:rPr>
        <w:t>Id.</w:t>
      </w:r>
    </w:p>
  </w:footnote>
  <w:footnote w:id="16">
    <w:p w14:paraId="59AA0591" w14:textId="77777777" w:rsidR="00EB5346" w:rsidRPr="005A664B" w:rsidRDefault="00EB5346" w:rsidP="00EB5346">
      <w:pPr>
        <w:pStyle w:val="FootnoteText"/>
      </w:pPr>
      <w:r w:rsidRPr="005A664B">
        <w:rPr>
          <w:rStyle w:val="FootnoteReference"/>
        </w:rPr>
        <w:footnoteRef/>
      </w:r>
      <w:r w:rsidRPr="005A664B">
        <w:t xml:space="preserve"> NERC 2025 Summer Reliability Assessment, Key Findings: Texas RE-ERCOT, p.6 (May 2025) at </w:t>
      </w:r>
      <w:hyperlink r:id="rId5" w:history="1">
        <w:r w:rsidRPr="005A664B">
          <w:rPr>
            <w:rStyle w:val="Hyperlink"/>
          </w:rPr>
          <w:t>https://www.nerc.com/pa/RAPA/ra/Reliability%20Assessments%20DL/NERC_SRA_2025.pdf</w:t>
        </w:r>
      </w:hyperlink>
      <w:r w:rsidRPr="005A664B">
        <w:t xml:space="preserve"> (emphasis added).</w:t>
      </w:r>
    </w:p>
  </w:footnote>
  <w:footnote w:id="17">
    <w:p w14:paraId="6AA45EEB" w14:textId="77777777" w:rsidR="00EB5346" w:rsidRPr="005A664B" w:rsidRDefault="00EB5346" w:rsidP="00EB5346">
      <w:pPr>
        <w:pStyle w:val="FootnoteText"/>
      </w:pPr>
      <w:r w:rsidRPr="005A664B">
        <w:rPr>
          <w:rStyle w:val="FootnoteReference"/>
        </w:rPr>
        <w:footnoteRef/>
      </w:r>
      <w:r w:rsidRPr="005A664B">
        <w:t xml:space="preserve"> </w:t>
      </w:r>
      <w:r w:rsidRPr="005A664B">
        <w:rPr>
          <w:i/>
          <w:iCs/>
        </w:rPr>
        <w:t xml:space="preserve">Id. </w:t>
      </w:r>
      <w:r w:rsidRPr="005A664B">
        <w:t>at pg. 13.</w:t>
      </w:r>
    </w:p>
  </w:footnote>
  <w:footnote w:id="18">
    <w:p w14:paraId="3EDA5602" w14:textId="77777777" w:rsidR="00EB5346" w:rsidRPr="005A664B" w:rsidRDefault="00EB5346" w:rsidP="00EB5346">
      <w:pPr>
        <w:pStyle w:val="FootnoteText"/>
      </w:pPr>
      <w:r w:rsidRPr="005A664B">
        <w:rPr>
          <w:rStyle w:val="FootnoteReference"/>
        </w:rPr>
        <w:footnoteRef/>
      </w:r>
      <w:r w:rsidRPr="005A664B">
        <w:t xml:space="preserve"> </w:t>
      </w:r>
      <w:r w:rsidRPr="005A664B">
        <w:rPr>
          <w:i/>
          <w:iCs/>
        </w:rPr>
        <w:t xml:space="preserve">Id. </w:t>
      </w:r>
      <w:r w:rsidRPr="005A664B">
        <w:t>at pg. 51 (summarizing ERCOT’s 2024 capacity and energy performance).</w:t>
      </w:r>
    </w:p>
  </w:footnote>
  <w:footnote w:id="19">
    <w:p w14:paraId="0F95C534" w14:textId="1B157F63" w:rsidR="00F40C7D" w:rsidRPr="005A664B" w:rsidRDefault="00F40C7D">
      <w:pPr>
        <w:pStyle w:val="FootnoteText"/>
      </w:pPr>
      <w:r w:rsidRPr="005A664B">
        <w:rPr>
          <w:rStyle w:val="FootnoteReference"/>
        </w:rPr>
        <w:footnoteRef/>
      </w:r>
      <w:r w:rsidRPr="005A664B">
        <w:t xml:space="preserve"> </w:t>
      </w:r>
      <w:r w:rsidR="00CE2546" w:rsidRPr="005A664B">
        <w:t xml:space="preserve">“Large Electronic Load (LEL) Voltage Ride-Through Overview, </w:t>
      </w:r>
      <w:r w:rsidR="00AD387D" w:rsidRPr="005A664B">
        <w:t>Large Load Workshop, June 13, 2025</w:t>
      </w:r>
    </w:p>
  </w:footnote>
  <w:footnote w:id="20">
    <w:p w14:paraId="209BEEA0" w14:textId="77777777" w:rsidR="00AD387D" w:rsidRDefault="00AD387D" w:rsidP="00AD387D">
      <w:pPr>
        <w:pStyle w:val="FootnoteText"/>
      </w:pPr>
      <w:r w:rsidRPr="005A664B">
        <w:rPr>
          <w:rStyle w:val="FootnoteReference"/>
        </w:rPr>
        <w:footnoteRef/>
      </w:r>
      <w:r w:rsidRPr="005A664B">
        <w:t xml:space="preserve"> IMM 5-21 presentation</w:t>
      </w:r>
      <w:r>
        <w:t xml:space="preserve"> </w:t>
      </w:r>
    </w:p>
  </w:footnote>
  <w:footnote w:id="21">
    <w:p w14:paraId="5B42F050" w14:textId="4E4E6884" w:rsidR="00FA7B63" w:rsidRDefault="00FA7B63">
      <w:pPr>
        <w:pStyle w:val="FootnoteText"/>
      </w:pPr>
      <w:r>
        <w:rPr>
          <w:rStyle w:val="FootnoteReference"/>
        </w:rPr>
        <w:footnoteRef/>
      </w:r>
      <w:r>
        <w:t xml:space="preserve"> </w:t>
      </w:r>
      <w:r w:rsidR="009B11D4">
        <w:t>“Impact of Duration Constraints for NSPIN on SCED Awards,” Presented to: RTCBTF, Andrew Reimers, Ph.D., Potomac Economics, May 21, 2025</w:t>
      </w:r>
    </w:p>
  </w:footnote>
  <w:footnote w:id="22">
    <w:p w14:paraId="5D66687F" w14:textId="77777777" w:rsidR="005A2D1F" w:rsidRPr="005A6284" w:rsidRDefault="005A2D1F" w:rsidP="005A2D1F">
      <w:pPr>
        <w:pStyle w:val="FootnoteText"/>
        <w:ind w:right="-360"/>
        <w:jc w:val="both"/>
      </w:pPr>
      <w:r w:rsidRPr="00532882">
        <w:rPr>
          <w:rStyle w:val="FootnoteReference"/>
          <w:rFonts w:ascii="Arial" w:hAnsi="Arial" w:cs="Arial"/>
        </w:rPr>
        <w:footnoteRef/>
      </w:r>
      <w:r w:rsidRPr="00532882">
        <w:rPr>
          <w:rFonts w:ascii="Arial" w:hAnsi="Arial" w:cs="Arial"/>
        </w:rPr>
        <w:t xml:space="preserve"> </w:t>
      </w:r>
      <w:r w:rsidRPr="005A6284">
        <w:t xml:space="preserve">PUCT Open Meeting, Item No. 37 (Jan. 18, 2024) at </w:t>
      </w:r>
    </w:p>
    <w:p w14:paraId="3CC3AAA7" w14:textId="77777777" w:rsidR="005A2D1F" w:rsidRPr="00532882" w:rsidRDefault="005A2D1F" w:rsidP="005A2D1F">
      <w:pPr>
        <w:pStyle w:val="FootnoteText"/>
        <w:ind w:right="-360"/>
        <w:jc w:val="both"/>
        <w:rPr>
          <w:rFonts w:ascii="Arial" w:hAnsi="Arial" w:cs="Arial"/>
        </w:rPr>
      </w:pPr>
      <w:hyperlink r:id="rId6" w:history="1">
        <w:r w:rsidRPr="005A6284">
          <w:rPr>
            <w:rStyle w:val="Hyperlink"/>
          </w:rPr>
          <w:t>https://texasadmin.com/tx/puct/open_meeting/20240118/</w:t>
        </w:r>
      </w:hyperlink>
      <w:r w:rsidRPr="005A6284">
        <w:t>.</w:t>
      </w:r>
      <w:r w:rsidRPr="005328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A97B" w14:textId="77777777" w:rsidR="00EE6681" w:rsidRDefault="00EE6681">
    <w:pPr>
      <w:pStyle w:val="Header"/>
      <w:jc w:val="center"/>
      <w:rPr>
        <w:sz w:val="32"/>
      </w:rPr>
    </w:pPr>
    <w:r>
      <w:rPr>
        <w:sz w:val="32"/>
      </w:rPr>
      <w:t>NPRR Comments</w:t>
    </w:r>
  </w:p>
  <w:p w14:paraId="0E399998"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87370E"/>
    <w:multiLevelType w:val="hybridMultilevel"/>
    <w:tmpl w:val="774E6B16"/>
    <w:lvl w:ilvl="0" w:tplc="1172907E">
      <w:start w:val="1"/>
      <w:numFmt w:val="bullet"/>
      <w:lvlRestart w:val="0"/>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3A10"/>
    <w:multiLevelType w:val="hybridMultilevel"/>
    <w:tmpl w:val="4984997E"/>
    <w:lvl w:ilvl="0" w:tplc="D38895F4">
      <w:start w:val="1"/>
      <w:numFmt w:val="bullet"/>
      <w:lvlRestart w:val="0"/>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1DC53C04"/>
    <w:multiLevelType w:val="hybridMultilevel"/>
    <w:tmpl w:val="CE7ADA1A"/>
    <w:lvl w:ilvl="0" w:tplc="9D04342C">
      <w:start w:val="1"/>
      <w:numFmt w:val="decimal"/>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AA70ED"/>
    <w:multiLevelType w:val="hybridMultilevel"/>
    <w:tmpl w:val="38F8F72C"/>
    <w:lvl w:ilvl="0" w:tplc="DCDC6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173A3"/>
    <w:multiLevelType w:val="hybridMultilevel"/>
    <w:tmpl w:val="5A62CEC8"/>
    <w:lvl w:ilvl="0" w:tplc="D6AE5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53DED"/>
    <w:multiLevelType w:val="multilevel"/>
    <w:tmpl w:val="932ED90E"/>
    <w:lvl w:ilvl="0">
      <w:start w:val="1"/>
      <w:numFmt w:val="upperRoman"/>
      <w:lvlText w:val="%1."/>
      <w:lvlJc w:val="left"/>
      <w:pPr>
        <w:ind w:left="0" w:firstLine="0"/>
      </w:pPr>
    </w:lvl>
    <w:lvl w:ilvl="1">
      <w:start w:val="1"/>
      <w:numFmt w:val="upperLetter"/>
      <w:lvlText w:val="%2."/>
      <w:lvlJc w:val="left"/>
      <w:pPr>
        <w:ind w:left="720" w:firstLine="0"/>
      </w:pPr>
      <w:rPr>
        <w:b/>
        <w:bCs/>
      </w:r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E74C1B"/>
    <w:multiLevelType w:val="hybridMultilevel"/>
    <w:tmpl w:val="BF20A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842045">
    <w:abstractNumId w:val="0"/>
  </w:num>
  <w:num w:numId="2" w16cid:durableId="1255288029">
    <w:abstractNumId w:val="7"/>
  </w:num>
  <w:num w:numId="3" w16cid:durableId="1181356984">
    <w:abstractNumId w:val="5"/>
  </w:num>
  <w:num w:numId="4" w16cid:durableId="916482148">
    <w:abstractNumId w:val="4"/>
  </w:num>
  <w:num w:numId="5" w16cid:durableId="176117252">
    <w:abstractNumId w:val="8"/>
  </w:num>
  <w:num w:numId="6" w16cid:durableId="742677100">
    <w:abstractNumId w:val="1"/>
  </w:num>
  <w:num w:numId="7" w16cid:durableId="2140150015">
    <w:abstractNumId w:val="6"/>
  </w:num>
  <w:num w:numId="8" w16cid:durableId="1993483831">
    <w:abstractNumId w:val="2"/>
  </w:num>
  <w:num w:numId="9" w16cid:durableId="41231744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907"/>
    <w:rsid w:val="00002AFD"/>
    <w:rsid w:val="000040BC"/>
    <w:rsid w:val="000050E1"/>
    <w:rsid w:val="00015AD3"/>
    <w:rsid w:val="00015B2E"/>
    <w:rsid w:val="00020C08"/>
    <w:rsid w:val="00020D97"/>
    <w:rsid w:val="0002261F"/>
    <w:rsid w:val="000267E9"/>
    <w:rsid w:val="000277B4"/>
    <w:rsid w:val="0003084A"/>
    <w:rsid w:val="00037668"/>
    <w:rsid w:val="000417C7"/>
    <w:rsid w:val="00042799"/>
    <w:rsid w:val="00042EA2"/>
    <w:rsid w:val="0005467C"/>
    <w:rsid w:val="00063342"/>
    <w:rsid w:val="00074CEA"/>
    <w:rsid w:val="00075A94"/>
    <w:rsid w:val="00081A45"/>
    <w:rsid w:val="000865B9"/>
    <w:rsid w:val="00086C4C"/>
    <w:rsid w:val="00092220"/>
    <w:rsid w:val="0009492D"/>
    <w:rsid w:val="000A29BE"/>
    <w:rsid w:val="000A3A9A"/>
    <w:rsid w:val="000A6D2A"/>
    <w:rsid w:val="000B6097"/>
    <w:rsid w:val="000B6EFA"/>
    <w:rsid w:val="000C37EC"/>
    <w:rsid w:val="000C3CF2"/>
    <w:rsid w:val="000C4978"/>
    <w:rsid w:val="000C4F7D"/>
    <w:rsid w:val="000D00B6"/>
    <w:rsid w:val="000D4F6C"/>
    <w:rsid w:val="000D576B"/>
    <w:rsid w:val="000D6CC5"/>
    <w:rsid w:val="000D7B88"/>
    <w:rsid w:val="000E317E"/>
    <w:rsid w:val="000E4787"/>
    <w:rsid w:val="000F08C6"/>
    <w:rsid w:val="000F0C83"/>
    <w:rsid w:val="0010057D"/>
    <w:rsid w:val="001053F1"/>
    <w:rsid w:val="00107D45"/>
    <w:rsid w:val="0011240D"/>
    <w:rsid w:val="00116788"/>
    <w:rsid w:val="001179B1"/>
    <w:rsid w:val="00121811"/>
    <w:rsid w:val="0012235C"/>
    <w:rsid w:val="00126B43"/>
    <w:rsid w:val="00132855"/>
    <w:rsid w:val="001341EA"/>
    <w:rsid w:val="00134766"/>
    <w:rsid w:val="00136063"/>
    <w:rsid w:val="0014157F"/>
    <w:rsid w:val="0014221D"/>
    <w:rsid w:val="0014388E"/>
    <w:rsid w:val="001458FB"/>
    <w:rsid w:val="00145B85"/>
    <w:rsid w:val="00150987"/>
    <w:rsid w:val="00152993"/>
    <w:rsid w:val="00155C6C"/>
    <w:rsid w:val="001603FE"/>
    <w:rsid w:val="0016117F"/>
    <w:rsid w:val="00163573"/>
    <w:rsid w:val="001646A4"/>
    <w:rsid w:val="00167A02"/>
    <w:rsid w:val="00170297"/>
    <w:rsid w:val="00172594"/>
    <w:rsid w:val="001769D2"/>
    <w:rsid w:val="001773B8"/>
    <w:rsid w:val="00182740"/>
    <w:rsid w:val="001827FB"/>
    <w:rsid w:val="0018315A"/>
    <w:rsid w:val="00192893"/>
    <w:rsid w:val="001A19E8"/>
    <w:rsid w:val="001A227D"/>
    <w:rsid w:val="001A365A"/>
    <w:rsid w:val="001A658A"/>
    <w:rsid w:val="001A79D7"/>
    <w:rsid w:val="001B282C"/>
    <w:rsid w:val="001B5C5D"/>
    <w:rsid w:val="001B6BEE"/>
    <w:rsid w:val="001C561E"/>
    <w:rsid w:val="001D543B"/>
    <w:rsid w:val="001D7D30"/>
    <w:rsid w:val="001E2032"/>
    <w:rsid w:val="001F4308"/>
    <w:rsid w:val="001F57A9"/>
    <w:rsid w:val="001F67B6"/>
    <w:rsid w:val="00200492"/>
    <w:rsid w:val="00201F63"/>
    <w:rsid w:val="002029EC"/>
    <w:rsid w:val="002136EB"/>
    <w:rsid w:val="0022364A"/>
    <w:rsid w:val="00224A1F"/>
    <w:rsid w:val="00231437"/>
    <w:rsid w:val="0023562B"/>
    <w:rsid w:val="002717C1"/>
    <w:rsid w:val="00275C94"/>
    <w:rsid w:val="002774CB"/>
    <w:rsid w:val="00284B8F"/>
    <w:rsid w:val="00285EC2"/>
    <w:rsid w:val="00294A86"/>
    <w:rsid w:val="002A1B21"/>
    <w:rsid w:val="002A301F"/>
    <w:rsid w:val="002A3C2D"/>
    <w:rsid w:val="002A3E03"/>
    <w:rsid w:val="002A4F6B"/>
    <w:rsid w:val="002A6974"/>
    <w:rsid w:val="002D6A78"/>
    <w:rsid w:val="002E7AF0"/>
    <w:rsid w:val="002F7177"/>
    <w:rsid w:val="00301030"/>
    <w:rsid w:val="003010C0"/>
    <w:rsid w:val="00304FEA"/>
    <w:rsid w:val="00307280"/>
    <w:rsid w:val="003121F2"/>
    <w:rsid w:val="00314AE9"/>
    <w:rsid w:val="00321FB1"/>
    <w:rsid w:val="00325B23"/>
    <w:rsid w:val="00325C92"/>
    <w:rsid w:val="0032650C"/>
    <w:rsid w:val="00332A97"/>
    <w:rsid w:val="003410D3"/>
    <w:rsid w:val="003427D0"/>
    <w:rsid w:val="0034303D"/>
    <w:rsid w:val="00344F7B"/>
    <w:rsid w:val="00347641"/>
    <w:rsid w:val="00350661"/>
    <w:rsid w:val="00350C00"/>
    <w:rsid w:val="00351804"/>
    <w:rsid w:val="00352838"/>
    <w:rsid w:val="0035740C"/>
    <w:rsid w:val="00366113"/>
    <w:rsid w:val="00366DFE"/>
    <w:rsid w:val="0037018D"/>
    <w:rsid w:val="00376448"/>
    <w:rsid w:val="00380CBB"/>
    <w:rsid w:val="00385383"/>
    <w:rsid w:val="00391F6C"/>
    <w:rsid w:val="0039310A"/>
    <w:rsid w:val="003A32B5"/>
    <w:rsid w:val="003A43B3"/>
    <w:rsid w:val="003A4862"/>
    <w:rsid w:val="003B0CF9"/>
    <w:rsid w:val="003B7DA4"/>
    <w:rsid w:val="003C0E03"/>
    <w:rsid w:val="003C1FF6"/>
    <w:rsid w:val="003C270C"/>
    <w:rsid w:val="003D0994"/>
    <w:rsid w:val="003D10A9"/>
    <w:rsid w:val="003D7F71"/>
    <w:rsid w:val="003E1267"/>
    <w:rsid w:val="003E6BCB"/>
    <w:rsid w:val="003F197D"/>
    <w:rsid w:val="003F3D32"/>
    <w:rsid w:val="003F3F3D"/>
    <w:rsid w:val="003F42B3"/>
    <w:rsid w:val="00402E4E"/>
    <w:rsid w:val="00404EB6"/>
    <w:rsid w:val="0041015E"/>
    <w:rsid w:val="00410516"/>
    <w:rsid w:val="004127CD"/>
    <w:rsid w:val="004178DF"/>
    <w:rsid w:val="00420033"/>
    <w:rsid w:val="004235D9"/>
    <w:rsid w:val="00423824"/>
    <w:rsid w:val="00433443"/>
    <w:rsid w:val="004351C1"/>
    <w:rsid w:val="0043567D"/>
    <w:rsid w:val="00436A98"/>
    <w:rsid w:val="00437C34"/>
    <w:rsid w:val="004473AF"/>
    <w:rsid w:val="00452323"/>
    <w:rsid w:val="004601E4"/>
    <w:rsid w:val="0046068B"/>
    <w:rsid w:val="00463BBD"/>
    <w:rsid w:val="004645B0"/>
    <w:rsid w:val="004672D8"/>
    <w:rsid w:val="00476F8B"/>
    <w:rsid w:val="0048133C"/>
    <w:rsid w:val="00484350"/>
    <w:rsid w:val="00487CBF"/>
    <w:rsid w:val="00491AFE"/>
    <w:rsid w:val="004924B3"/>
    <w:rsid w:val="00494284"/>
    <w:rsid w:val="00495B47"/>
    <w:rsid w:val="004A358E"/>
    <w:rsid w:val="004A7D4D"/>
    <w:rsid w:val="004B7B90"/>
    <w:rsid w:val="004C444E"/>
    <w:rsid w:val="004C6C05"/>
    <w:rsid w:val="004D5378"/>
    <w:rsid w:val="004D63F1"/>
    <w:rsid w:val="004E2C19"/>
    <w:rsid w:val="004E710B"/>
    <w:rsid w:val="004F1F37"/>
    <w:rsid w:val="004F3644"/>
    <w:rsid w:val="004F4F08"/>
    <w:rsid w:val="004F5D7B"/>
    <w:rsid w:val="00500148"/>
    <w:rsid w:val="005033CD"/>
    <w:rsid w:val="00512D2F"/>
    <w:rsid w:val="00512FA5"/>
    <w:rsid w:val="00513649"/>
    <w:rsid w:val="005140E0"/>
    <w:rsid w:val="00521AAB"/>
    <w:rsid w:val="005251C2"/>
    <w:rsid w:val="00540538"/>
    <w:rsid w:val="00542FB9"/>
    <w:rsid w:val="00555F4D"/>
    <w:rsid w:val="00556FB4"/>
    <w:rsid w:val="00557704"/>
    <w:rsid w:val="00557758"/>
    <w:rsid w:val="00561CBA"/>
    <w:rsid w:val="005652DB"/>
    <w:rsid w:val="00570338"/>
    <w:rsid w:val="0057573B"/>
    <w:rsid w:val="00577335"/>
    <w:rsid w:val="00582711"/>
    <w:rsid w:val="00585F2B"/>
    <w:rsid w:val="00591007"/>
    <w:rsid w:val="00592681"/>
    <w:rsid w:val="005952BB"/>
    <w:rsid w:val="00595364"/>
    <w:rsid w:val="005A27D8"/>
    <w:rsid w:val="005A2D1F"/>
    <w:rsid w:val="005A5486"/>
    <w:rsid w:val="005A6284"/>
    <w:rsid w:val="005A664B"/>
    <w:rsid w:val="005A6B17"/>
    <w:rsid w:val="005A7178"/>
    <w:rsid w:val="005B0003"/>
    <w:rsid w:val="005C1660"/>
    <w:rsid w:val="005C2467"/>
    <w:rsid w:val="005D284C"/>
    <w:rsid w:val="005D724F"/>
    <w:rsid w:val="005E64BB"/>
    <w:rsid w:val="005F1D85"/>
    <w:rsid w:val="005F33AC"/>
    <w:rsid w:val="005F6191"/>
    <w:rsid w:val="005F633D"/>
    <w:rsid w:val="005F6417"/>
    <w:rsid w:val="005F7188"/>
    <w:rsid w:val="0060365F"/>
    <w:rsid w:val="00603DAC"/>
    <w:rsid w:val="00604512"/>
    <w:rsid w:val="006052F1"/>
    <w:rsid w:val="00606109"/>
    <w:rsid w:val="0061004F"/>
    <w:rsid w:val="00610102"/>
    <w:rsid w:val="00611524"/>
    <w:rsid w:val="00621181"/>
    <w:rsid w:val="0063112A"/>
    <w:rsid w:val="00633055"/>
    <w:rsid w:val="00633E23"/>
    <w:rsid w:val="00634A74"/>
    <w:rsid w:val="00640C7E"/>
    <w:rsid w:val="006445C5"/>
    <w:rsid w:val="00656F55"/>
    <w:rsid w:val="00663134"/>
    <w:rsid w:val="0066761C"/>
    <w:rsid w:val="00667757"/>
    <w:rsid w:val="00673B94"/>
    <w:rsid w:val="00674F77"/>
    <w:rsid w:val="006753B8"/>
    <w:rsid w:val="00680AC6"/>
    <w:rsid w:val="006835D8"/>
    <w:rsid w:val="00683728"/>
    <w:rsid w:val="00685992"/>
    <w:rsid w:val="00686240"/>
    <w:rsid w:val="006866EC"/>
    <w:rsid w:val="006878FC"/>
    <w:rsid w:val="00687E1C"/>
    <w:rsid w:val="0069571A"/>
    <w:rsid w:val="006A0268"/>
    <w:rsid w:val="006A163C"/>
    <w:rsid w:val="006B19EC"/>
    <w:rsid w:val="006B77CA"/>
    <w:rsid w:val="006C22F0"/>
    <w:rsid w:val="006C316E"/>
    <w:rsid w:val="006C5841"/>
    <w:rsid w:val="006D0EA9"/>
    <w:rsid w:val="006D0F7C"/>
    <w:rsid w:val="006D3796"/>
    <w:rsid w:val="006D3CC3"/>
    <w:rsid w:val="006D3E60"/>
    <w:rsid w:val="006D4B9D"/>
    <w:rsid w:val="006E11F6"/>
    <w:rsid w:val="006E13F2"/>
    <w:rsid w:val="006E69EB"/>
    <w:rsid w:val="006F135A"/>
    <w:rsid w:val="006F4628"/>
    <w:rsid w:val="00712529"/>
    <w:rsid w:val="007129BD"/>
    <w:rsid w:val="0071587B"/>
    <w:rsid w:val="00716082"/>
    <w:rsid w:val="0071776A"/>
    <w:rsid w:val="007260C1"/>
    <w:rsid w:val="007269C4"/>
    <w:rsid w:val="00734F82"/>
    <w:rsid w:val="007355A6"/>
    <w:rsid w:val="0073719D"/>
    <w:rsid w:val="0074209E"/>
    <w:rsid w:val="00751022"/>
    <w:rsid w:val="00762EA2"/>
    <w:rsid w:val="00771A62"/>
    <w:rsid w:val="0077283F"/>
    <w:rsid w:val="0077451E"/>
    <w:rsid w:val="00780326"/>
    <w:rsid w:val="007909DB"/>
    <w:rsid w:val="007928E7"/>
    <w:rsid w:val="00794411"/>
    <w:rsid w:val="0079489B"/>
    <w:rsid w:val="007A66A5"/>
    <w:rsid w:val="007A72EA"/>
    <w:rsid w:val="007A75DC"/>
    <w:rsid w:val="007A7FB4"/>
    <w:rsid w:val="007C4576"/>
    <w:rsid w:val="007C59AB"/>
    <w:rsid w:val="007C7A13"/>
    <w:rsid w:val="007D1657"/>
    <w:rsid w:val="007D6AD9"/>
    <w:rsid w:val="007D7B41"/>
    <w:rsid w:val="007E1727"/>
    <w:rsid w:val="007E1F53"/>
    <w:rsid w:val="007E5152"/>
    <w:rsid w:val="007F2CA8"/>
    <w:rsid w:val="007F37DE"/>
    <w:rsid w:val="007F4162"/>
    <w:rsid w:val="007F7161"/>
    <w:rsid w:val="00800A3D"/>
    <w:rsid w:val="008019F3"/>
    <w:rsid w:val="00801EA3"/>
    <w:rsid w:val="00805090"/>
    <w:rsid w:val="008066E3"/>
    <w:rsid w:val="00806C61"/>
    <w:rsid w:val="00807CD4"/>
    <w:rsid w:val="00812BB7"/>
    <w:rsid w:val="00814B25"/>
    <w:rsid w:val="00817F63"/>
    <w:rsid w:val="0082080F"/>
    <w:rsid w:val="0082096B"/>
    <w:rsid w:val="008257E0"/>
    <w:rsid w:val="00826911"/>
    <w:rsid w:val="008273BC"/>
    <w:rsid w:val="0083267B"/>
    <w:rsid w:val="00837C38"/>
    <w:rsid w:val="008404B5"/>
    <w:rsid w:val="008547FC"/>
    <w:rsid w:val="0085559E"/>
    <w:rsid w:val="008650FF"/>
    <w:rsid w:val="00866BCD"/>
    <w:rsid w:val="00872572"/>
    <w:rsid w:val="00872DCD"/>
    <w:rsid w:val="00874C39"/>
    <w:rsid w:val="00876640"/>
    <w:rsid w:val="00877A75"/>
    <w:rsid w:val="00885A0B"/>
    <w:rsid w:val="0088755A"/>
    <w:rsid w:val="008902CB"/>
    <w:rsid w:val="00896B1B"/>
    <w:rsid w:val="008976E4"/>
    <w:rsid w:val="008B2AC4"/>
    <w:rsid w:val="008B6886"/>
    <w:rsid w:val="008C075E"/>
    <w:rsid w:val="008C5DB6"/>
    <w:rsid w:val="008C7123"/>
    <w:rsid w:val="008D0F27"/>
    <w:rsid w:val="008E27CC"/>
    <w:rsid w:val="008E2A47"/>
    <w:rsid w:val="008E456B"/>
    <w:rsid w:val="008E559E"/>
    <w:rsid w:val="008E6DF6"/>
    <w:rsid w:val="008E75A7"/>
    <w:rsid w:val="008E7E2C"/>
    <w:rsid w:val="00901A96"/>
    <w:rsid w:val="00907147"/>
    <w:rsid w:val="009079A8"/>
    <w:rsid w:val="00907F60"/>
    <w:rsid w:val="00910C91"/>
    <w:rsid w:val="00916080"/>
    <w:rsid w:val="009161E8"/>
    <w:rsid w:val="00921A68"/>
    <w:rsid w:val="009308E9"/>
    <w:rsid w:val="0093094D"/>
    <w:rsid w:val="00931E2E"/>
    <w:rsid w:val="009336B4"/>
    <w:rsid w:val="00936D40"/>
    <w:rsid w:val="009409B5"/>
    <w:rsid w:val="00940B38"/>
    <w:rsid w:val="0094119C"/>
    <w:rsid w:val="00945A33"/>
    <w:rsid w:val="00947B9F"/>
    <w:rsid w:val="00952507"/>
    <w:rsid w:val="0095358B"/>
    <w:rsid w:val="00954A20"/>
    <w:rsid w:val="00963BAF"/>
    <w:rsid w:val="009653C1"/>
    <w:rsid w:val="009672CA"/>
    <w:rsid w:val="00973FF2"/>
    <w:rsid w:val="00974816"/>
    <w:rsid w:val="0097658A"/>
    <w:rsid w:val="0097793E"/>
    <w:rsid w:val="00985950"/>
    <w:rsid w:val="00991224"/>
    <w:rsid w:val="0099279A"/>
    <w:rsid w:val="009A26EA"/>
    <w:rsid w:val="009A483E"/>
    <w:rsid w:val="009B11D4"/>
    <w:rsid w:val="009B14AF"/>
    <w:rsid w:val="009B53AF"/>
    <w:rsid w:val="009B64BE"/>
    <w:rsid w:val="009C0437"/>
    <w:rsid w:val="009C0978"/>
    <w:rsid w:val="009C2E10"/>
    <w:rsid w:val="009D1AE4"/>
    <w:rsid w:val="009D3BD3"/>
    <w:rsid w:val="009D5A4C"/>
    <w:rsid w:val="009D7CD3"/>
    <w:rsid w:val="009E17C5"/>
    <w:rsid w:val="009E6C7E"/>
    <w:rsid w:val="009F35B0"/>
    <w:rsid w:val="009F5E77"/>
    <w:rsid w:val="009F6D4C"/>
    <w:rsid w:val="00A007E5"/>
    <w:rsid w:val="00A015C4"/>
    <w:rsid w:val="00A01CA0"/>
    <w:rsid w:val="00A02625"/>
    <w:rsid w:val="00A03E89"/>
    <w:rsid w:val="00A04D4B"/>
    <w:rsid w:val="00A06311"/>
    <w:rsid w:val="00A06A50"/>
    <w:rsid w:val="00A07546"/>
    <w:rsid w:val="00A07797"/>
    <w:rsid w:val="00A15172"/>
    <w:rsid w:val="00A2539F"/>
    <w:rsid w:val="00A27BDC"/>
    <w:rsid w:val="00A301E8"/>
    <w:rsid w:val="00A318B6"/>
    <w:rsid w:val="00A440B9"/>
    <w:rsid w:val="00A46EC6"/>
    <w:rsid w:val="00A47BD3"/>
    <w:rsid w:val="00A54516"/>
    <w:rsid w:val="00A5717A"/>
    <w:rsid w:val="00A6226D"/>
    <w:rsid w:val="00A62F67"/>
    <w:rsid w:val="00A6539E"/>
    <w:rsid w:val="00A654E2"/>
    <w:rsid w:val="00A66DCE"/>
    <w:rsid w:val="00A740F6"/>
    <w:rsid w:val="00A74AB6"/>
    <w:rsid w:val="00A74D24"/>
    <w:rsid w:val="00A74E93"/>
    <w:rsid w:val="00A763D4"/>
    <w:rsid w:val="00A80D1B"/>
    <w:rsid w:val="00A8689A"/>
    <w:rsid w:val="00A93E18"/>
    <w:rsid w:val="00A9407E"/>
    <w:rsid w:val="00A94679"/>
    <w:rsid w:val="00AA4B74"/>
    <w:rsid w:val="00AA5216"/>
    <w:rsid w:val="00AA7C03"/>
    <w:rsid w:val="00AB19F3"/>
    <w:rsid w:val="00AB2183"/>
    <w:rsid w:val="00AC1BEF"/>
    <w:rsid w:val="00AC3F44"/>
    <w:rsid w:val="00AD0875"/>
    <w:rsid w:val="00AD094A"/>
    <w:rsid w:val="00AD2949"/>
    <w:rsid w:val="00AD387D"/>
    <w:rsid w:val="00AD3F6A"/>
    <w:rsid w:val="00AD4B53"/>
    <w:rsid w:val="00AE01C7"/>
    <w:rsid w:val="00AE3869"/>
    <w:rsid w:val="00AE3A9B"/>
    <w:rsid w:val="00AF0DF2"/>
    <w:rsid w:val="00B00921"/>
    <w:rsid w:val="00B01898"/>
    <w:rsid w:val="00B03B48"/>
    <w:rsid w:val="00B04D02"/>
    <w:rsid w:val="00B056C1"/>
    <w:rsid w:val="00B05C71"/>
    <w:rsid w:val="00B0620F"/>
    <w:rsid w:val="00B075CE"/>
    <w:rsid w:val="00B10E72"/>
    <w:rsid w:val="00B1125F"/>
    <w:rsid w:val="00B206F5"/>
    <w:rsid w:val="00B21C87"/>
    <w:rsid w:val="00B23885"/>
    <w:rsid w:val="00B2565B"/>
    <w:rsid w:val="00B2570A"/>
    <w:rsid w:val="00B25C1E"/>
    <w:rsid w:val="00B26483"/>
    <w:rsid w:val="00B30A62"/>
    <w:rsid w:val="00B37BA6"/>
    <w:rsid w:val="00B43EBF"/>
    <w:rsid w:val="00B4761E"/>
    <w:rsid w:val="00B479AD"/>
    <w:rsid w:val="00B5080A"/>
    <w:rsid w:val="00B51CA1"/>
    <w:rsid w:val="00B617B2"/>
    <w:rsid w:val="00B6724F"/>
    <w:rsid w:val="00B72146"/>
    <w:rsid w:val="00B74013"/>
    <w:rsid w:val="00B7515D"/>
    <w:rsid w:val="00B80ABC"/>
    <w:rsid w:val="00B86405"/>
    <w:rsid w:val="00B86C05"/>
    <w:rsid w:val="00B8731A"/>
    <w:rsid w:val="00B91C22"/>
    <w:rsid w:val="00B943AE"/>
    <w:rsid w:val="00BA0DE6"/>
    <w:rsid w:val="00BA248D"/>
    <w:rsid w:val="00BA3516"/>
    <w:rsid w:val="00BA4BD4"/>
    <w:rsid w:val="00BB583E"/>
    <w:rsid w:val="00BC07AC"/>
    <w:rsid w:val="00BC1B89"/>
    <w:rsid w:val="00BC45C1"/>
    <w:rsid w:val="00BD3325"/>
    <w:rsid w:val="00BD56AD"/>
    <w:rsid w:val="00BD7258"/>
    <w:rsid w:val="00BE20AC"/>
    <w:rsid w:val="00BF25CA"/>
    <w:rsid w:val="00BF777C"/>
    <w:rsid w:val="00C0598D"/>
    <w:rsid w:val="00C05A56"/>
    <w:rsid w:val="00C10644"/>
    <w:rsid w:val="00C11956"/>
    <w:rsid w:val="00C11A8F"/>
    <w:rsid w:val="00C15E9B"/>
    <w:rsid w:val="00C26D40"/>
    <w:rsid w:val="00C32C83"/>
    <w:rsid w:val="00C3381A"/>
    <w:rsid w:val="00C5266B"/>
    <w:rsid w:val="00C602E5"/>
    <w:rsid w:val="00C61C8C"/>
    <w:rsid w:val="00C6678C"/>
    <w:rsid w:val="00C748FD"/>
    <w:rsid w:val="00C805AB"/>
    <w:rsid w:val="00C80D02"/>
    <w:rsid w:val="00C81AB2"/>
    <w:rsid w:val="00C823CB"/>
    <w:rsid w:val="00C9610A"/>
    <w:rsid w:val="00C97D88"/>
    <w:rsid w:val="00CB58C0"/>
    <w:rsid w:val="00CB71D7"/>
    <w:rsid w:val="00CB76E3"/>
    <w:rsid w:val="00CC6596"/>
    <w:rsid w:val="00CD3C3B"/>
    <w:rsid w:val="00CD4CCE"/>
    <w:rsid w:val="00CD6B7D"/>
    <w:rsid w:val="00CD74D6"/>
    <w:rsid w:val="00CE2546"/>
    <w:rsid w:val="00CE5336"/>
    <w:rsid w:val="00CF6929"/>
    <w:rsid w:val="00D0104A"/>
    <w:rsid w:val="00D02BF7"/>
    <w:rsid w:val="00D15AED"/>
    <w:rsid w:val="00D16BF9"/>
    <w:rsid w:val="00D16F3C"/>
    <w:rsid w:val="00D17344"/>
    <w:rsid w:val="00D220EF"/>
    <w:rsid w:val="00D2511A"/>
    <w:rsid w:val="00D26485"/>
    <w:rsid w:val="00D341BF"/>
    <w:rsid w:val="00D34D71"/>
    <w:rsid w:val="00D4046E"/>
    <w:rsid w:val="00D4362F"/>
    <w:rsid w:val="00D44975"/>
    <w:rsid w:val="00D44E00"/>
    <w:rsid w:val="00D4747A"/>
    <w:rsid w:val="00D506A8"/>
    <w:rsid w:val="00D52FB5"/>
    <w:rsid w:val="00D5660B"/>
    <w:rsid w:val="00D630F0"/>
    <w:rsid w:val="00D639D2"/>
    <w:rsid w:val="00D75837"/>
    <w:rsid w:val="00D808B0"/>
    <w:rsid w:val="00D8279B"/>
    <w:rsid w:val="00D84678"/>
    <w:rsid w:val="00D874F5"/>
    <w:rsid w:val="00D90035"/>
    <w:rsid w:val="00D94D26"/>
    <w:rsid w:val="00D9520C"/>
    <w:rsid w:val="00D968ED"/>
    <w:rsid w:val="00DA23F4"/>
    <w:rsid w:val="00DB2BA1"/>
    <w:rsid w:val="00DB4483"/>
    <w:rsid w:val="00DB52AC"/>
    <w:rsid w:val="00DD2836"/>
    <w:rsid w:val="00DD4739"/>
    <w:rsid w:val="00DD6CCD"/>
    <w:rsid w:val="00DD782A"/>
    <w:rsid w:val="00DE1643"/>
    <w:rsid w:val="00DE36A3"/>
    <w:rsid w:val="00DE5F33"/>
    <w:rsid w:val="00DF0EBC"/>
    <w:rsid w:val="00DF7007"/>
    <w:rsid w:val="00E03B26"/>
    <w:rsid w:val="00E07B54"/>
    <w:rsid w:val="00E11F78"/>
    <w:rsid w:val="00E14911"/>
    <w:rsid w:val="00E205DB"/>
    <w:rsid w:val="00E21D1D"/>
    <w:rsid w:val="00E33AE1"/>
    <w:rsid w:val="00E342A6"/>
    <w:rsid w:val="00E3702B"/>
    <w:rsid w:val="00E5085F"/>
    <w:rsid w:val="00E524D1"/>
    <w:rsid w:val="00E54D42"/>
    <w:rsid w:val="00E55AB6"/>
    <w:rsid w:val="00E57C6B"/>
    <w:rsid w:val="00E60864"/>
    <w:rsid w:val="00E621E1"/>
    <w:rsid w:val="00E63BD1"/>
    <w:rsid w:val="00E63CFF"/>
    <w:rsid w:val="00E707FE"/>
    <w:rsid w:val="00E72083"/>
    <w:rsid w:val="00E73402"/>
    <w:rsid w:val="00E73A46"/>
    <w:rsid w:val="00E7578C"/>
    <w:rsid w:val="00E76382"/>
    <w:rsid w:val="00E9021A"/>
    <w:rsid w:val="00E91E6C"/>
    <w:rsid w:val="00E9257F"/>
    <w:rsid w:val="00E9284B"/>
    <w:rsid w:val="00E93199"/>
    <w:rsid w:val="00E977CC"/>
    <w:rsid w:val="00EA0338"/>
    <w:rsid w:val="00EA1E46"/>
    <w:rsid w:val="00EA75E0"/>
    <w:rsid w:val="00EB0A6D"/>
    <w:rsid w:val="00EB0E86"/>
    <w:rsid w:val="00EB5346"/>
    <w:rsid w:val="00EB652B"/>
    <w:rsid w:val="00EC1E86"/>
    <w:rsid w:val="00EC28B4"/>
    <w:rsid w:val="00EC4DE7"/>
    <w:rsid w:val="00EC55B3"/>
    <w:rsid w:val="00EE2A76"/>
    <w:rsid w:val="00EE6681"/>
    <w:rsid w:val="00EE6DDB"/>
    <w:rsid w:val="00EF3163"/>
    <w:rsid w:val="00F04069"/>
    <w:rsid w:val="00F122B6"/>
    <w:rsid w:val="00F13998"/>
    <w:rsid w:val="00F1427F"/>
    <w:rsid w:val="00F31585"/>
    <w:rsid w:val="00F40C32"/>
    <w:rsid w:val="00F40C7D"/>
    <w:rsid w:val="00F40F1E"/>
    <w:rsid w:val="00F41966"/>
    <w:rsid w:val="00F428C3"/>
    <w:rsid w:val="00F4304E"/>
    <w:rsid w:val="00F44D7D"/>
    <w:rsid w:val="00F57D05"/>
    <w:rsid w:val="00F6188B"/>
    <w:rsid w:val="00F656BE"/>
    <w:rsid w:val="00F66B13"/>
    <w:rsid w:val="00F67EF9"/>
    <w:rsid w:val="00F735B9"/>
    <w:rsid w:val="00F756E1"/>
    <w:rsid w:val="00F83221"/>
    <w:rsid w:val="00F83A04"/>
    <w:rsid w:val="00F84600"/>
    <w:rsid w:val="00F903F8"/>
    <w:rsid w:val="00F908F3"/>
    <w:rsid w:val="00F9487D"/>
    <w:rsid w:val="00F96FB2"/>
    <w:rsid w:val="00FA0443"/>
    <w:rsid w:val="00FA0AA6"/>
    <w:rsid w:val="00FA380D"/>
    <w:rsid w:val="00FA793B"/>
    <w:rsid w:val="00FA7B63"/>
    <w:rsid w:val="00FA7F5F"/>
    <w:rsid w:val="00FB29E9"/>
    <w:rsid w:val="00FB45E3"/>
    <w:rsid w:val="00FB51D8"/>
    <w:rsid w:val="00FC6342"/>
    <w:rsid w:val="00FD08E8"/>
    <w:rsid w:val="00FD3157"/>
    <w:rsid w:val="00FD4079"/>
    <w:rsid w:val="00FD5255"/>
    <w:rsid w:val="00FD7BDF"/>
    <w:rsid w:val="00FE413E"/>
    <w:rsid w:val="00FE66EA"/>
    <w:rsid w:val="00FF2BDD"/>
    <w:rsid w:val="00FF60AE"/>
    <w:rsid w:val="00FF6282"/>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75902"/>
  <w15:chartTrackingRefBased/>
  <w15:docId w15:val="{62ADB2DE-0EE6-444D-B545-7974C232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9B64BE"/>
    <w:rPr>
      <w:color w:val="605E5C"/>
      <w:shd w:val="clear" w:color="auto" w:fill="E1DFDD"/>
    </w:rPr>
  </w:style>
  <w:style w:type="paragraph" w:styleId="FootnoteText">
    <w:name w:val="footnote text"/>
    <w:basedOn w:val="Normal"/>
    <w:link w:val="FootnoteTextChar"/>
    <w:rsid w:val="00794411"/>
    <w:rPr>
      <w:sz w:val="20"/>
      <w:szCs w:val="20"/>
    </w:rPr>
  </w:style>
  <w:style w:type="character" w:customStyle="1" w:styleId="FootnoteTextChar">
    <w:name w:val="Footnote Text Char"/>
    <w:basedOn w:val="DefaultParagraphFont"/>
    <w:link w:val="FootnoteText"/>
    <w:rsid w:val="00794411"/>
  </w:style>
  <w:style w:type="character" w:styleId="FootnoteReference">
    <w:name w:val="footnote reference"/>
    <w:rsid w:val="00794411"/>
    <w:rPr>
      <w:vertAlign w:val="superscript"/>
    </w:rPr>
  </w:style>
  <w:style w:type="paragraph" w:styleId="NormalWeb">
    <w:name w:val="Normal (Web)"/>
    <w:basedOn w:val="Normal"/>
    <w:uiPriority w:val="99"/>
    <w:unhideWhenUsed/>
    <w:rsid w:val="0057573B"/>
    <w:pPr>
      <w:spacing w:before="100" w:beforeAutospacing="1" w:after="100" w:afterAutospacing="1"/>
    </w:pPr>
  </w:style>
  <w:style w:type="character" w:customStyle="1" w:styleId="NormalArialChar">
    <w:name w:val="Normal+Arial Char"/>
    <w:link w:val="NormalArial"/>
    <w:rsid w:val="00FA7B63"/>
    <w:rPr>
      <w:rFonts w:ascii="Arial" w:hAnsi="Arial"/>
      <w:sz w:val="24"/>
      <w:szCs w:val="24"/>
    </w:rPr>
  </w:style>
  <w:style w:type="paragraph" w:styleId="Revision">
    <w:name w:val="Revision"/>
    <w:hidden/>
    <w:uiPriority w:val="99"/>
    <w:semiHidden/>
    <w:rsid w:val="00E9257F"/>
    <w:rPr>
      <w:sz w:val="24"/>
      <w:szCs w:val="24"/>
    </w:rPr>
  </w:style>
  <w:style w:type="character" w:styleId="Mention">
    <w:name w:val="Mention"/>
    <w:uiPriority w:val="99"/>
    <w:unhideWhenUsed/>
    <w:rsid w:val="00167A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4583">
      <w:bodyDiv w:val="1"/>
      <w:marLeft w:val="0"/>
      <w:marRight w:val="0"/>
      <w:marTop w:val="0"/>
      <w:marBottom w:val="0"/>
      <w:divBdr>
        <w:top w:val="none" w:sz="0" w:space="0" w:color="auto"/>
        <w:left w:val="none" w:sz="0" w:space="0" w:color="auto"/>
        <w:bottom w:val="none" w:sz="0" w:space="0" w:color="auto"/>
        <w:right w:val="none" w:sz="0" w:space="0" w:color="auto"/>
      </w:divBdr>
    </w:div>
    <w:div w:id="353969651">
      <w:bodyDiv w:val="1"/>
      <w:marLeft w:val="0"/>
      <w:marRight w:val="0"/>
      <w:marTop w:val="0"/>
      <w:marBottom w:val="0"/>
      <w:divBdr>
        <w:top w:val="none" w:sz="0" w:space="0" w:color="auto"/>
        <w:left w:val="none" w:sz="0" w:space="0" w:color="auto"/>
        <w:bottom w:val="none" w:sz="0" w:space="0" w:color="auto"/>
        <w:right w:val="none" w:sz="0" w:space="0" w:color="auto"/>
      </w:divBdr>
    </w:div>
    <w:div w:id="355740117">
      <w:bodyDiv w:val="1"/>
      <w:marLeft w:val="0"/>
      <w:marRight w:val="0"/>
      <w:marTop w:val="0"/>
      <w:marBottom w:val="0"/>
      <w:divBdr>
        <w:top w:val="none" w:sz="0" w:space="0" w:color="auto"/>
        <w:left w:val="none" w:sz="0" w:space="0" w:color="auto"/>
        <w:bottom w:val="none" w:sz="0" w:space="0" w:color="auto"/>
        <w:right w:val="none" w:sz="0" w:space="0" w:color="auto"/>
      </w:divBdr>
    </w:div>
    <w:div w:id="397359080">
      <w:bodyDiv w:val="1"/>
      <w:marLeft w:val="0"/>
      <w:marRight w:val="0"/>
      <w:marTop w:val="0"/>
      <w:marBottom w:val="0"/>
      <w:divBdr>
        <w:top w:val="none" w:sz="0" w:space="0" w:color="auto"/>
        <w:left w:val="none" w:sz="0" w:space="0" w:color="auto"/>
        <w:bottom w:val="none" w:sz="0" w:space="0" w:color="auto"/>
        <w:right w:val="none" w:sz="0" w:space="0" w:color="auto"/>
      </w:divBdr>
    </w:div>
    <w:div w:id="425925525">
      <w:bodyDiv w:val="1"/>
      <w:marLeft w:val="0"/>
      <w:marRight w:val="0"/>
      <w:marTop w:val="0"/>
      <w:marBottom w:val="0"/>
      <w:divBdr>
        <w:top w:val="none" w:sz="0" w:space="0" w:color="auto"/>
        <w:left w:val="none" w:sz="0" w:space="0" w:color="auto"/>
        <w:bottom w:val="none" w:sz="0" w:space="0" w:color="auto"/>
        <w:right w:val="none" w:sz="0" w:space="0" w:color="auto"/>
      </w:divBdr>
    </w:div>
    <w:div w:id="661273567">
      <w:bodyDiv w:val="1"/>
      <w:marLeft w:val="0"/>
      <w:marRight w:val="0"/>
      <w:marTop w:val="0"/>
      <w:marBottom w:val="0"/>
      <w:divBdr>
        <w:top w:val="none" w:sz="0" w:space="0" w:color="auto"/>
        <w:left w:val="none" w:sz="0" w:space="0" w:color="auto"/>
        <w:bottom w:val="none" w:sz="0" w:space="0" w:color="auto"/>
        <w:right w:val="none" w:sz="0" w:space="0" w:color="auto"/>
      </w:divBdr>
    </w:div>
    <w:div w:id="776684094">
      <w:bodyDiv w:val="1"/>
      <w:marLeft w:val="0"/>
      <w:marRight w:val="0"/>
      <w:marTop w:val="0"/>
      <w:marBottom w:val="0"/>
      <w:divBdr>
        <w:top w:val="none" w:sz="0" w:space="0" w:color="auto"/>
        <w:left w:val="none" w:sz="0" w:space="0" w:color="auto"/>
        <w:bottom w:val="none" w:sz="0" w:space="0" w:color="auto"/>
        <w:right w:val="none" w:sz="0" w:space="0" w:color="auto"/>
      </w:divBdr>
    </w:div>
    <w:div w:id="839276308">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446"/>
          <w:marRight w:val="0"/>
          <w:marTop w:val="120"/>
          <w:marBottom w:val="0"/>
          <w:divBdr>
            <w:top w:val="none" w:sz="0" w:space="0" w:color="auto"/>
            <w:left w:val="none" w:sz="0" w:space="0" w:color="auto"/>
            <w:bottom w:val="none" w:sz="0" w:space="0" w:color="auto"/>
            <w:right w:val="none" w:sz="0" w:space="0" w:color="auto"/>
          </w:divBdr>
        </w:div>
        <w:div w:id="1476600342">
          <w:marLeft w:val="446"/>
          <w:marRight w:val="0"/>
          <w:marTop w:val="120"/>
          <w:marBottom w:val="0"/>
          <w:divBdr>
            <w:top w:val="none" w:sz="0" w:space="0" w:color="auto"/>
            <w:left w:val="none" w:sz="0" w:space="0" w:color="auto"/>
            <w:bottom w:val="none" w:sz="0" w:space="0" w:color="auto"/>
            <w:right w:val="none" w:sz="0" w:space="0" w:color="auto"/>
          </w:divBdr>
        </w:div>
        <w:div w:id="1836913437">
          <w:marLeft w:val="446"/>
          <w:marRight w:val="0"/>
          <w:marTop w:val="120"/>
          <w:marBottom w:val="0"/>
          <w:divBdr>
            <w:top w:val="none" w:sz="0" w:space="0" w:color="auto"/>
            <w:left w:val="none" w:sz="0" w:space="0" w:color="auto"/>
            <w:bottom w:val="none" w:sz="0" w:space="0" w:color="auto"/>
            <w:right w:val="none" w:sz="0" w:space="0" w:color="auto"/>
          </w:divBdr>
        </w:div>
        <w:div w:id="1842429744">
          <w:marLeft w:val="446"/>
          <w:marRight w:val="0"/>
          <w:marTop w:val="120"/>
          <w:marBottom w:val="0"/>
          <w:divBdr>
            <w:top w:val="none" w:sz="0" w:space="0" w:color="auto"/>
            <w:left w:val="none" w:sz="0" w:space="0" w:color="auto"/>
            <w:bottom w:val="none" w:sz="0" w:space="0" w:color="auto"/>
            <w:right w:val="none" w:sz="0" w:space="0" w:color="auto"/>
          </w:divBdr>
        </w:div>
        <w:div w:id="2081782668">
          <w:marLeft w:val="446"/>
          <w:marRight w:val="0"/>
          <w:marTop w:val="120"/>
          <w:marBottom w:val="0"/>
          <w:divBdr>
            <w:top w:val="none" w:sz="0" w:space="0" w:color="auto"/>
            <w:left w:val="none" w:sz="0" w:space="0" w:color="auto"/>
            <w:bottom w:val="none" w:sz="0" w:space="0" w:color="auto"/>
            <w:right w:val="none" w:sz="0" w:space="0" w:color="auto"/>
          </w:divBdr>
        </w:div>
      </w:divsChild>
    </w:div>
    <w:div w:id="89666776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10554102">
      <w:bodyDiv w:val="1"/>
      <w:marLeft w:val="0"/>
      <w:marRight w:val="0"/>
      <w:marTop w:val="0"/>
      <w:marBottom w:val="0"/>
      <w:divBdr>
        <w:top w:val="none" w:sz="0" w:space="0" w:color="auto"/>
        <w:left w:val="none" w:sz="0" w:space="0" w:color="auto"/>
        <w:bottom w:val="none" w:sz="0" w:space="0" w:color="auto"/>
        <w:right w:val="none" w:sz="0" w:space="0" w:color="auto"/>
      </w:divBdr>
    </w:div>
    <w:div w:id="1436943491">
      <w:bodyDiv w:val="1"/>
      <w:marLeft w:val="0"/>
      <w:marRight w:val="0"/>
      <w:marTop w:val="0"/>
      <w:marBottom w:val="0"/>
      <w:divBdr>
        <w:top w:val="none" w:sz="0" w:space="0" w:color="auto"/>
        <w:left w:val="none" w:sz="0" w:space="0" w:color="auto"/>
        <w:bottom w:val="none" w:sz="0" w:space="0" w:color="auto"/>
        <w:right w:val="none" w:sz="0" w:space="0" w:color="auto"/>
      </w:divBdr>
    </w:div>
    <w:div w:id="1484657121">
      <w:bodyDiv w:val="1"/>
      <w:marLeft w:val="0"/>
      <w:marRight w:val="0"/>
      <w:marTop w:val="0"/>
      <w:marBottom w:val="0"/>
      <w:divBdr>
        <w:top w:val="none" w:sz="0" w:space="0" w:color="auto"/>
        <w:left w:val="none" w:sz="0" w:space="0" w:color="auto"/>
        <w:bottom w:val="none" w:sz="0" w:space="0" w:color="auto"/>
        <w:right w:val="none" w:sz="0" w:space="0" w:color="auto"/>
      </w:divBdr>
    </w:div>
    <w:div w:id="15171141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21792238">
      <w:bodyDiv w:val="1"/>
      <w:marLeft w:val="0"/>
      <w:marRight w:val="0"/>
      <w:marTop w:val="0"/>
      <w:marBottom w:val="0"/>
      <w:divBdr>
        <w:top w:val="none" w:sz="0" w:space="0" w:color="auto"/>
        <w:left w:val="none" w:sz="0" w:space="0" w:color="auto"/>
        <w:bottom w:val="none" w:sz="0" w:space="0" w:color="auto"/>
        <w:right w:val="none" w:sz="0" w:space="0" w:color="auto"/>
      </w:divBdr>
    </w:div>
    <w:div w:id="20554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itlin.Smith@JupiterPower.i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nrel.gov/docs/fy19osti/74426.pdf" TargetMode="External"/><Relationship Id="rId2" Type="http://schemas.openxmlformats.org/officeDocument/2006/relationships/hyperlink" Target="https://www.ercot.com/mktrules/issues/NPRR1096" TargetMode="External"/><Relationship Id="rId1" Type="http://schemas.openxmlformats.org/officeDocument/2006/relationships/hyperlink" Target="https://www.ercot.com/files/docs/2025/06/02/1282NPRR-13-TAC-Report-052825v2.docx" TargetMode="External"/><Relationship Id="rId6" Type="http://schemas.openxmlformats.org/officeDocument/2006/relationships/hyperlink" Target="https://texasadmin.com/tx/puct/open_meeting/20240118/" TargetMode="External"/><Relationship Id="rId5" Type="http://schemas.openxmlformats.org/officeDocument/2006/relationships/hyperlink" Target="https://www.nerc.com/pa/RAPA/ra/Reliability%20Assessments%20DL/NERC_SRA_2025.pdf" TargetMode="External"/><Relationship Id="rId4" Type="http://schemas.openxmlformats.org/officeDocument/2006/relationships/hyperlink" Target="https://www.energy.gov/oe/long-duration-storage-shot-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255AD-748A-4736-9BB6-3ED76A2E94E2}">
  <ds:schemaRefs>
    <ds:schemaRef ds:uri="http://schemas.openxmlformats.org/officeDocument/2006/bibliography"/>
  </ds:schemaRefs>
</ds:datastoreItem>
</file>

<file path=docMetadata/LabelInfo.xml><?xml version="1.0" encoding="utf-8"?>
<clbl:labelList xmlns:clbl="http://schemas.microsoft.com/office/2020/mipLabelMetadata">
  <clbl:label id="{d1f5be31-fc1a-432b-950d-5c3417915e56}" enabled="1" method="Standard" siteId="{0f342371-03d7-4fe6-b81c-c42e0416d724}"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12</Pages>
  <Words>3807</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2001-06-20T15:28:00Z</cp:lastPrinted>
  <dcterms:created xsi:type="dcterms:W3CDTF">2025-06-18T04:25:00Z</dcterms:created>
  <dcterms:modified xsi:type="dcterms:W3CDTF">2025-06-18T12:47:00Z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2025-06-18T04:25:51Z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ad481835-5c31-4aa1-8273-3a8ec72cae00</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