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528" w14:textId="09DCAE8B" w:rsidR="000D2AA6" w:rsidRDefault="00287C66" w:rsidP="00287C66">
      <w:pPr>
        <w:jc w:val="center"/>
        <w:rPr>
          <w:b/>
          <w:bCs/>
          <w:sz w:val="28"/>
          <w:szCs w:val="28"/>
        </w:rPr>
      </w:pPr>
      <w:r w:rsidRPr="00287C66">
        <w:rPr>
          <w:b/>
          <w:bCs/>
          <w:sz w:val="28"/>
          <w:szCs w:val="28"/>
        </w:rPr>
        <w:t>Planning Working Group (PLWG) Meeting Minutes</w:t>
      </w:r>
    </w:p>
    <w:p w14:paraId="1EE0C269" w14:textId="3A2B191F" w:rsidR="00A765CC" w:rsidRPr="00A765CC" w:rsidRDefault="00756428" w:rsidP="00287C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20</w:t>
      </w:r>
      <w:r w:rsidR="00287C66" w:rsidRPr="00287C66">
        <w:rPr>
          <w:b/>
          <w:bCs/>
          <w:sz w:val="28"/>
          <w:szCs w:val="28"/>
        </w:rPr>
        <w:t>, 2025 (</w:t>
      </w:r>
      <w:r w:rsidR="00B24967">
        <w:rPr>
          <w:b/>
          <w:bCs/>
          <w:sz w:val="28"/>
          <w:szCs w:val="28"/>
        </w:rPr>
        <w:t xml:space="preserve">In Person + </w:t>
      </w:r>
      <w:proofErr w:type="spellStart"/>
      <w:r w:rsidR="00287C66" w:rsidRPr="00287C66">
        <w:rPr>
          <w:b/>
          <w:bCs/>
          <w:sz w:val="28"/>
          <w:szCs w:val="28"/>
        </w:rPr>
        <w:t>WebEx</w:t>
      </w:r>
      <w:proofErr w:type="spellEnd"/>
      <w:r w:rsidR="00287C66" w:rsidRPr="00287C66">
        <w:rPr>
          <w:b/>
          <w:bCs/>
          <w:sz w:val="28"/>
          <w:szCs w:val="28"/>
        </w:rPr>
        <w:t>)</w:t>
      </w:r>
    </w:p>
    <w:tbl>
      <w:tblPr>
        <w:tblW w:w="49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1620"/>
      </w:tblGrid>
      <w:tr w:rsidR="0056135A" w:rsidRPr="00A765CC" w14:paraId="2C1C752A" w14:textId="77777777" w:rsidTr="0056135A">
        <w:trPr>
          <w:trHeight w:val="630"/>
        </w:trPr>
        <w:tc>
          <w:tcPr>
            <w:tcW w:w="291" w:type="pct"/>
            <w:hideMark/>
          </w:tcPr>
          <w:p w14:paraId="2F8EFA68" w14:textId="77777777" w:rsidR="0056135A" w:rsidRPr="00A765CC" w:rsidRDefault="0056135A" w:rsidP="00A765CC">
            <w:r w:rsidRPr="00A765CC">
              <w:rPr>
                <w:b/>
                <w:bCs/>
              </w:rPr>
              <w:t>1.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23D7672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Antitrust Admonition</w:t>
            </w:r>
          </w:p>
          <w:p w14:paraId="1B292D78" w14:textId="391B0657" w:rsidR="0056135A" w:rsidRPr="00A765CC" w:rsidRDefault="0056135A" w:rsidP="00A765CC">
            <w:r>
              <w:t>Antitrust admonition was given.</w:t>
            </w:r>
          </w:p>
        </w:tc>
        <w:tc>
          <w:tcPr>
            <w:tcW w:w="874" w:type="pct"/>
            <w:hideMark/>
          </w:tcPr>
          <w:p w14:paraId="15C2053A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4A04B9CE" w14:textId="77777777" w:rsidTr="0056135A">
        <w:trPr>
          <w:trHeight w:val="630"/>
        </w:trPr>
        <w:tc>
          <w:tcPr>
            <w:tcW w:w="291" w:type="pct"/>
            <w:hideMark/>
          </w:tcPr>
          <w:p w14:paraId="5AC78C3F" w14:textId="77777777" w:rsidR="0056135A" w:rsidRPr="00A765CC" w:rsidRDefault="0056135A" w:rsidP="00A765CC">
            <w:r w:rsidRPr="00A765CC">
              <w:rPr>
                <w:b/>
                <w:bCs/>
              </w:rPr>
              <w:t>2.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0D6A44C6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Agenda Review</w:t>
            </w:r>
          </w:p>
          <w:p w14:paraId="345C2B5F" w14:textId="03AFE6BC" w:rsidR="0056135A" w:rsidRPr="00A765CC" w:rsidRDefault="0056135A" w:rsidP="00A765CC">
            <w:r>
              <w:t>Agenda was reviewed.</w:t>
            </w:r>
          </w:p>
        </w:tc>
        <w:tc>
          <w:tcPr>
            <w:tcW w:w="874" w:type="pct"/>
            <w:hideMark/>
          </w:tcPr>
          <w:p w14:paraId="4EF8B739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7FD5B6DD" w14:textId="77777777" w:rsidTr="0056135A">
        <w:trPr>
          <w:trHeight w:val="630"/>
        </w:trPr>
        <w:tc>
          <w:tcPr>
            <w:tcW w:w="291" w:type="pct"/>
            <w:hideMark/>
          </w:tcPr>
          <w:p w14:paraId="3258EB6E" w14:textId="77777777" w:rsidR="0056135A" w:rsidRPr="00A765CC" w:rsidRDefault="0056135A" w:rsidP="00A765CC">
            <w:r w:rsidRPr="00A765CC">
              <w:rPr>
                <w:b/>
                <w:bCs/>
              </w:rPr>
              <w:t>3.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418ACD8" w14:textId="70018BD2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Review of PLWG Meeting Minutes (</w:t>
            </w:r>
            <w:r w:rsidR="00EE0EC9">
              <w:rPr>
                <w:b/>
                <w:bCs/>
              </w:rPr>
              <w:t>April 29</w:t>
            </w:r>
            <w:r w:rsidR="0028124F">
              <w:rPr>
                <w:b/>
                <w:bCs/>
              </w:rPr>
              <w:t>th</w:t>
            </w:r>
            <w:r w:rsidRPr="00A765CC">
              <w:rPr>
                <w:b/>
                <w:bCs/>
              </w:rPr>
              <w:t>)</w:t>
            </w:r>
          </w:p>
          <w:p w14:paraId="184C9B67" w14:textId="66E993B2" w:rsidR="0056135A" w:rsidRPr="00A765CC" w:rsidRDefault="0056135A" w:rsidP="00A765CC">
            <w:r>
              <w:t>Meeting minutes reviewed. No feedback received.</w:t>
            </w:r>
          </w:p>
        </w:tc>
        <w:tc>
          <w:tcPr>
            <w:tcW w:w="874" w:type="pct"/>
            <w:hideMark/>
          </w:tcPr>
          <w:p w14:paraId="4DF279FC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7C4DE588" w14:textId="77777777" w:rsidTr="0056135A">
        <w:trPr>
          <w:trHeight w:val="630"/>
        </w:trPr>
        <w:tc>
          <w:tcPr>
            <w:tcW w:w="291" w:type="pct"/>
            <w:hideMark/>
          </w:tcPr>
          <w:p w14:paraId="42364174" w14:textId="02216F97" w:rsidR="0056135A" w:rsidRPr="00A765CC" w:rsidRDefault="005E59BE" w:rsidP="00A765CC">
            <w:r>
              <w:rPr>
                <w:b/>
                <w:bCs/>
              </w:rPr>
              <w:t>4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679CF04" w14:textId="77777777" w:rsidR="0056135A" w:rsidRPr="00A765CC" w:rsidRDefault="0056135A" w:rsidP="00A765CC">
            <w:r w:rsidRPr="00A765CC">
              <w:rPr>
                <w:b/>
                <w:bCs/>
              </w:rPr>
              <w:t>PGRR 120 – SSO Prevention for Generator Interconnection</w:t>
            </w:r>
          </w:p>
        </w:tc>
        <w:tc>
          <w:tcPr>
            <w:tcW w:w="874" w:type="pct"/>
            <w:hideMark/>
          </w:tcPr>
          <w:p w14:paraId="7A07980D" w14:textId="77777777" w:rsidR="0056135A" w:rsidRPr="00A765CC" w:rsidRDefault="0056135A" w:rsidP="00A765CC">
            <w:r w:rsidRPr="00A765CC">
              <w:rPr>
                <w:b/>
                <w:bCs/>
              </w:rPr>
              <w:t>PLWG</w:t>
            </w:r>
          </w:p>
        </w:tc>
      </w:tr>
      <w:tr w:rsidR="0056135A" w:rsidRPr="00A765CC" w14:paraId="32583F93" w14:textId="77777777" w:rsidTr="0056135A">
        <w:trPr>
          <w:trHeight w:val="630"/>
        </w:trPr>
        <w:tc>
          <w:tcPr>
            <w:tcW w:w="291" w:type="pct"/>
            <w:hideMark/>
          </w:tcPr>
          <w:p w14:paraId="536B8C8A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06CC2C0" w14:textId="3233A080" w:rsidR="0056135A" w:rsidRPr="00185A3F" w:rsidRDefault="0056135A" w:rsidP="00A765CC">
            <w:pPr>
              <w:numPr>
                <w:ilvl w:val="0"/>
                <w:numId w:val="2"/>
              </w:numPr>
            </w:pPr>
            <w:r w:rsidRPr="00A765CC">
              <w:rPr>
                <w:b/>
                <w:bCs/>
              </w:rPr>
              <w:t xml:space="preserve">Review </w:t>
            </w:r>
            <w:r w:rsidR="00756428">
              <w:rPr>
                <w:b/>
                <w:bCs/>
              </w:rPr>
              <w:t xml:space="preserve">AEP </w:t>
            </w:r>
            <w:r w:rsidR="00853EAD">
              <w:rPr>
                <w:b/>
                <w:bCs/>
              </w:rPr>
              <w:t>and</w:t>
            </w:r>
            <w:r w:rsidR="00756428">
              <w:rPr>
                <w:b/>
                <w:bCs/>
              </w:rPr>
              <w:t xml:space="preserve"> Lonestar</w:t>
            </w:r>
            <w:r w:rsidRPr="00A765CC">
              <w:rPr>
                <w:b/>
                <w:bCs/>
              </w:rPr>
              <w:t xml:space="preserve"> Comments</w:t>
            </w:r>
          </w:p>
          <w:p w14:paraId="4DA06AD4" w14:textId="4C9F2B78" w:rsidR="00210DB5" w:rsidRDefault="001F2CAC" w:rsidP="00756428">
            <w:pPr>
              <w:ind w:left="360"/>
            </w:pPr>
            <w:r>
              <w:t>Erin Rasmussen (AEP) spoke to the comments</w:t>
            </w:r>
            <w:r w:rsidR="00B56CD7">
              <w:t xml:space="preserve"> which proposes moving the grandfathering</w:t>
            </w:r>
            <w:r w:rsidR="00B06181">
              <w:t xml:space="preserve"> date from September 1, 202</w:t>
            </w:r>
            <w:r w:rsidR="00B301B3">
              <w:t>5</w:t>
            </w:r>
            <w:r w:rsidR="00B06181">
              <w:t>, to April 1, 2026.</w:t>
            </w:r>
            <w:r w:rsidR="003D7964">
              <w:t xml:space="preserve"> </w:t>
            </w:r>
            <w:r w:rsidR="00B56CD7">
              <w:t xml:space="preserve">Rasmussen stated that </w:t>
            </w:r>
            <w:r w:rsidR="003D7964">
              <w:t xml:space="preserve">6-9 months </w:t>
            </w:r>
            <w:r w:rsidR="00B56CD7">
              <w:t>will</w:t>
            </w:r>
            <w:r w:rsidR="003D7964">
              <w:t xml:space="preserve"> provide best information and option</w:t>
            </w:r>
            <w:r w:rsidR="00B56CD7">
              <w:t>s</w:t>
            </w:r>
            <w:r w:rsidR="003D7964">
              <w:t xml:space="preserve"> to the generators in the queue. Lonestar </w:t>
            </w:r>
            <w:r w:rsidR="00E150FE">
              <w:t>has</w:t>
            </w:r>
            <w:r w:rsidR="003D7964">
              <w:t xml:space="preserve"> a </w:t>
            </w:r>
            <w:r w:rsidR="00E150FE">
              <w:t>larger queue than</w:t>
            </w:r>
            <w:r w:rsidR="003D7964">
              <w:t xml:space="preserve"> AEP</w:t>
            </w:r>
            <w:r w:rsidR="00E14858">
              <w:t xml:space="preserve"> and could go past the April 1 date, but</w:t>
            </w:r>
            <w:r w:rsidR="00E150FE">
              <w:t xml:space="preserve"> together offering this </w:t>
            </w:r>
            <w:r w:rsidR="00E14858">
              <w:t xml:space="preserve">as a good compromise date based on the list of projects in </w:t>
            </w:r>
            <w:r w:rsidR="00E150FE">
              <w:t>both</w:t>
            </w:r>
            <w:r w:rsidR="00E14858">
              <w:t xml:space="preserve"> TSPs’ queues.</w:t>
            </w:r>
          </w:p>
          <w:p w14:paraId="3B5CD4D8" w14:textId="2B2EBD7E" w:rsidR="00B06181" w:rsidRDefault="00B06181" w:rsidP="00756428">
            <w:pPr>
              <w:ind w:left="360"/>
            </w:pPr>
            <w:r>
              <w:t xml:space="preserve">Megan Miller (ERCOT) responded that the grandfather date </w:t>
            </w:r>
            <w:r w:rsidR="00E14858">
              <w:t>in comments was a starting point</w:t>
            </w:r>
            <w:r w:rsidR="00E150FE">
              <w:t xml:space="preserve"> and that ERCOT w</w:t>
            </w:r>
            <w:r w:rsidR="0000095B">
              <w:t xml:space="preserve">anted feedback about the reasonableness and </w:t>
            </w:r>
            <w:r w:rsidR="00E150FE">
              <w:t xml:space="preserve">thus is </w:t>
            </w:r>
            <w:r w:rsidR="0000095B">
              <w:t>open to adjusting to the date. ERCOT can compromise with the April 1, 2026, date.</w:t>
            </w:r>
          </w:p>
          <w:p w14:paraId="536E265A" w14:textId="41B9E13A" w:rsidR="0000095B" w:rsidRDefault="0000095B" w:rsidP="00756428">
            <w:pPr>
              <w:ind w:left="360"/>
            </w:pPr>
            <w:r>
              <w:t>A</w:t>
            </w:r>
            <w:r w:rsidR="009A4868">
              <w:t xml:space="preserve">diti (Lonestar) – </w:t>
            </w:r>
            <w:r w:rsidR="00E150FE">
              <w:t xml:space="preserve">Stated that Lonestar is </w:t>
            </w:r>
            <w:r w:rsidR="009A4868">
              <w:t>good with the April 1 date.</w:t>
            </w:r>
            <w:r w:rsidR="00561D53">
              <w:t xml:space="preserve"> Would want ERCOT to allow exemptions should some projects slip past that date.</w:t>
            </w:r>
          </w:p>
          <w:p w14:paraId="41AE95B7" w14:textId="055FA823" w:rsidR="00561D53" w:rsidRDefault="0005082D" w:rsidP="00756428">
            <w:pPr>
              <w:ind w:left="360"/>
            </w:pPr>
            <w:r>
              <w:t xml:space="preserve">Megan - </w:t>
            </w:r>
            <w:r w:rsidR="00561D53">
              <w:t>ERCOT would need to determine if there are further edits needed to allow for exemptions prior to ROS.</w:t>
            </w:r>
          </w:p>
          <w:p w14:paraId="539F44D2" w14:textId="16F55678" w:rsidR="004B2994" w:rsidRDefault="004B2994" w:rsidP="00756428">
            <w:pPr>
              <w:ind w:left="360"/>
            </w:pPr>
            <w:r>
              <w:t xml:space="preserve">Kristin Cook (Southern Power) – Asked whether NPRR </w:t>
            </w:r>
            <w:r w:rsidR="008E7BB6">
              <w:t>1280</w:t>
            </w:r>
            <w:r>
              <w:t xml:space="preserve"> would help address the </w:t>
            </w:r>
            <w:r w:rsidR="00E150FE">
              <w:t xml:space="preserve">other stated </w:t>
            </w:r>
            <w:r>
              <w:t xml:space="preserve">concern in AEP / Lonestar joint comments. </w:t>
            </w:r>
          </w:p>
          <w:p w14:paraId="744F281B" w14:textId="2C2DE6C9" w:rsidR="00060FD0" w:rsidRDefault="004B2994" w:rsidP="00756428">
            <w:pPr>
              <w:ind w:left="360"/>
            </w:pPr>
            <w:r>
              <w:t xml:space="preserve">Erin Rasmussen – NPRR1280 will help but would also like to see other solutions </w:t>
            </w:r>
            <w:r w:rsidR="005B2C53">
              <w:t>as mentioned in previous comments.</w:t>
            </w:r>
          </w:p>
          <w:p w14:paraId="07ADD4E2" w14:textId="260A47AC" w:rsidR="005B2C53" w:rsidRDefault="005B2C53" w:rsidP="00756428">
            <w:pPr>
              <w:ind w:left="360"/>
            </w:pPr>
            <w:r>
              <w:t>Kristin – Southern Power supports the desktop edit and where PGRR120 has landed.</w:t>
            </w:r>
          </w:p>
          <w:p w14:paraId="09A75174" w14:textId="7752255B" w:rsidR="0000095B" w:rsidRDefault="005B2C53" w:rsidP="0082642A">
            <w:pPr>
              <w:ind w:left="360"/>
            </w:pPr>
            <w:r>
              <w:lastRenderedPageBreak/>
              <w:t xml:space="preserve">Megan – ERCOT appreciates all the </w:t>
            </w:r>
            <w:r w:rsidR="0082642A">
              <w:t>engagement on this issue from various stakeholders.</w:t>
            </w:r>
          </w:p>
          <w:p w14:paraId="5FFB66F8" w14:textId="68711D62" w:rsidR="0000095B" w:rsidRPr="00A765CC" w:rsidRDefault="0000095B" w:rsidP="0000095B"/>
        </w:tc>
        <w:tc>
          <w:tcPr>
            <w:tcW w:w="874" w:type="pct"/>
            <w:hideMark/>
          </w:tcPr>
          <w:p w14:paraId="4AAA13F5" w14:textId="1C9564B9" w:rsidR="0056135A" w:rsidRPr="00A765CC" w:rsidRDefault="00756428" w:rsidP="00A765CC">
            <w:r>
              <w:rPr>
                <w:b/>
                <w:bCs/>
              </w:rPr>
              <w:lastRenderedPageBreak/>
              <w:t>AEP/Lonestar</w:t>
            </w:r>
          </w:p>
        </w:tc>
      </w:tr>
      <w:tr w:rsidR="0056135A" w:rsidRPr="00A765CC" w14:paraId="28FF574A" w14:textId="77777777" w:rsidTr="00240829">
        <w:trPr>
          <w:trHeight w:val="630"/>
        </w:trPr>
        <w:tc>
          <w:tcPr>
            <w:tcW w:w="291" w:type="pct"/>
            <w:hideMark/>
          </w:tcPr>
          <w:p w14:paraId="279D90AE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2C43DF3" w14:textId="095FDF65" w:rsidR="006E5CCB" w:rsidRPr="00A765CC" w:rsidRDefault="006E5CCB" w:rsidP="008D3628">
            <w:pPr>
              <w:ind w:left="360"/>
            </w:pPr>
            <w:r w:rsidRPr="006E5CCB">
              <w:rPr>
                <w:b/>
                <w:bCs/>
                <w:i/>
                <w:iCs/>
              </w:rPr>
              <w:t>Action Taken</w:t>
            </w:r>
            <w:r w:rsidRPr="00945144">
              <w:rPr>
                <w:b/>
                <w:bCs/>
                <w:i/>
                <w:iCs/>
              </w:rPr>
              <w:t xml:space="preserve">: </w:t>
            </w:r>
            <w:r w:rsidR="00E150FE">
              <w:rPr>
                <w:b/>
                <w:bCs/>
                <w:i/>
                <w:iCs/>
              </w:rPr>
              <w:t>PLWG provided a de</w:t>
            </w:r>
            <w:r w:rsidR="0082642A">
              <w:rPr>
                <w:b/>
                <w:bCs/>
                <w:i/>
                <w:iCs/>
              </w:rPr>
              <w:t xml:space="preserve">sktop edit </w:t>
            </w:r>
            <w:r w:rsidR="00FA6F48">
              <w:rPr>
                <w:b/>
                <w:bCs/>
                <w:i/>
                <w:iCs/>
              </w:rPr>
              <w:t xml:space="preserve">reflecting the change in date and will forward a report to </w:t>
            </w:r>
            <w:r w:rsidR="0082642A">
              <w:rPr>
                <w:b/>
                <w:bCs/>
                <w:i/>
                <w:iCs/>
              </w:rPr>
              <w:t xml:space="preserve">ROS </w:t>
            </w:r>
            <w:r w:rsidR="00FA6F48">
              <w:rPr>
                <w:b/>
                <w:bCs/>
                <w:i/>
                <w:iCs/>
              </w:rPr>
              <w:t>stating</w:t>
            </w:r>
            <w:r w:rsidR="0082642A">
              <w:rPr>
                <w:b/>
                <w:bCs/>
                <w:i/>
                <w:iCs/>
              </w:rPr>
              <w:t xml:space="preserve"> that consensus was reached.</w:t>
            </w:r>
          </w:p>
        </w:tc>
        <w:tc>
          <w:tcPr>
            <w:tcW w:w="874" w:type="pct"/>
          </w:tcPr>
          <w:p w14:paraId="1D896BD8" w14:textId="0DE25F3D" w:rsidR="0056135A" w:rsidRPr="00A765CC" w:rsidRDefault="0056135A" w:rsidP="00A765CC"/>
        </w:tc>
      </w:tr>
      <w:tr w:rsidR="00084DDC" w:rsidRPr="00A765CC" w14:paraId="53792D7B" w14:textId="77777777" w:rsidTr="00240829">
        <w:trPr>
          <w:trHeight w:val="630"/>
        </w:trPr>
        <w:tc>
          <w:tcPr>
            <w:tcW w:w="291" w:type="pct"/>
          </w:tcPr>
          <w:p w14:paraId="1CF608B5" w14:textId="77777777" w:rsidR="00084DDC" w:rsidRPr="00A765CC" w:rsidRDefault="00084DDC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25B8BDC7" w14:textId="77777777" w:rsidR="00084DDC" w:rsidRPr="006E5CCB" w:rsidRDefault="00084DDC" w:rsidP="0082642A">
            <w:pPr>
              <w:rPr>
                <w:b/>
                <w:bCs/>
                <w:i/>
                <w:iCs/>
              </w:rPr>
            </w:pPr>
          </w:p>
        </w:tc>
        <w:tc>
          <w:tcPr>
            <w:tcW w:w="874" w:type="pct"/>
          </w:tcPr>
          <w:p w14:paraId="3B5553B5" w14:textId="77777777" w:rsidR="00084DDC" w:rsidRPr="00A765CC" w:rsidRDefault="00084DDC" w:rsidP="00A765CC"/>
        </w:tc>
      </w:tr>
      <w:tr w:rsidR="0056135A" w:rsidRPr="00A765CC" w14:paraId="0FD7E72D" w14:textId="77777777" w:rsidTr="00240829">
        <w:trPr>
          <w:trHeight w:val="345"/>
        </w:trPr>
        <w:tc>
          <w:tcPr>
            <w:tcW w:w="291" w:type="pct"/>
            <w:hideMark/>
          </w:tcPr>
          <w:p w14:paraId="66C479BD" w14:textId="6385410E" w:rsidR="0056135A" w:rsidRPr="00A765CC" w:rsidRDefault="00790B75" w:rsidP="00A765CC">
            <w:r>
              <w:rPr>
                <w:b/>
                <w:bCs/>
              </w:rPr>
              <w:t>5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1A7F28EB" w14:textId="77777777" w:rsidR="0056135A" w:rsidRPr="00A765CC" w:rsidRDefault="0056135A" w:rsidP="00A765CC">
            <w:r w:rsidRPr="00A765CC">
              <w:rPr>
                <w:b/>
                <w:bCs/>
              </w:rPr>
              <w:t>PGRR 122 – Reliability Performance Criteria for Loss of Load</w:t>
            </w:r>
          </w:p>
        </w:tc>
        <w:tc>
          <w:tcPr>
            <w:tcW w:w="874" w:type="pct"/>
            <w:hideMark/>
          </w:tcPr>
          <w:p w14:paraId="1B51905F" w14:textId="77777777" w:rsidR="0056135A" w:rsidRPr="00A765CC" w:rsidRDefault="0056135A" w:rsidP="00A765CC">
            <w:r w:rsidRPr="00A765CC">
              <w:rPr>
                <w:b/>
                <w:bCs/>
              </w:rPr>
              <w:t>ERCOT/PLWG</w:t>
            </w:r>
          </w:p>
        </w:tc>
      </w:tr>
      <w:tr w:rsidR="00240829" w:rsidRPr="00A765CC" w14:paraId="028401F1" w14:textId="77777777" w:rsidTr="00240829">
        <w:trPr>
          <w:trHeight w:val="990"/>
        </w:trPr>
        <w:tc>
          <w:tcPr>
            <w:tcW w:w="291" w:type="pct"/>
          </w:tcPr>
          <w:p w14:paraId="58CA2D1A" w14:textId="2F21FB06" w:rsidR="00240829" w:rsidRPr="00A765CC" w:rsidRDefault="00240829" w:rsidP="00A765CC">
            <w:pPr>
              <w:rPr>
                <w:b/>
                <w:bCs/>
              </w:rPr>
            </w:pP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48374244" w14:textId="25EE803E" w:rsidR="0082642A" w:rsidRDefault="00591B75" w:rsidP="00AC0571">
            <w:r>
              <w:t>John Russ Hubbard spoke to</w:t>
            </w:r>
            <w:r w:rsidR="00B96879">
              <w:t xml:space="preserve"> Texas Industrial Energy Consumers (</w:t>
            </w:r>
            <w:r>
              <w:t>TIEC</w:t>
            </w:r>
            <w:r w:rsidR="00B96879">
              <w:t>)</w:t>
            </w:r>
            <w:r>
              <w:t xml:space="preserve"> comments</w:t>
            </w:r>
            <w:r w:rsidR="006B445C">
              <w:t xml:space="preserve"> posted on May 19</w:t>
            </w:r>
            <w:r>
              <w:t>.</w:t>
            </w:r>
          </w:p>
          <w:p w14:paraId="610E7750" w14:textId="4302240F" w:rsidR="00986CCF" w:rsidRDefault="00986CCF" w:rsidP="00AC0571">
            <w:r>
              <w:t xml:space="preserve">Jeff Billo (ERCOT) – </w:t>
            </w:r>
            <w:r w:rsidR="003A01F9">
              <w:t>The load loss limitation will o</w:t>
            </w:r>
            <w:r>
              <w:t>nly impact the loads that cannot meet ride-through capability.</w:t>
            </w:r>
          </w:p>
          <w:p w14:paraId="630301B8" w14:textId="737612B4" w:rsidR="00986CCF" w:rsidRDefault="00986CCF" w:rsidP="00AC0571">
            <w:r>
              <w:t>Hubbard</w:t>
            </w:r>
            <w:r w:rsidR="0094317D">
              <w:t xml:space="preserve"> (TIEC)</w:t>
            </w:r>
            <w:r>
              <w:t xml:space="preserve"> – </w:t>
            </w:r>
            <w:r w:rsidR="003A01F9">
              <w:t xml:space="preserve">Suggests that ERCOT </w:t>
            </w:r>
            <w:r>
              <w:t xml:space="preserve">codify what </w:t>
            </w:r>
            <w:r w:rsidR="003A01F9">
              <w:t>ERCOT will be</w:t>
            </w:r>
            <w:r>
              <w:t xml:space="preserve"> testing in the study so that loads would be able to know if you can meet the ride-through capability.</w:t>
            </w:r>
          </w:p>
          <w:p w14:paraId="3552A26B" w14:textId="74B6790C" w:rsidR="0040574A" w:rsidRDefault="003A01F9" w:rsidP="00AC0571">
            <w:r>
              <w:t xml:space="preserve">Billo </w:t>
            </w:r>
            <w:r w:rsidR="00100AAA">
              <w:t>–</w:t>
            </w:r>
            <w:r>
              <w:t xml:space="preserve"> </w:t>
            </w:r>
            <w:r w:rsidR="00100AAA">
              <w:t xml:space="preserve">What TIEC suggests is tantamount to creating a standard for Large Load ride-through for the system. </w:t>
            </w:r>
            <w:r w:rsidR="00DA3397">
              <w:t xml:space="preserve">So that everyone knows what the expectation would be, the system would need a standard </w:t>
            </w:r>
            <w:r w:rsidR="0040574A">
              <w:t xml:space="preserve">like </w:t>
            </w:r>
            <w:r w:rsidR="00DA3397">
              <w:t xml:space="preserve">the </w:t>
            </w:r>
            <w:r w:rsidR="0040574A">
              <w:t xml:space="preserve">one proposed in </w:t>
            </w:r>
            <w:r w:rsidR="0094317D">
              <w:t xml:space="preserve">NOGRR256 </w:t>
            </w:r>
            <w:r w:rsidR="0040574A">
              <w:t>256</w:t>
            </w:r>
            <w:r w:rsidR="00DA3397">
              <w:t>.</w:t>
            </w:r>
            <w:r w:rsidR="007F26AD">
              <w:t xml:space="preserve"> </w:t>
            </w:r>
            <w:r w:rsidR="0094317D">
              <w:t>NOGRR256 received pushback</w:t>
            </w:r>
            <w:r w:rsidR="0094317D">
              <w:t>, but</w:t>
            </w:r>
            <w:r w:rsidR="0094317D">
              <w:t xml:space="preserve"> ERCOT is willing to work on that language to make it palatable.</w:t>
            </w:r>
          </w:p>
          <w:p w14:paraId="0DDA8B35" w14:textId="03412158" w:rsidR="000F0944" w:rsidRDefault="000F0944" w:rsidP="00AC0571">
            <w:r>
              <w:t>Hubbard –</w:t>
            </w:r>
            <w:r w:rsidR="000A4BA8">
              <w:t xml:space="preserve"> Not asking for a VRT standard.</w:t>
            </w:r>
            <w:r>
              <w:t xml:space="preserve"> </w:t>
            </w:r>
            <w:r w:rsidR="0094317D">
              <w:t>B</w:t>
            </w:r>
            <w:r>
              <w:t xml:space="preserve">elieves there is a difference between establishing a new </w:t>
            </w:r>
            <w:r w:rsidR="00011B31">
              <w:t>requirement</w:t>
            </w:r>
            <w:r>
              <w:t xml:space="preserve"> for </w:t>
            </w:r>
            <w:r w:rsidR="0094317D">
              <w:t>L</w:t>
            </w:r>
            <w:r>
              <w:t xml:space="preserve">arge </w:t>
            </w:r>
            <w:r w:rsidR="0094317D">
              <w:t>L</w:t>
            </w:r>
            <w:r>
              <w:t>oads</w:t>
            </w:r>
            <w:r w:rsidR="00664F51">
              <w:t xml:space="preserve"> and codifying what is entailed in the modeling study – </w:t>
            </w:r>
            <w:r w:rsidR="0094317D">
              <w:t xml:space="preserve">i.e. </w:t>
            </w:r>
            <w:r w:rsidR="00664F51">
              <w:t>which capabilities are being tested in the study</w:t>
            </w:r>
            <w:r w:rsidR="0094317D">
              <w:t>.</w:t>
            </w:r>
          </w:p>
          <w:p w14:paraId="61F8A27F" w14:textId="2A6F8CCE" w:rsidR="00FE2FDA" w:rsidRDefault="00FE2FDA" w:rsidP="00AC0571">
            <w:r>
              <w:t>ERCOT –</w:t>
            </w:r>
            <w:r w:rsidR="00493B0E">
              <w:t xml:space="preserve"> The load loss limitation </w:t>
            </w:r>
            <w:r>
              <w:t>doesn’t create a moratorium</w:t>
            </w:r>
            <w:r w:rsidR="00493B0E">
              <w:t>; rather</w:t>
            </w:r>
            <w:r>
              <w:t>, it’s an operational issue that you can’t ignore</w:t>
            </w:r>
            <w:r w:rsidR="00493B0E">
              <w:t>.</w:t>
            </w:r>
          </w:p>
          <w:p w14:paraId="6111F9BF" w14:textId="110C17EC" w:rsidR="00FE2FDA" w:rsidRDefault="00FE2FDA" w:rsidP="00AC0571">
            <w:r>
              <w:t xml:space="preserve">Hubbard – </w:t>
            </w:r>
            <w:r w:rsidR="00493B0E">
              <w:t xml:space="preserve">Disagree as </w:t>
            </w:r>
            <w:r>
              <w:t>functionally, that is a moratorium on interconnections</w:t>
            </w:r>
            <w:r w:rsidR="00493B0E">
              <w:t>.</w:t>
            </w:r>
          </w:p>
          <w:p w14:paraId="654F836A" w14:textId="4B86B495" w:rsidR="00D8562E" w:rsidRDefault="00D8562E" w:rsidP="00AC0571">
            <w:r>
              <w:t xml:space="preserve">Ken Donohoo – </w:t>
            </w:r>
            <w:r w:rsidR="005E2714">
              <w:t>H</w:t>
            </w:r>
            <w:r>
              <w:t xml:space="preserve">as ERCOT mapped how wide the voltage disturbance is that would </w:t>
            </w:r>
            <w:r w:rsidR="005E2714">
              <w:t>trip</w:t>
            </w:r>
            <w:r>
              <w:t xml:space="preserve"> off?</w:t>
            </w:r>
          </w:p>
          <w:p w14:paraId="39CD9119" w14:textId="4BA656CB" w:rsidR="005E2714" w:rsidRDefault="005E2714" w:rsidP="00AC0571">
            <w:r>
              <w:t xml:space="preserve">Billo </w:t>
            </w:r>
            <w:r w:rsidR="00AC30A8">
              <w:t>–</w:t>
            </w:r>
            <w:r>
              <w:t xml:space="preserve"> </w:t>
            </w:r>
            <w:r w:rsidR="00AC30A8">
              <w:t>Yes – and ERCOT presented at the May Large Load WG meeting with a</w:t>
            </w:r>
            <w:r w:rsidR="001516C2">
              <w:t xml:space="preserve">n </w:t>
            </w:r>
            <w:r w:rsidR="00AC30A8">
              <w:t>ex</w:t>
            </w:r>
            <w:r w:rsidR="001516C2">
              <w:t>ample of a simulated trip in West Texas.</w:t>
            </w:r>
          </w:p>
          <w:p w14:paraId="3B84203B" w14:textId="27C74599" w:rsidR="00CE5667" w:rsidRDefault="00CE5667" w:rsidP="00AC0571">
            <w:r>
              <w:t xml:space="preserve">Clayton Greer </w:t>
            </w:r>
            <w:r w:rsidR="001516C2">
              <w:t xml:space="preserve">(Cholla) </w:t>
            </w:r>
            <w:r>
              <w:t xml:space="preserve">– </w:t>
            </w:r>
            <w:r w:rsidR="00116235">
              <w:t>What’s the status of ERCOT presenting its Load Commissioning Plan?</w:t>
            </w:r>
          </w:p>
          <w:p w14:paraId="09150F09" w14:textId="295A6F79" w:rsidR="00CE5667" w:rsidRDefault="00CE5667" w:rsidP="00AC0571">
            <w:r>
              <w:t>Agee Springer</w:t>
            </w:r>
            <w:r w:rsidR="00116235">
              <w:t xml:space="preserve"> (ERCOT)</w:t>
            </w:r>
            <w:r>
              <w:t xml:space="preserve"> </w:t>
            </w:r>
            <w:r w:rsidR="00116235">
              <w:t xml:space="preserve">– The </w:t>
            </w:r>
            <w:r>
              <w:t>template is being developed</w:t>
            </w:r>
            <w:r w:rsidR="00116235">
              <w:t>,</w:t>
            </w:r>
            <w:r>
              <w:t xml:space="preserve"> and</w:t>
            </w:r>
            <w:r w:rsidR="00116235">
              <w:t xml:space="preserve"> ERCOT plans</w:t>
            </w:r>
            <w:r>
              <w:t xml:space="preserve"> to show that within the next couple of weeks</w:t>
            </w:r>
            <w:r w:rsidR="00116235">
              <w:t>.</w:t>
            </w:r>
          </w:p>
          <w:p w14:paraId="67ED3016" w14:textId="2F477588" w:rsidR="00CE5667" w:rsidRDefault="00116235" w:rsidP="00AC0571">
            <w:r>
              <w:lastRenderedPageBreak/>
              <w:t>Greer</w:t>
            </w:r>
            <w:r w:rsidR="00CE5667">
              <w:t xml:space="preserve"> – </w:t>
            </w:r>
            <w:r>
              <w:t>Hopes</w:t>
            </w:r>
            <w:r w:rsidR="00CE5667">
              <w:t xml:space="preserve"> it will ease people’s concerns. Some projects may be starting lower and then ramp up over several years – </w:t>
            </w:r>
            <w:r>
              <w:t xml:space="preserve">this </w:t>
            </w:r>
            <w:r w:rsidR="00CE5667">
              <w:t>should be accounted for.</w:t>
            </w:r>
            <w:r w:rsidR="00D3048F">
              <w:t xml:space="preserve"> Suggests testing for max facility load at the end of the load ramp.</w:t>
            </w:r>
          </w:p>
          <w:p w14:paraId="33B49C03" w14:textId="7470023F" w:rsidR="00D3048F" w:rsidRDefault="00116235" w:rsidP="00AC0571">
            <w:r>
              <w:t>Billo</w:t>
            </w:r>
            <w:r w:rsidR="00D3048F">
              <w:t xml:space="preserve"> </w:t>
            </w:r>
            <w:r w:rsidR="009260B6">
              <w:t>–</w:t>
            </w:r>
            <w:r w:rsidR="00D3048F">
              <w:t xml:space="preserve"> </w:t>
            </w:r>
            <w:r>
              <w:t xml:space="preserve">Agrees. The </w:t>
            </w:r>
            <w:r w:rsidR="009260B6">
              <w:t xml:space="preserve">timing is an important consideration. </w:t>
            </w:r>
            <w:r>
              <w:t xml:space="preserve">We’re most likely to see </w:t>
            </w:r>
            <w:r w:rsidR="008221AC">
              <w:t>issues in West Texas.</w:t>
            </w:r>
          </w:p>
          <w:p w14:paraId="5E1FE0E9" w14:textId="01692E74" w:rsidR="00026FAB" w:rsidRDefault="00026FAB" w:rsidP="00AC0571">
            <w:r>
              <w:t>Melissa</w:t>
            </w:r>
            <w:r w:rsidR="00223659">
              <w:t xml:space="preserve"> Trevino</w:t>
            </w:r>
            <w:r>
              <w:t xml:space="preserve"> (O</w:t>
            </w:r>
            <w:r w:rsidR="00223659">
              <w:t>ccidental</w:t>
            </w:r>
            <w:r>
              <w:t xml:space="preserve">) – </w:t>
            </w:r>
            <w:r w:rsidR="00FC12BE">
              <w:t xml:space="preserve">An operating limit issue may be caused by an </w:t>
            </w:r>
            <w:r>
              <w:t xml:space="preserve">aggregation of numerous loads. How will ERCOT determine which load will be shut off? </w:t>
            </w:r>
            <w:proofErr w:type="gramStart"/>
            <w:r w:rsidR="004F4333">
              <w:t>Ideally</w:t>
            </w:r>
            <w:proofErr w:type="gramEnd"/>
            <w:r w:rsidR="004F4333">
              <w:t xml:space="preserve"> </w:t>
            </w:r>
            <w:r w:rsidR="00FC12BE">
              <w:t xml:space="preserve">we </w:t>
            </w:r>
            <w:r w:rsidR="004F4333">
              <w:t xml:space="preserve">would never shut off </w:t>
            </w:r>
            <w:proofErr w:type="gramStart"/>
            <w:r w:rsidR="004F4333">
              <w:t>loads, but</w:t>
            </w:r>
            <w:proofErr w:type="gramEnd"/>
            <w:r w:rsidR="004F4333">
              <w:t xml:space="preserve"> doesn’t believe</w:t>
            </w:r>
            <w:r w:rsidR="00223659">
              <w:t xml:space="preserve"> the </w:t>
            </w:r>
            <w:r w:rsidR="00FC12BE">
              <w:t>procedure</w:t>
            </w:r>
            <w:r w:rsidR="00223659">
              <w:t xml:space="preserve"> is</w:t>
            </w:r>
            <w:r w:rsidR="004F4333">
              <w:t xml:space="preserve"> very straightforward.</w:t>
            </w:r>
          </w:p>
          <w:p w14:paraId="38A5705D" w14:textId="3AC4895A" w:rsidR="004F4333" w:rsidRDefault="004F4333" w:rsidP="00AC0571">
            <w:r>
              <w:t xml:space="preserve">Jeff </w:t>
            </w:r>
            <w:r w:rsidR="002A4F3D">
              <w:t xml:space="preserve">Billo </w:t>
            </w:r>
            <w:r>
              <w:t>(ERCOT) –</w:t>
            </w:r>
            <w:r w:rsidR="00A61D4D">
              <w:t xml:space="preserve"> </w:t>
            </w:r>
            <w:r>
              <w:t xml:space="preserve">ERCOT </w:t>
            </w:r>
            <w:r w:rsidR="00A61D4D">
              <w:t xml:space="preserve">knows </w:t>
            </w:r>
            <w:proofErr w:type="gramStart"/>
            <w:r>
              <w:t xml:space="preserve">which </w:t>
            </w:r>
            <w:r w:rsidR="00A61D4D">
              <w:t xml:space="preserve"> Large</w:t>
            </w:r>
            <w:proofErr w:type="gramEnd"/>
            <w:r w:rsidR="00A61D4D">
              <w:t xml:space="preserve"> Loads</w:t>
            </w:r>
            <w:r>
              <w:t xml:space="preserve"> are causing issues in the system, but</w:t>
            </w:r>
            <w:r w:rsidR="00A61D4D">
              <w:t xml:space="preserve"> the system is not yet at the point where ERCOT would need to </w:t>
            </w:r>
            <w:r w:rsidR="002A4F3D">
              <w:t>curtail Loads. Doesn’t want to speculate further on a procedure.</w:t>
            </w:r>
          </w:p>
          <w:p w14:paraId="2CA64FD7" w14:textId="1F546075" w:rsidR="00312322" w:rsidRDefault="00312322" w:rsidP="00AC0571">
            <w:r>
              <w:t>Melissa – Need to have that codified so that can report back the operational risk</w:t>
            </w:r>
            <w:r w:rsidR="002A4F3D">
              <w:t xml:space="preserve"> to respective Entities.</w:t>
            </w:r>
          </w:p>
          <w:p w14:paraId="1FE7816A" w14:textId="6DBDB9B6" w:rsidR="008430A1" w:rsidRDefault="008430A1" w:rsidP="00AC0571">
            <w:r>
              <w:t xml:space="preserve">Jeff – </w:t>
            </w:r>
            <w:r w:rsidR="002A4F3D">
              <w:t xml:space="preserve">ERCOT </w:t>
            </w:r>
            <w:r>
              <w:t>would highlight that the risk is there regardless of PGRR122.</w:t>
            </w:r>
          </w:p>
          <w:p w14:paraId="525169D9" w14:textId="35220F81" w:rsidR="00596F6A" w:rsidRDefault="00BC74B0" w:rsidP="00AC0571">
            <w:r>
              <w:t>Warren Nasher (TXOGA)</w:t>
            </w:r>
            <w:r w:rsidR="00596F6A">
              <w:t xml:space="preserve"> – </w:t>
            </w:r>
            <w:r w:rsidR="00D238A7">
              <w:t xml:space="preserve">A </w:t>
            </w:r>
            <w:r>
              <w:t>Large Load</w:t>
            </w:r>
            <w:r w:rsidR="00D238A7">
              <w:t xml:space="preserve"> that rides through would be immune from this PGRR.</w:t>
            </w:r>
            <w:r>
              <w:t xml:space="preserve"> In the s</w:t>
            </w:r>
            <w:r w:rsidR="00D238A7">
              <w:t xml:space="preserve">ituation where a small load could ride through but adding to the system would cause other loads to </w:t>
            </w:r>
            <w:r w:rsidR="00C673BA">
              <w:t>not ride through. What would happen to that load? Prevented or delayed? Other?</w:t>
            </w:r>
          </w:p>
          <w:p w14:paraId="2DE92A1B" w14:textId="59E7FFD2" w:rsidR="00C673BA" w:rsidRDefault="00C673BA" w:rsidP="00AC0571">
            <w:r>
              <w:t xml:space="preserve">Jeff </w:t>
            </w:r>
            <w:r w:rsidR="009C26E4">
              <w:t>–</w:t>
            </w:r>
            <w:r>
              <w:t xml:space="preserve"> </w:t>
            </w:r>
            <w:r w:rsidR="009C26E4">
              <w:t>If</w:t>
            </w:r>
            <w:r w:rsidR="00D96247">
              <w:t xml:space="preserve"> ERCOT runs the</w:t>
            </w:r>
            <w:r w:rsidR="009C26E4">
              <w:t xml:space="preserve"> LLIS and </w:t>
            </w:r>
            <w:r w:rsidR="00D96247">
              <w:t>the new load exceeds</w:t>
            </w:r>
            <w:r w:rsidR="009C26E4">
              <w:t xml:space="preserve"> the limit</w:t>
            </w:r>
            <w:r w:rsidR="00D96247">
              <w:t xml:space="preserve">, </w:t>
            </w:r>
            <w:r w:rsidR="009C26E4">
              <w:t>there are likely transmission upgrades that would need to be put into place before you could interconnect.</w:t>
            </w:r>
          </w:p>
          <w:p w14:paraId="768DBD4B" w14:textId="175D3C1F" w:rsidR="00882831" w:rsidRDefault="00882831" w:rsidP="00AC0571">
            <w:r>
              <w:t>Warren - Is there a pathway for those transmission upgrades to proceed?</w:t>
            </w:r>
          </w:p>
          <w:p w14:paraId="31AC8F8E" w14:textId="39F920DB" w:rsidR="00882831" w:rsidRDefault="00882831" w:rsidP="00AC0571">
            <w:r>
              <w:t>Jeff - No, no</w:t>
            </w:r>
            <w:r w:rsidR="00D96247">
              <w:t xml:space="preserve"> current pathway.</w:t>
            </w:r>
            <w:r>
              <w:t xml:space="preserve"> </w:t>
            </w:r>
            <w:r w:rsidR="00C51D74">
              <w:t>The loss of load issue has three components to address: 1 – LLIS (</w:t>
            </w:r>
            <w:r>
              <w:t>PGRR122</w:t>
            </w:r>
            <w:r w:rsidR="00C51D74">
              <w:t xml:space="preserve">); 2 – operational component – if reach system operating limit in real time or during the </w:t>
            </w:r>
            <w:r w:rsidR="003C314D">
              <w:t>operational</w:t>
            </w:r>
            <w:r w:rsidR="00C51D74">
              <w:t xml:space="preserve"> planning horizon</w:t>
            </w:r>
            <w:r w:rsidR="003C314D">
              <w:t xml:space="preserve"> then requires action; 3 – longer term planning perspective (e.g. transmission upgrades, ERCOT system changes)</w:t>
            </w:r>
            <w:r w:rsidR="006072F0">
              <w:t>. Still months away from figuring out #3. Weeks to months away from figuring out #2. Agree, this is a piece of the bigger picture. Pitch for moving forward today without other pieces figured out is that it will be less painful to a large load project if identify the issues during LLIS rather than months/years down the road</w:t>
            </w:r>
          </w:p>
          <w:p w14:paraId="5F31332F" w14:textId="7673022F" w:rsidR="00240829" w:rsidRPr="00717207" w:rsidRDefault="00BD43B0" w:rsidP="00AC0571">
            <w:r w:rsidRPr="00084DDC">
              <w:rPr>
                <w:b/>
                <w:bCs/>
                <w:i/>
                <w:iCs/>
              </w:rPr>
              <w:t>Action Taken:</w:t>
            </w:r>
            <w:r w:rsidR="007C424D" w:rsidRPr="00084DDC">
              <w:rPr>
                <w:b/>
                <w:bCs/>
                <w:i/>
                <w:iCs/>
              </w:rPr>
              <w:t xml:space="preserve"> </w:t>
            </w:r>
            <w:r w:rsidR="00F231D6" w:rsidRPr="00084DDC">
              <w:rPr>
                <w:b/>
                <w:bCs/>
                <w:i/>
                <w:iCs/>
              </w:rPr>
              <w:t>Continue</w:t>
            </w:r>
            <w:r w:rsidR="003979F5">
              <w:rPr>
                <w:b/>
                <w:bCs/>
                <w:i/>
                <w:iCs/>
              </w:rPr>
              <w:t>d</w:t>
            </w:r>
            <w:r w:rsidR="00F231D6" w:rsidRPr="00084DDC">
              <w:rPr>
                <w:b/>
                <w:bCs/>
                <w:i/>
                <w:iCs/>
              </w:rPr>
              <w:t xml:space="preserve"> to table</w:t>
            </w:r>
            <w:r w:rsidR="003979F5">
              <w:rPr>
                <w:b/>
                <w:bCs/>
                <w:i/>
                <w:iCs/>
              </w:rPr>
              <w:t xml:space="preserve"> PGRR122</w:t>
            </w:r>
            <w:r w:rsidR="00F26190" w:rsidRPr="00084DDC">
              <w:rPr>
                <w:b/>
                <w:bCs/>
                <w:i/>
                <w:iCs/>
              </w:rPr>
              <w:t>.</w:t>
            </w:r>
            <w:r w:rsidR="00D96247">
              <w:rPr>
                <w:b/>
                <w:bCs/>
                <w:i/>
                <w:iCs/>
              </w:rPr>
              <w:t xml:space="preserve"> </w:t>
            </w:r>
            <w:r w:rsidR="00D96247">
              <w:t xml:space="preserve">ERCOT </w:t>
            </w:r>
            <w:r w:rsidR="00D96247">
              <w:t>noted it has</w:t>
            </w:r>
            <w:r w:rsidR="00D96247">
              <w:t xml:space="preserve"> draft comments</w:t>
            </w:r>
            <w:r w:rsidR="00D96247">
              <w:t xml:space="preserve"> that it hopes to finalize soon. </w:t>
            </w:r>
            <w:r w:rsidR="00717207">
              <w:t>It will target</w:t>
            </w:r>
            <w:r w:rsidR="00D96247">
              <w:t xml:space="preserve"> making the September </w:t>
            </w:r>
            <w:r w:rsidR="00717207">
              <w:t>Board of Directors meeting with the</w:t>
            </w:r>
            <w:r w:rsidR="00D96247">
              <w:t xml:space="preserve"> motivation to move forward with language is to set expectations for Large Loads going forward.</w:t>
            </w:r>
          </w:p>
        </w:tc>
        <w:tc>
          <w:tcPr>
            <w:tcW w:w="874" w:type="pct"/>
          </w:tcPr>
          <w:p w14:paraId="7D856BC3" w14:textId="0EAA6140" w:rsidR="00240829" w:rsidRDefault="00240829" w:rsidP="00A765CC">
            <w:pPr>
              <w:rPr>
                <w:b/>
                <w:bCs/>
              </w:rPr>
            </w:pPr>
          </w:p>
        </w:tc>
      </w:tr>
      <w:tr w:rsidR="00695351" w:rsidRPr="00A765CC" w14:paraId="36BDF012" w14:textId="77777777" w:rsidTr="00695351">
        <w:trPr>
          <w:trHeight w:val="990"/>
        </w:trPr>
        <w:tc>
          <w:tcPr>
            <w:tcW w:w="291" w:type="pct"/>
          </w:tcPr>
          <w:p w14:paraId="3DAB29B2" w14:textId="2F71575E" w:rsidR="00695351" w:rsidRPr="00F704FD" w:rsidRDefault="00790B75" w:rsidP="004A69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695351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6A6B7910" w14:textId="77777777" w:rsidR="00695351" w:rsidRDefault="00695351" w:rsidP="00ED2EBF">
            <w:pPr>
              <w:pStyle w:val="ListParagraph"/>
              <w:ind w:left="525" w:hanging="525"/>
              <w:rPr>
                <w:b/>
                <w:bCs/>
              </w:rPr>
            </w:pPr>
            <w:r w:rsidRPr="00A765CC">
              <w:rPr>
                <w:b/>
                <w:bCs/>
              </w:rPr>
              <w:t>NPRR 1272 – Voltage Support at Private Use Networks</w:t>
            </w:r>
          </w:p>
          <w:p w14:paraId="6637DF7A" w14:textId="6B0A5EE9" w:rsidR="0060249F" w:rsidRDefault="007F12E6" w:rsidP="00AC0571">
            <w:pPr>
              <w:spacing w:before="120"/>
            </w:pPr>
            <w:r>
              <w:t xml:space="preserve">Melissa Trevino (Oxy) – </w:t>
            </w:r>
            <w:r w:rsidR="00064D14">
              <w:t>Occidental has submitted comments that are being</w:t>
            </w:r>
            <w:r w:rsidR="0060249F">
              <w:t xml:space="preserve"> reviewed by ERCOT before posting. For the next PLWG meeting, would suggest a good topic to discuss is how this language would apply to technologies going forward – e.g. to an SMR or a gas fired generator.</w:t>
            </w:r>
          </w:p>
          <w:p w14:paraId="719D9E6B" w14:textId="3AF3F278" w:rsidR="00695351" w:rsidRPr="002032B5" w:rsidRDefault="00695351" w:rsidP="00AC0571">
            <w:pPr>
              <w:spacing w:before="120"/>
              <w:rPr>
                <w:b/>
                <w:bCs/>
                <w:i/>
                <w:iCs/>
              </w:rPr>
            </w:pPr>
            <w:r w:rsidRPr="002032B5">
              <w:rPr>
                <w:b/>
                <w:bCs/>
                <w:i/>
                <w:iCs/>
              </w:rPr>
              <w:t xml:space="preserve">Action Taken: </w:t>
            </w:r>
            <w:r w:rsidR="002032B5">
              <w:rPr>
                <w:b/>
                <w:bCs/>
                <w:i/>
                <w:iCs/>
              </w:rPr>
              <w:t>Continue</w:t>
            </w:r>
            <w:r w:rsidR="003979F5">
              <w:rPr>
                <w:b/>
                <w:bCs/>
                <w:i/>
                <w:iCs/>
              </w:rPr>
              <w:t>d</w:t>
            </w:r>
            <w:r w:rsidR="002032B5">
              <w:rPr>
                <w:b/>
                <w:bCs/>
                <w:i/>
                <w:iCs/>
              </w:rPr>
              <w:t xml:space="preserve"> to table </w:t>
            </w:r>
            <w:r w:rsidRPr="002032B5">
              <w:rPr>
                <w:b/>
                <w:bCs/>
                <w:i/>
                <w:iCs/>
              </w:rPr>
              <w:t>NPRR1272.</w:t>
            </w:r>
          </w:p>
        </w:tc>
        <w:tc>
          <w:tcPr>
            <w:tcW w:w="874" w:type="pct"/>
          </w:tcPr>
          <w:p w14:paraId="46D3645C" w14:textId="77777777" w:rsidR="00695351" w:rsidRPr="00F704FD" w:rsidRDefault="00695351" w:rsidP="004A695B">
            <w:pPr>
              <w:rPr>
                <w:b/>
                <w:bCs/>
              </w:rPr>
            </w:pPr>
            <w:r>
              <w:rPr>
                <w:b/>
                <w:bCs/>
              </w:rPr>
              <w:t>PLWG</w:t>
            </w:r>
          </w:p>
        </w:tc>
      </w:tr>
      <w:tr w:rsidR="0056135A" w:rsidRPr="00A765CC" w14:paraId="775359B9" w14:textId="77777777" w:rsidTr="0056135A">
        <w:trPr>
          <w:trHeight w:val="645"/>
        </w:trPr>
        <w:tc>
          <w:tcPr>
            <w:tcW w:w="291" w:type="pct"/>
            <w:hideMark/>
          </w:tcPr>
          <w:p w14:paraId="06707E77" w14:textId="31E275BF" w:rsidR="0056135A" w:rsidRPr="00A765CC" w:rsidRDefault="00790B75" w:rsidP="00A765CC">
            <w:r>
              <w:rPr>
                <w:b/>
                <w:bCs/>
              </w:rPr>
              <w:t>7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2D95913B" w14:textId="2321FA7F" w:rsidR="0056135A" w:rsidRDefault="0024082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PGRR 124 – ESR Maintenance Exception to Modification</w:t>
            </w:r>
          </w:p>
          <w:p w14:paraId="3362EAF7" w14:textId="26C84BDF" w:rsidR="0056135A" w:rsidRDefault="0060249F" w:rsidP="00A765CC">
            <w:r>
              <w:t>Eric Goff</w:t>
            </w:r>
            <w:r w:rsidR="00E741C8">
              <w:t xml:space="preserve"> – </w:t>
            </w:r>
            <w:r w:rsidR="00064D14">
              <w:t>S</w:t>
            </w:r>
            <w:r w:rsidR="00E741C8">
              <w:t>till working on setting up offline discussion with ERCOT on this item. No discussion for today.</w:t>
            </w:r>
          </w:p>
          <w:p w14:paraId="24B05946" w14:textId="07E80610" w:rsidR="0056135A" w:rsidRPr="00A765CC" w:rsidRDefault="009D2313" w:rsidP="00A765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Action: </w:t>
            </w:r>
            <w:r w:rsidR="00E741C8">
              <w:rPr>
                <w:b/>
                <w:bCs/>
                <w:i/>
                <w:iCs/>
              </w:rPr>
              <w:t>Continue</w:t>
            </w:r>
            <w:r w:rsidR="00064D14">
              <w:rPr>
                <w:b/>
                <w:bCs/>
                <w:i/>
                <w:iCs/>
              </w:rPr>
              <w:t>d</w:t>
            </w:r>
            <w:r w:rsidR="00E741C8">
              <w:rPr>
                <w:b/>
                <w:bCs/>
                <w:i/>
                <w:iCs/>
              </w:rPr>
              <w:t xml:space="preserve"> to table PGRR124.</w:t>
            </w:r>
          </w:p>
        </w:tc>
        <w:tc>
          <w:tcPr>
            <w:tcW w:w="874" w:type="pct"/>
            <w:hideMark/>
          </w:tcPr>
          <w:p w14:paraId="1C5D9531" w14:textId="437E432A" w:rsidR="0056135A" w:rsidRPr="00A765CC" w:rsidRDefault="00240829" w:rsidP="00A765CC">
            <w:r>
              <w:rPr>
                <w:b/>
                <w:bCs/>
              </w:rPr>
              <w:t>Tesla</w:t>
            </w:r>
            <w:r w:rsidR="00AC0571">
              <w:rPr>
                <w:b/>
                <w:bCs/>
              </w:rPr>
              <w:t xml:space="preserve"> / Eric Goff</w:t>
            </w:r>
          </w:p>
        </w:tc>
      </w:tr>
      <w:tr w:rsidR="0056135A" w:rsidRPr="00A765CC" w14:paraId="766C8DD2" w14:textId="77777777" w:rsidTr="0056135A">
        <w:trPr>
          <w:trHeight w:val="630"/>
        </w:trPr>
        <w:tc>
          <w:tcPr>
            <w:tcW w:w="291" w:type="pct"/>
            <w:hideMark/>
          </w:tcPr>
          <w:p w14:paraId="53A6027F" w14:textId="3AFFA027" w:rsidR="0056135A" w:rsidRPr="00A765CC" w:rsidRDefault="00BF7CD4" w:rsidP="00A765CC">
            <w:r>
              <w:rPr>
                <w:b/>
                <w:bCs/>
              </w:rPr>
              <w:t>8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22BA9862" w14:textId="1ADCDF81" w:rsidR="0056135A" w:rsidRPr="00A765CC" w:rsidRDefault="00CD6C60" w:rsidP="00A765CC">
            <w:r w:rsidRPr="00CD6C60">
              <w:rPr>
                <w:b/>
                <w:bCs/>
              </w:rPr>
              <w:t>NPRR 1274</w:t>
            </w:r>
            <w:r w:rsidR="00EE3DB5">
              <w:rPr>
                <w:b/>
                <w:bCs/>
              </w:rPr>
              <w:t xml:space="preserve"> –</w:t>
            </w:r>
            <w:r w:rsidRPr="00CD6C60">
              <w:rPr>
                <w:b/>
                <w:bCs/>
              </w:rPr>
              <w:t xml:space="preserve"> RPG</w:t>
            </w:r>
            <w:r w:rsidR="00EE3DB5">
              <w:rPr>
                <w:b/>
                <w:bCs/>
              </w:rPr>
              <w:t xml:space="preserve"> </w:t>
            </w:r>
            <w:r w:rsidRPr="00CD6C60">
              <w:rPr>
                <w:b/>
                <w:bCs/>
              </w:rPr>
              <w:t>Estimated Capital Cost Thresholds of Proposed Transmission Projects</w:t>
            </w:r>
          </w:p>
        </w:tc>
        <w:tc>
          <w:tcPr>
            <w:tcW w:w="874" w:type="pct"/>
            <w:hideMark/>
          </w:tcPr>
          <w:p w14:paraId="6B749DB3" w14:textId="2DBC1DC0" w:rsidR="0056135A" w:rsidRPr="00A765CC" w:rsidRDefault="00CD6C60" w:rsidP="00CD6C60">
            <w:r>
              <w:rPr>
                <w:b/>
                <w:bCs/>
              </w:rPr>
              <w:t>Robert Golen</w:t>
            </w:r>
          </w:p>
        </w:tc>
      </w:tr>
      <w:tr w:rsidR="00EA5F83" w:rsidRPr="00A765CC" w14:paraId="053FD644" w14:textId="77777777" w:rsidTr="0056135A">
        <w:trPr>
          <w:trHeight w:val="630"/>
        </w:trPr>
        <w:tc>
          <w:tcPr>
            <w:tcW w:w="291" w:type="pct"/>
          </w:tcPr>
          <w:p w14:paraId="1009EF01" w14:textId="77777777" w:rsidR="00EA5F83" w:rsidRPr="00A765CC" w:rsidRDefault="00EA5F83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60CA3693" w14:textId="77777777" w:rsidR="00EA5F83" w:rsidRPr="00EE3DB5" w:rsidRDefault="00EA5F83" w:rsidP="00AC0571">
            <w:pPr>
              <w:rPr>
                <w:b/>
                <w:bCs/>
              </w:rPr>
            </w:pPr>
            <w:r w:rsidRPr="00EE3DB5">
              <w:rPr>
                <w:b/>
                <w:bCs/>
              </w:rPr>
              <w:t>Review Oncor Comments</w:t>
            </w:r>
          </w:p>
          <w:p w14:paraId="6822B29B" w14:textId="2E1EE4A8" w:rsidR="00E741C8" w:rsidRDefault="00E741C8" w:rsidP="00AC0571">
            <w:r>
              <w:t>Martha Henson reviewed the Oncor comments</w:t>
            </w:r>
            <w:r w:rsidR="00DA7F42">
              <w:t xml:space="preserve">, recommending a higher threshold than in the ERCOT </w:t>
            </w:r>
            <w:r w:rsidR="00641B78">
              <w:t>language based on observed cost trends in the past 7-8 years.</w:t>
            </w:r>
          </w:p>
        </w:tc>
        <w:tc>
          <w:tcPr>
            <w:tcW w:w="874" w:type="pct"/>
          </w:tcPr>
          <w:p w14:paraId="162ADBD2" w14:textId="3497BB79" w:rsidR="00EA5F83" w:rsidRPr="00EE3DB5" w:rsidRDefault="00EA5F83" w:rsidP="00A765CC">
            <w:pPr>
              <w:rPr>
                <w:b/>
                <w:bCs/>
              </w:rPr>
            </w:pPr>
            <w:r w:rsidRPr="00EE3DB5">
              <w:rPr>
                <w:b/>
                <w:bCs/>
              </w:rPr>
              <w:t>Martha Henson</w:t>
            </w:r>
          </w:p>
        </w:tc>
      </w:tr>
      <w:tr w:rsidR="00086AAB" w:rsidRPr="00A765CC" w14:paraId="54663111" w14:textId="77777777" w:rsidTr="0056135A">
        <w:trPr>
          <w:trHeight w:val="630"/>
        </w:trPr>
        <w:tc>
          <w:tcPr>
            <w:tcW w:w="291" w:type="pct"/>
          </w:tcPr>
          <w:p w14:paraId="110BAB65" w14:textId="77777777" w:rsidR="00086AAB" w:rsidRPr="00A765CC" w:rsidRDefault="00086AAB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330B5112" w14:textId="263D7893" w:rsidR="00FA4774" w:rsidRDefault="00FA4774" w:rsidP="00AC0571">
            <w:r>
              <w:t>Jim Lee (Center</w:t>
            </w:r>
            <w:r w:rsidR="00A5799D">
              <w:t>P</w:t>
            </w:r>
            <w:r>
              <w:t>oint) reviewed the Joint TSP comments</w:t>
            </w:r>
            <w:r w:rsidR="00B91B76">
              <w:t>, providing additional analysis supporting Oncor’s point that</w:t>
            </w:r>
            <w:r w:rsidR="003330E7">
              <w:t xml:space="preserve"> an adjustment based on</w:t>
            </w:r>
            <w:r w:rsidR="00B91B76">
              <w:t xml:space="preserve"> the </w:t>
            </w:r>
            <w:r w:rsidR="003330E7">
              <w:t>CPI inflation number does not reflect true cost increases for transmission projects.</w:t>
            </w:r>
          </w:p>
          <w:p w14:paraId="3F5CB60A" w14:textId="77777777" w:rsidR="002A06F1" w:rsidRDefault="002A06F1" w:rsidP="00AC0571">
            <w:r>
              <w:t xml:space="preserve">Robert Golen (ERCOT) </w:t>
            </w:r>
            <w:r w:rsidR="00C24126">
              <w:t>–</w:t>
            </w:r>
            <w:r>
              <w:t xml:space="preserve"> </w:t>
            </w:r>
            <w:r w:rsidR="00C24126">
              <w:t>More than likely will reach out to commenters directly for more information about project costs.</w:t>
            </w:r>
          </w:p>
          <w:p w14:paraId="07BAEB48" w14:textId="1D004861" w:rsidR="003979F5" w:rsidRDefault="003979F5" w:rsidP="00AC0571">
            <w:r>
              <w:t xml:space="preserve">Brian </w:t>
            </w:r>
            <w:proofErr w:type="spellStart"/>
            <w:r>
              <w:t>Hithersay</w:t>
            </w:r>
            <w:proofErr w:type="spellEnd"/>
            <w:r>
              <w:t xml:space="preserve"> (BEPC) – Similarly, BEPC costs have approximately doubled in the time frame since the thresholds were last increased.</w:t>
            </w:r>
          </w:p>
        </w:tc>
        <w:tc>
          <w:tcPr>
            <w:tcW w:w="874" w:type="pct"/>
          </w:tcPr>
          <w:p w14:paraId="28E0D55E" w14:textId="77777777" w:rsidR="00086AAB" w:rsidRDefault="00086AAB" w:rsidP="00A765CC"/>
        </w:tc>
      </w:tr>
      <w:tr w:rsidR="0056135A" w:rsidRPr="00A765CC" w14:paraId="79D420D4" w14:textId="77777777" w:rsidTr="0056135A">
        <w:trPr>
          <w:trHeight w:val="630"/>
        </w:trPr>
        <w:tc>
          <w:tcPr>
            <w:tcW w:w="291" w:type="pct"/>
            <w:hideMark/>
          </w:tcPr>
          <w:p w14:paraId="3D89BA09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7B2B1C6" w14:textId="311CDA6A" w:rsidR="00B9650A" w:rsidRPr="0040036D" w:rsidRDefault="00B9650A" w:rsidP="00AC0571">
            <w:pPr>
              <w:rPr>
                <w:b/>
                <w:bCs/>
                <w:i/>
                <w:iCs/>
              </w:rPr>
            </w:pPr>
            <w:r w:rsidRPr="0040036D">
              <w:rPr>
                <w:b/>
                <w:bCs/>
                <w:i/>
                <w:iCs/>
              </w:rPr>
              <w:t xml:space="preserve">Action Taken: </w:t>
            </w:r>
            <w:r w:rsidR="003979F5">
              <w:rPr>
                <w:b/>
                <w:bCs/>
                <w:i/>
                <w:iCs/>
              </w:rPr>
              <w:t>Continued to table</w:t>
            </w:r>
            <w:r w:rsidRPr="0040036D">
              <w:rPr>
                <w:b/>
                <w:bCs/>
                <w:i/>
                <w:iCs/>
              </w:rPr>
              <w:t xml:space="preserve"> </w:t>
            </w:r>
            <w:r w:rsidR="0040036D" w:rsidRPr="0040036D">
              <w:rPr>
                <w:b/>
                <w:bCs/>
                <w:i/>
                <w:iCs/>
              </w:rPr>
              <w:t>NPRR1274</w:t>
            </w:r>
            <w:r w:rsidRPr="0040036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  <w:hideMark/>
          </w:tcPr>
          <w:p w14:paraId="4D5AF636" w14:textId="77777777" w:rsidR="0056135A" w:rsidRPr="00A765CC" w:rsidRDefault="0056135A" w:rsidP="00A765CC"/>
        </w:tc>
      </w:tr>
      <w:tr w:rsidR="0056135A" w:rsidRPr="00A765CC" w14:paraId="5C311365" w14:textId="77777777" w:rsidTr="0056135A">
        <w:trPr>
          <w:trHeight w:val="630"/>
        </w:trPr>
        <w:tc>
          <w:tcPr>
            <w:tcW w:w="291" w:type="pct"/>
            <w:hideMark/>
          </w:tcPr>
          <w:p w14:paraId="59FC715B" w14:textId="613D4F9D" w:rsidR="0056135A" w:rsidRPr="00A765CC" w:rsidRDefault="00CD6C60" w:rsidP="00A765CC">
            <w:r>
              <w:rPr>
                <w:b/>
                <w:bCs/>
              </w:rPr>
              <w:t>9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4DF78FA5" w14:textId="273CD883" w:rsidR="0056135A" w:rsidRDefault="00EA5F83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Update – FAC-002 Qualified Change Definition for End-Use Facilities</w:t>
            </w:r>
          </w:p>
          <w:p w14:paraId="51742477" w14:textId="1868FBD5" w:rsidR="000A38F4" w:rsidRDefault="00CD6C60" w:rsidP="00EA5F83">
            <w:r>
              <w:t xml:space="preserve">Ping Yan (ERCOT) </w:t>
            </w:r>
            <w:r w:rsidR="001945DF">
              <w:t>previewed</w:t>
            </w:r>
            <w:r w:rsidR="008F465F">
              <w:t xml:space="preserve"> </w:t>
            </w:r>
            <w:r w:rsidR="00314A61">
              <w:t>a Qualified Change definition for End-Use Facilities as part of the NERC FAC-002 standard.</w:t>
            </w:r>
            <w:r w:rsidR="00E32595">
              <w:t xml:space="preserve"> This is in anticipation of the implementation of PGRR115.</w:t>
            </w:r>
          </w:p>
          <w:p w14:paraId="646E59FA" w14:textId="028ADA79" w:rsidR="008D23E7" w:rsidRDefault="008D23E7" w:rsidP="00EA5F83">
            <w:r>
              <w:t>Agee</w:t>
            </w:r>
            <w:r w:rsidR="00E32595">
              <w:t xml:space="preserve"> Springer (ERCOT)</w:t>
            </w:r>
            <w:r>
              <w:t xml:space="preserve"> – </w:t>
            </w:r>
            <w:r w:rsidR="00E32595">
              <w:t xml:space="preserve">ERCOT will soon send out a Market Notice with a partial implementation of </w:t>
            </w:r>
            <w:r>
              <w:t xml:space="preserve">PGRR115 </w:t>
            </w:r>
            <w:r w:rsidR="00E32595">
              <w:t>–</w:t>
            </w:r>
            <w:r>
              <w:t>li</w:t>
            </w:r>
            <w:r w:rsidR="00AA2E52">
              <w:t>k</w:t>
            </w:r>
            <w:r>
              <w:t>e</w:t>
            </w:r>
            <w:r w:rsidR="00AA2E52">
              <w:t>l</w:t>
            </w:r>
            <w:r>
              <w:t>y</w:t>
            </w:r>
            <w:r w:rsidR="00E32595">
              <w:t xml:space="preserve"> </w:t>
            </w:r>
            <w:r>
              <w:t xml:space="preserve">unboxed June 1. </w:t>
            </w:r>
            <w:r w:rsidR="00E32595">
              <w:t xml:space="preserve">ERCOT targets unboxing </w:t>
            </w:r>
            <w:r>
              <w:t>Section 9 requirements on July 1</w:t>
            </w:r>
            <w:r w:rsidR="00AA2E52">
              <w:t xml:space="preserve"> that tie into the </w:t>
            </w:r>
            <w:r w:rsidR="00E32595">
              <w:t>Q</w:t>
            </w:r>
            <w:r w:rsidR="00AA2E52">
              <w:t xml:space="preserve">ualified </w:t>
            </w:r>
            <w:r w:rsidR="00E32595">
              <w:t>C</w:t>
            </w:r>
            <w:r w:rsidR="00AA2E52">
              <w:t>hange</w:t>
            </w:r>
            <w:r w:rsidR="00E32595">
              <w:t xml:space="preserve"> definition</w:t>
            </w:r>
            <w:r w:rsidR="00AA2E52">
              <w:t>.</w:t>
            </w:r>
            <w:r w:rsidR="00E32595">
              <w:t xml:space="preserve"> Other components, including the QSA provision, </w:t>
            </w:r>
            <w:r w:rsidR="00AA2E52">
              <w:t xml:space="preserve">will be unboxed </w:t>
            </w:r>
            <w:proofErr w:type="gramStart"/>
            <w:r w:rsidR="00AA2E52">
              <w:t>at a later date</w:t>
            </w:r>
            <w:proofErr w:type="gramEnd"/>
            <w:r w:rsidR="00E32595">
              <w:t>.</w:t>
            </w:r>
          </w:p>
          <w:p w14:paraId="355A824A" w14:textId="1993484C" w:rsidR="00AA2E52" w:rsidRDefault="00AA2E52" w:rsidP="00EA5F83">
            <w:r>
              <w:lastRenderedPageBreak/>
              <w:t>Monica (</w:t>
            </w:r>
            <w:proofErr w:type="spellStart"/>
            <w:r>
              <w:t>Vistra</w:t>
            </w:r>
            <w:proofErr w:type="spellEnd"/>
            <w:r>
              <w:t xml:space="preserve">) </w:t>
            </w:r>
            <w:r w:rsidR="0086542D">
              <w:t>–</w:t>
            </w:r>
            <w:r>
              <w:t xml:space="preserve"> </w:t>
            </w:r>
            <w:r w:rsidR="00E32595">
              <w:t xml:space="preserve">Would like </w:t>
            </w:r>
            <w:r w:rsidR="0086542D">
              <w:t xml:space="preserve">ERCOT to work on creating a list of what constitutes </w:t>
            </w:r>
            <w:r w:rsidR="00E32595">
              <w:t xml:space="preserve">a qualified change </w:t>
            </w:r>
            <w:r w:rsidR="0086542D">
              <w:t>trigger.</w:t>
            </w:r>
          </w:p>
          <w:p w14:paraId="7A5A2671" w14:textId="77777777" w:rsidR="009C0AFC" w:rsidRDefault="00E32595" w:rsidP="00EA5F83">
            <w:r>
              <w:t>Agee – ERCOT is open to working with stakeholders to develop a list. However, the concern remains that it will not be exhaustive.</w:t>
            </w:r>
          </w:p>
          <w:p w14:paraId="44959224" w14:textId="5DC726A9" w:rsidR="000A3627" w:rsidRPr="000A3627" w:rsidRDefault="000A3627" w:rsidP="00EA5F83">
            <w:pPr>
              <w:rPr>
                <w:b/>
                <w:bCs/>
              </w:rPr>
            </w:pPr>
            <w:r w:rsidRPr="000A3627">
              <w:rPr>
                <w:b/>
                <w:bCs/>
              </w:rPr>
              <w:t>No action taken.</w:t>
            </w:r>
          </w:p>
        </w:tc>
        <w:tc>
          <w:tcPr>
            <w:tcW w:w="874" w:type="pct"/>
            <w:hideMark/>
          </w:tcPr>
          <w:p w14:paraId="39144000" w14:textId="40307233" w:rsidR="0056135A" w:rsidRPr="00A765CC" w:rsidRDefault="00B401C9" w:rsidP="00A765CC">
            <w:r>
              <w:rPr>
                <w:b/>
                <w:bCs/>
              </w:rPr>
              <w:lastRenderedPageBreak/>
              <w:t>Ping Yan</w:t>
            </w:r>
          </w:p>
        </w:tc>
      </w:tr>
      <w:tr w:rsidR="0056135A" w:rsidRPr="00A765CC" w14:paraId="7F514BD5" w14:textId="77777777" w:rsidTr="0056135A">
        <w:trPr>
          <w:trHeight w:val="630"/>
        </w:trPr>
        <w:tc>
          <w:tcPr>
            <w:tcW w:w="291" w:type="pct"/>
            <w:hideMark/>
          </w:tcPr>
          <w:p w14:paraId="61C1F80F" w14:textId="3266277D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B401C9">
              <w:rPr>
                <w:b/>
                <w:bCs/>
              </w:rPr>
              <w:t>0</w:t>
            </w:r>
            <w:r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53858653" w14:textId="4324064F" w:rsidR="0056135A" w:rsidRDefault="00B401C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Review Open Action Items</w:t>
            </w:r>
          </w:p>
          <w:p w14:paraId="695646A4" w14:textId="70DA26B4" w:rsidR="000A38F4" w:rsidRPr="00A765CC" w:rsidRDefault="00DB663A" w:rsidP="00A765CC">
            <w:r>
              <w:t xml:space="preserve">Not </w:t>
            </w:r>
            <w:r w:rsidR="009E189A">
              <w:t xml:space="preserve">other business </w:t>
            </w:r>
            <w:r>
              <w:t>discussed.</w:t>
            </w:r>
          </w:p>
        </w:tc>
        <w:tc>
          <w:tcPr>
            <w:tcW w:w="874" w:type="pct"/>
            <w:hideMark/>
          </w:tcPr>
          <w:p w14:paraId="2DE0F0B3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5AFFCF84" w14:textId="77777777" w:rsidTr="0056135A">
        <w:trPr>
          <w:trHeight w:val="630"/>
        </w:trPr>
        <w:tc>
          <w:tcPr>
            <w:tcW w:w="291" w:type="pct"/>
            <w:hideMark/>
          </w:tcPr>
          <w:p w14:paraId="49254981" w14:textId="5BCD14E0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B401C9">
              <w:rPr>
                <w:b/>
                <w:bCs/>
              </w:rPr>
              <w:t>1</w:t>
            </w:r>
            <w:r w:rsidRPr="00A765CC">
              <w:rPr>
                <w:b/>
                <w:bCs/>
              </w:rPr>
              <w:t>.</w:t>
            </w:r>
            <w:r w:rsidRPr="00A765CC">
              <w:t> 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7350C123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Adjourn</w:t>
            </w:r>
          </w:p>
          <w:p w14:paraId="3681AE4F" w14:textId="3C8282FF" w:rsidR="0056135A" w:rsidRPr="00A765CC" w:rsidRDefault="0056135A" w:rsidP="00A765CC">
            <w:r>
              <w:t>Adjourned until</w:t>
            </w:r>
            <w:r w:rsidR="006F4BF8">
              <w:t xml:space="preserve"> next PLWG meeting scheduled </w:t>
            </w:r>
            <w:r w:rsidR="006F4BF8" w:rsidRPr="00C3637D">
              <w:t>for</w:t>
            </w:r>
            <w:r w:rsidRPr="00C3637D">
              <w:t xml:space="preserve"> </w:t>
            </w:r>
            <w:r w:rsidR="009E189A">
              <w:t>June 17</w:t>
            </w:r>
            <w:r w:rsidR="00C3637D" w:rsidRPr="00C3637D">
              <w:t>.</w:t>
            </w:r>
          </w:p>
        </w:tc>
        <w:tc>
          <w:tcPr>
            <w:tcW w:w="874" w:type="pct"/>
            <w:hideMark/>
          </w:tcPr>
          <w:p w14:paraId="2808DB60" w14:textId="77777777" w:rsidR="0056135A" w:rsidRPr="00A765CC" w:rsidRDefault="0056135A" w:rsidP="00A765CC">
            <w:r w:rsidRPr="00A765CC">
              <w:rPr>
                <w:b/>
                <w:bCs/>
              </w:rPr>
              <w:t>Chair </w:t>
            </w:r>
          </w:p>
        </w:tc>
      </w:tr>
    </w:tbl>
    <w:p w14:paraId="1B3E5208" w14:textId="77777777" w:rsidR="008D4CFB" w:rsidRDefault="008D4CFB"/>
    <w:sectPr w:rsidR="008D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C6"/>
    <w:multiLevelType w:val="multilevel"/>
    <w:tmpl w:val="0E4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1DC"/>
    <w:multiLevelType w:val="multilevel"/>
    <w:tmpl w:val="F7E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7857"/>
    <w:multiLevelType w:val="multilevel"/>
    <w:tmpl w:val="C1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4B9"/>
    <w:multiLevelType w:val="multilevel"/>
    <w:tmpl w:val="FAC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6392B"/>
    <w:multiLevelType w:val="hybridMultilevel"/>
    <w:tmpl w:val="C878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7543"/>
    <w:multiLevelType w:val="multilevel"/>
    <w:tmpl w:val="C27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05CDE"/>
    <w:multiLevelType w:val="multilevel"/>
    <w:tmpl w:val="D8D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744098">
    <w:abstractNumId w:val="3"/>
  </w:num>
  <w:num w:numId="2" w16cid:durableId="542834862">
    <w:abstractNumId w:val="1"/>
  </w:num>
  <w:num w:numId="3" w16cid:durableId="1979676816">
    <w:abstractNumId w:val="6"/>
  </w:num>
  <w:num w:numId="4" w16cid:durableId="911700180">
    <w:abstractNumId w:val="0"/>
  </w:num>
  <w:num w:numId="5" w16cid:durableId="54398409">
    <w:abstractNumId w:val="5"/>
  </w:num>
  <w:num w:numId="6" w16cid:durableId="173692088">
    <w:abstractNumId w:val="2"/>
  </w:num>
  <w:num w:numId="7" w16cid:durableId="133527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CC"/>
    <w:rsid w:val="0000095B"/>
    <w:rsid w:val="00011B31"/>
    <w:rsid w:val="000126BB"/>
    <w:rsid w:val="00014FFE"/>
    <w:rsid w:val="0002118D"/>
    <w:rsid w:val="00026FAB"/>
    <w:rsid w:val="000327AC"/>
    <w:rsid w:val="00033842"/>
    <w:rsid w:val="00034273"/>
    <w:rsid w:val="00035287"/>
    <w:rsid w:val="00037898"/>
    <w:rsid w:val="00046FC1"/>
    <w:rsid w:val="0005082D"/>
    <w:rsid w:val="000538F3"/>
    <w:rsid w:val="00056A74"/>
    <w:rsid w:val="00057904"/>
    <w:rsid w:val="00060FD0"/>
    <w:rsid w:val="00064D14"/>
    <w:rsid w:val="0007069A"/>
    <w:rsid w:val="000720AB"/>
    <w:rsid w:val="00074BF9"/>
    <w:rsid w:val="00077827"/>
    <w:rsid w:val="000818CE"/>
    <w:rsid w:val="00084DDC"/>
    <w:rsid w:val="00086AAB"/>
    <w:rsid w:val="00086D21"/>
    <w:rsid w:val="000950F1"/>
    <w:rsid w:val="00097266"/>
    <w:rsid w:val="000A3627"/>
    <w:rsid w:val="000A38F4"/>
    <w:rsid w:val="000A4BA8"/>
    <w:rsid w:val="000A5FD2"/>
    <w:rsid w:val="000B21C6"/>
    <w:rsid w:val="000C2A7C"/>
    <w:rsid w:val="000C3E15"/>
    <w:rsid w:val="000D1D6E"/>
    <w:rsid w:val="000D2AA6"/>
    <w:rsid w:val="000E005A"/>
    <w:rsid w:val="000F0944"/>
    <w:rsid w:val="000F64AA"/>
    <w:rsid w:val="00100AAA"/>
    <w:rsid w:val="00116235"/>
    <w:rsid w:val="00120156"/>
    <w:rsid w:val="0012134C"/>
    <w:rsid w:val="00132B60"/>
    <w:rsid w:val="001336D5"/>
    <w:rsid w:val="0014037D"/>
    <w:rsid w:val="00142093"/>
    <w:rsid w:val="001461EE"/>
    <w:rsid w:val="00147697"/>
    <w:rsid w:val="001516C2"/>
    <w:rsid w:val="00154703"/>
    <w:rsid w:val="00167D02"/>
    <w:rsid w:val="00172DFC"/>
    <w:rsid w:val="00174AAE"/>
    <w:rsid w:val="00185A3F"/>
    <w:rsid w:val="001916D6"/>
    <w:rsid w:val="001945DF"/>
    <w:rsid w:val="001961AB"/>
    <w:rsid w:val="001A0DA0"/>
    <w:rsid w:val="001A47FB"/>
    <w:rsid w:val="001B6919"/>
    <w:rsid w:val="001C0CC7"/>
    <w:rsid w:val="001E484D"/>
    <w:rsid w:val="001E6E50"/>
    <w:rsid w:val="001F2CAC"/>
    <w:rsid w:val="00202ABA"/>
    <w:rsid w:val="002032B5"/>
    <w:rsid w:val="0021054E"/>
    <w:rsid w:val="00210DB5"/>
    <w:rsid w:val="002144AE"/>
    <w:rsid w:val="002148E2"/>
    <w:rsid w:val="00223659"/>
    <w:rsid w:val="002236BE"/>
    <w:rsid w:val="00226B64"/>
    <w:rsid w:val="0022768B"/>
    <w:rsid w:val="0023302B"/>
    <w:rsid w:val="002357C9"/>
    <w:rsid w:val="00240054"/>
    <w:rsid w:val="00240829"/>
    <w:rsid w:val="002423CC"/>
    <w:rsid w:val="0024273C"/>
    <w:rsid w:val="00261595"/>
    <w:rsid w:val="00262FFC"/>
    <w:rsid w:val="002636A3"/>
    <w:rsid w:val="00270EA4"/>
    <w:rsid w:val="0028124F"/>
    <w:rsid w:val="00287C66"/>
    <w:rsid w:val="002A06F1"/>
    <w:rsid w:val="002A4F3D"/>
    <w:rsid w:val="002B1C34"/>
    <w:rsid w:val="002B22B1"/>
    <w:rsid w:val="002D27E4"/>
    <w:rsid w:val="002E0E68"/>
    <w:rsid w:val="002F4621"/>
    <w:rsid w:val="002F4CC1"/>
    <w:rsid w:val="002F73A8"/>
    <w:rsid w:val="00302CC0"/>
    <w:rsid w:val="00307040"/>
    <w:rsid w:val="003079B9"/>
    <w:rsid w:val="00312322"/>
    <w:rsid w:val="00314A61"/>
    <w:rsid w:val="0032404E"/>
    <w:rsid w:val="003309F6"/>
    <w:rsid w:val="003330E7"/>
    <w:rsid w:val="00340E3B"/>
    <w:rsid w:val="00360A01"/>
    <w:rsid w:val="00371379"/>
    <w:rsid w:val="00372075"/>
    <w:rsid w:val="00372584"/>
    <w:rsid w:val="00372AD2"/>
    <w:rsid w:val="00372D8C"/>
    <w:rsid w:val="003767ED"/>
    <w:rsid w:val="00383734"/>
    <w:rsid w:val="003921B3"/>
    <w:rsid w:val="003979F5"/>
    <w:rsid w:val="003A01F9"/>
    <w:rsid w:val="003A110E"/>
    <w:rsid w:val="003B0210"/>
    <w:rsid w:val="003B0DDC"/>
    <w:rsid w:val="003B3843"/>
    <w:rsid w:val="003B5A7A"/>
    <w:rsid w:val="003B5F4F"/>
    <w:rsid w:val="003B6F79"/>
    <w:rsid w:val="003C314D"/>
    <w:rsid w:val="003D7964"/>
    <w:rsid w:val="003E3C80"/>
    <w:rsid w:val="003E7955"/>
    <w:rsid w:val="003F266F"/>
    <w:rsid w:val="003F498B"/>
    <w:rsid w:val="0040036D"/>
    <w:rsid w:val="00404657"/>
    <w:rsid w:val="0040574A"/>
    <w:rsid w:val="00407275"/>
    <w:rsid w:val="00407AF6"/>
    <w:rsid w:val="00411E9F"/>
    <w:rsid w:val="00417D21"/>
    <w:rsid w:val="004224DC"/>
    <w:rsid w:val="00424B33"/>
    <w:rsid w:val="0044245C"/>
    <w:rsid w:val="0047745F"/>
    <w:rsid w:val="00484111"/>
    <w:rsid w:val="004875F9"/>
    <w:rsid w:val="00493B0E"/>
    <w:rsid w:val="00495337"/>
    <w:rsid w:val="004A339E"/>
    <w:rsid w:val="004A51CE"/>
    <w:rsid w:val="004B2994"/>
    <w:rsid w:val="004B65F1"/>
    <w:rsid w:val="004C1898"/>
    <w:rsid w:val="004C1FD5"/>
    <w:rsid w:val="004D202C"/>
    <w:rsid w:val="004F094E"/>
    <w:rsid w:val="004F097A"/>
    <w:rsid w:val="004F0ADE"/>
    <w:rsid w:val="004F3C75"/>
    <w:rsid w:val="004F4333"/>
    <w:rsid w:val="004F50B0"/>
    <w:rsid w:val="004F5AFB"/>
    <w:rsid w:val="004F6DD4"/>
    <w:rsid w:val="005036B8"/>
    <w:rsid w:val="0051172D"/>
    <w:rsid w:val="00515007"/>
    <w:rsid w:val="005151A7"/>
    <w:rsid w:val="005221D4"/>
    <w:rsid w:val="00525E4A"/>
    <w:rsid w:val="00536386"/>
    <w:rsid w:val="005432F3"/>
    <w:rsid w:val="005436E5"/>
    <w:rsid w:val="00546810"/>
    <w:rsid w:val="005559E3"/>
    <w:rsid w:val="00557FC1"/>
    <w:rsid w:val="0056135A"/>
    <w:rsid w:val="00561D53"/>
    <w:rsid w:val="00591B75"/>
    <w:rsid w:val="005945B9"/>
    <w:rsid w:val="00596F6A"/>
    <w:rsid w:val="005B2C53"/>
    <w:rsid w:val="005B3CD0"/>
    <w:rsid w:val="005B414D"/>
    <w:rsid w:val="005B75FC"/>
    <w:rsid w:val="005B7D3B"/>
    <w:rsid w:val="005C7DCF"/>
    <w:rsid w:val="005E2714"/>
    <w:rsid w:val="005E59BE"/>
    <w:rsid w:val="005F09BE"/>
    <w:rsid w:val="005F6CE0"/>
    <w:rsid w:val="0060249F"/>
    <w:rsid w:val="00602883"/>
    <w:rsid w:val="006072F0"/>
    <w:rsid w:val="00607D45"/>
    <w:rsid w:val="00617FE4"/>
    <w:rsid w:val="006254EB"/>
    <w:rsid w:val="00641B78"/>
    <w:rsid w:val="00643010"/>
    <w:rsid w:val="0065074A"/>
    <w:rsid w:val="006550CE"/>
    <w:rsid w:val="006628D9"/>
    <w:rsid w:val="0066389B"/>
    <w:rsid w:val="00664F51"/>
    <w:rsid w:val="00667A16"/>
    <w:rsid w:val="006701DF"/>
    <w:rsid w:val="00675C1E"/>
    <w:rsid w:val="006762FD"/>
    <w:rsid w:val="00695351"/>
    <w:rsid w:val="00696FC8"/>
    <w:rsid w:val="006B445C"/>
    <w:rsid w:val="006C1690"/>
    <w:rsid w:val="006C3684"/>
    <w:rsid w:val="006C7475"/>
    <w:rsid w:val="006D0CD0"/>
    <w:rsid w:val="006E5CCB"/>
    <w:rsid w:val="006E7458"/>
    <w:rsid w:val="006F0E55"/>
    <w:rsid w:val="006F1409"/>
    <w:rsid w:val="006F4BF8"/>
    <w:rsid w:val="007006BC"/>
    <w:rsid w:val="00700D26"/>
    <w:rsid w:val="00704F48"/>
    <w:rsid w:val="007104C5"/>
    <w:rsid w:val="00711954"/>
    <w:rsid w:val="00717207"/>
    <w:rsid w:val="00720868"/>
    <w:rsid w:val="00720E78"/>
    <w:rsid w:val="00725854"/>
    <w:rsid w:val="00726DB7"/>
    <w:rsid w:val="00727CC5"/>
    <w:rsid w:val="00731C58"/>
    <w:rsid w:val="00750FEE"/>
    <w:rsid w:val="00756428"/>
    <w:rsid w:val="0076236C"/>
    <w:rsid w:val="00770A8F"/>
    <w:rsid w:val="0078333D"/>
    <w:rsid w:val="00783682"/>
    <w:rsid w:val="00790B75"/>
    <w:rsid w:val="00790B92"/>
    <w:rsid w:val="00796137"/>
    <w:rsid w:val="007A2208"/>
    <w:rsid w:val="007A5C05"/>
    <w:rsid w:val="007B2189"/>
    <w:rsid w:val="007C236E"/>
    <w:rsid w:val="007C3171"/>
    <w:rsid w:val="007C424D"/>
    <w:rsid w:val="007E1D4E"/>
    <w:rsid w:val="007E4362"/>
    <w:rsid w:val="007F12E6"/>
    <w:rsid w:val="007F18D2"/>
    <w:rsid w:val="007F25D5"/>
    <w:rsid w:val="007F26AD"/>
    <w:rsid w:val="007F6580"/>
    <w:rsid w:val="0080034B"/>
    <w:rsid w:val="0080136D"/>
    <w:rsid w:val="00804808"/>
    <w:rsid w:val="00821F80"/>
    <w:rsid w:val="008221AC"/>
    <w:rsid w:val="00824A7E"/>
    <w:rsid w:val="0082642A"/>
    <w:rsid w:val="00834AEF"/>
    <w:rsid w:val="00837C18"/>
    <w:rsid w:val="00841C62"/>
    <w:rsid w:val="008430A1"/>
    <w:rsid w:val="00853EAD"/>
    <w:rsid w:val="008564F2"/>
    <w:rsid w:val="008565F1"/>
    <w:rsid w:val="00861ECF"/>
    <w:rsid w:val="0086542D"/>
    <w:rsid w:val="008658C2"/>
    <w:rsid w:val="0086794C"/>
    <w:rsid w:val="00882831"/>
    <w:rsid w:val="00886B0A"/>
    <w:rsid w:val="008B271E"/>
    <w:rsid w:val="008C16E3"/>
    <w:rsid w:val="008C25A6"/>
    <w:rsid w:val="008C5CC4"/>
    <w:rsid w:val="008D23E7"/>
    <w:rsid w:val="008D3628"/>
    <w:rsid w:val="008D38DD"/>
    <w:rsid w:val="008D4CFB"/>
    <w:rsid w:val="008D7691"/>
    <w:rsid w:val="008E150D"/>
    <w:rsid w:val="008E4F6B"/>
    <w:rsid w:val="008E7BB6"/>
    <w:rsid w:val="008F35FE"/>
    <w:rsid w:val="008F3AFB"/>
    <w:rsid w:val="008F465F"/>
    <w:rsid w:val="009077C0"/>
    <w:rsid w:val="00920104"/>
    <w:rsid w:val="00923C08"/>
    <w:rsid w:val="009260B6"/>
    <w:rsid w:val="0094317D"/>
    <w:rsid w:val="00945144"/>
    <w:rsid w:val="00946B43"/>
    <w:rsid w:val="009512BE"/>
    <w:rsid w:val="00954399"/>
    <w:rsid w:val="00954ABB"/>
    <w:rsid w:val="00965CF6"/>
    <w:rsid w:val="00974764"/>
    <w:rsid w:val="00982DED"/>
    <w:rsid w:val="0098365C"/>
    <w:rsid w:val="00986CCF"/>
    <w:rsid w:val="0099163C"/>
    <w:rsid w:val="00997698"/>
    <w:rsid w:val="009A4868"/>
    <w:rsid w:val="009B1D2F"/>
    <w:rsid w:val="009B4CD4"/>
    <w:rsid w:val="009B7F04"/>
    <w:rsid w:val="009C0A7B"/>
    <w:rsid w:val="009C0AFC"/>
    <w:rsid w:val="009C26E4"/>
    <w:rsid w:val="009D2313"/>
    <w:rsid w:val="009E161E"/>
    <w:rsid w:val="009E189A"/>
    <w:rsid w:val="009F0303"/>
    <w:rsid w:val="009F5856"/>
    <w:rsid w:val="009F7154"/>
    <w:rsid w:val="00A0305B"/>
    <w:rsid w:val="00A141C7"/>
    <w:rsid w:val="00A2072B"/>
    <w:rsid w:val="00A260CC"/>
    <w:rsid w:val="00A36AF4"/>
    <w:rsid w:val="00A4030C"/>
    <w:rsid w:val="00A405F7"/>
    <w:rsid w:val="00A4489E"/>
    <w:rsid w:val="00A5232D"/>
    <w:rsid w:val="00A5799D"/>
    <w:rsid w:val="00A61D4D"/>
    <w:rsid w:val="00A72642"/>
    <w:rsid w:val="00A765CC"/>
    <w:rsid w:val="00A77571"/>
    <w:rsid w:val="00A84911"/>
    <w:rsid w:val="00A90618"/>
    <w:rsid w:val="00A926C4"/>
    <w:rsid w:val="00A95F61"/>
    <w:rsid w:val="00A962AD"/>
    <w:rsid w:val="00AA2E52"/>
    <w:rsid w:val="00AA3E1A"/>
    <w:rsid w:val="00AA7DCB"/>
    <w:rsid w:val="00AB2937"/>
    <w:rsid w:val="00AB66C5"/>
    <w:rsid w:val="00AC0571"/>
    <w:rsid w:val="00AC0FBC"/>
    <w:rsid w:val="00AC1416"/>
    <w:rsid w:val="00AC2A7F"/>
    <w:rsid w:val="00AC30A8"/>
    <w:rsid w:val="00AC7223"/>
    <w:rsid w:val="00AD3477"/>
    <w:rsid w:val="00AD3B6A"/>
    <w:rsid w:val="00AE2B8B"/>
    <w:rsid w:val="00AF37D3"/>
    <w:rsid w:val="00B06181"/>
    <w:rsid w:val="00B07705"/>
    <w:rsid w:val="00B11F9F"/>
    <w:rsid w:val="00B24967"/>
    <w:rsid w:val="00B255EF"/>
    <w:rsid w:val="00B301B3"/>
    <w:rsid w:val="00B3521D"/>
    <w:rsid w:val="00B357A9"/>
    <w:rsid w:val="00B36C83"/>
    <w:rsid w:val="00B401C9"/>
    <w:rsid w:val="00B4536A"/>
    <w:rsid w:val="00B46FAF"/>
    <w:rsid w:val="00B54238"/>
    <w:rsid w:val="00B56CD7"/>
    <w:rsid w:val="00B63F6B"/>
    <w:rsid w:val="00B76E7B"/>
    <w:rsid w:val="00B876A9"/>
    <w:rsid w:val="00B91B76"/>
    <w:rsid w:val="00B95FE5"/>
    <w:rsid w:val="00B9650A"/>
    <w:rsid w:val="00B96879"/>
    <w:rsid w:val="00BA50EE"/>
    <w:rsid w:val="00BB139A"/>
    <w:rsid w:val="00BB1437"/>
    <w:rsid w:val="00BB213A"/>
    <w:rsid w:val="00BC74B0"/>
    <w:rsid w:val="00BD0663"/>
    <w:rsid w:val="00BD43B0"/>
    <w:rsid w:val="00BD454A"/>
    <w:rsid w:val="00BE0710"/>
    <w:rsid w:val="00BE467F"/>
    <w:rsid w:val="00BE6745"/>
    <w:rsid w:val="00BF2A84"/>
    <w:rsid w:val="00BF3DEB"/>
    <w:rsid w:val="00BF7CD4"/>
    <w:rsid w:val="00C00B45"/>
    <w:rsid w:val="00C14DDC"/>
    <w:rsid w:val="00C24126"/>
    <w:rsid w:val="00C2575D"/>
    <w:rsid w:val="00C30BD1"/>
    <w:rsid w:val="00C3637D"/>
    <w:rsid w:val="00C454FA"/>
    <w:rsid w:val="00C51D74"/>
    <w:rsid w:val="00C6026A"/>
    <w:rsid w:val="00C65074"/>
    <w:rsid w:val="00C673BA"/>
    <w:rsid w:val="00C67940"/>
    <w:rsid w:val="00C700C1"/>
    <w:rsid w:val="00C7044E"/>
    <w:rsid w:val="00C7304D"/>
    <w:rsid w:val="00C76712"/>
    <w:rsid w:val="00CA79AA"/>
    <w:rsid w:val="00CC5409"/>
    <w:rsid w:val="00CC57FE"/>
    <w:rsid w:val="00CC59B0"/>
    <w:rsid w:val="00CD1AD6"/>
    <w:rsid w:val="00CD6C60"/>
    <w:rsid w:val="00CE5667"/>
    <w:rsid w:val="00CF1FE2"/>
    <w:rsid w:val="00CF3375"/>
    <w:rsid w:val="00CF6CBA"/>
    <w:rsid w:val="00D058AD"/>
    <w:rsid w:val="00D238A7"/>
    <w:rsid w:val="00D24235"/>
    <w:rsid w:val="00D3048F"/>
    <w:rsid w:val="00D3147E"/>
    <w:rsid w:val="00D373D9"/>
    <w:rsid w:val="00D41EC5"/>
    <w:rsid w:val="00D45808"/>
    <w:rsid w:val="00D85555"/>
    <w:rsid w:val="00D8562E"/>
    <w:rsid w:val="00D96247"/>
    <w:rsid w:val="00D965BA"/>
    <w:rsid w:val="00D9725C"/>
    <w:rsid w:val="00DA03DA"/>
    <w:rsid w:val="00DA3397"/>
    <w:rsid w:val="00DA624C"/>
    <w:rsid w:val="00DA7B35"/>
    <w:rsid w:val="00DA7F42"/>
    <w:rsid w:val="00DB5442"/>
    <w:rsid w:val="00DB663A"/>
    <w:rsid w:val="00DD136D"/>
    <w:rsid w:val="00DD2B2B"/>
    <w:rsid w:val="00DF1F36"/>
    <w:rsid w:val="00E119C4"/>
    <w:rsid w:val="00E14858"/>
    <w:rsid w:val="00E150FE"/>
    <w:rsid w:val="00E21157"/>
    <w:rsid w:val="00E225FA"/>
    <w:rsid w:val="00E26CCC"/>
    <w:rsid w:val="00E3158A"/>
    <w:rsid w:val="00E32595"/>
    <w:rsid w:val="00E4273B"/>
    <w:rsid w:val="00E46C13"/>
    <w:rsid w:val="00E51A57"/>
    <w:rsid w:val="00E55441"/>
    <w:rsid w:val="00E572E3"/>
    <w:rsid w:val="00E65E91"/>
    <w:rsid w:val="00E741C8"/>
    <w:rsid w:val="00E772FC"/>
    <w:rsid w:val="00E77F8B"/>
    <w:rsid w:val="00E81159"/>
    <w:rsid w:val="00E81A4A"/>
    <w:rsid w:val="00E854AD"/>
    <w:rsid w:val="00E90319"/>
    <w:rsid w:val="00EA5F83"/>
    <w:rsid w:val="00EB265C"/>
    <w:rsid w:val="00EC12E8"/>
    <w:rsid w:val="00ED1987"/>
    <w:rsid w:val="00ED2EBF"/>
    <w:rsid w:val="00EE0EC9"/>
    <w:rsid w:val="00EE3DB5"/>
    <w:rsid w:val="00EF5F01"/>
    <w:rsid w:val="00EF6187"/>
    <w:rsid w:val="00F110F0"/>
    <w:rsid w:val="00F12154"/>
    <w:rsid w:val="00F231D6"/>
    <w:rsid w:val="00F23B37"/>
    <w:rsid w:val="00F26190"/>
    <w:rsid w:val="00F34545"/>
    <w:rsid w:val="00F42E7B"/>
    <w:rsid w:val="00F508CD"/>
    <w:rsid w:val="00F64815"/>
    <w:rsid w:val="00F704FD"/>
    <w:rsid w:val="00F71252"/>
    <w:rsid w:val="00F83F3C"/>
    <w:rsid w:val="00F844FB"/>
    <w:rsid w:val="00F85181"/>
    <w:rsid w:val="00F91924"/>
    <w:rsid w:val="00FA4774"/>
    <w:rsid w:val="00FA6F48"/>
    <w:rsid w:val="00FC12BE"/>
    <w:rsid w:val="00FE07F6"/>
    <w:rsid w:val="00FE2FDA"/>
    <w:rsid w:val="00FE7513"/>
    <w:rsid w:val="00FF01C4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1E01"/>
  <w15:chartTrackingRefBased/>
  <w15:docId w15:val="{1E95B631-4425-4DC2-895C-F6766BEA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5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C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5187-4D48-4980-AF9F-7805B84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Kristin (SPC)</dc:creator>
  <cp:keywords/>
  <dc:description/>
  <cp:lastModifiedBy>Cook, Kristin (SPC)</cp:lastModifiedBy>
  <cp:revision>258</cp:revision>
  <dcterms:created xsi:type="dcterms:W3CDTF">2025-03-20T13:44:00Z</dcterms:created>
  <dcterms:modified xsi:type="dcterms:W3CDTF">2025-06-10T17:41:00Z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2025-02-24T17:29:16Z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1b50d964-291c-4e9f-a23b-8baf8ad65ef5</vt:lpwstr>
  </property>
  <property fmtid="{D5CDD505-2E9C-101B-9397-08002B2CF9AE}" pid="8" name="MSIP_Label_ed3826ce-7c18-471d-9596-93de5bae332e_ContentBits">
    <vt:lpwstr>0</vt:lpwstr>
  </property>
</Properties>
</file>