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152993" w14:paraId="7924B645" w14:textId="77777777" w:rsidTr="00DF59E6">
        <w:tc>
          <w:tcPr>
            <w:tcW w:w="1620" w:type="dxa"/>
            <w:tcBorders>
              <w:bottom w:val="single" w:sz="4" w:space="0" w:color="auto"/>
            </w:tcBorders>
            <w:shd w:val="clear" w:color="auto" w:fill="FFFFFF"/>
            <w:vAlign w:val="center"/>
          </w:tcPr>
          <w:p w14:paraId="13820BE8" w14:textId="59066BD6" w:rsidR="00152993" w:rsidRDefault="00327791">
            <w:pPr>
              <w:pStyle w:val="Header"/>
              <w:rPr>
                <w:rFonts w:ascii="Verdana" w:hAnsi="Verdana"/>
                <w:sz w:val="22"/>
              </w:rPr>
            </w:pPr>
            <w:r>
              <w:t>PGRR</w:t>
            </w:r>
            <w:r w:rsidR="00152993">
              <w:t xml:space="preserve"> Number</w:t>
            </w:r>
          </w:p>
        </w:tc>
        <w:tc>
          <w:tcPr>
            <w:tcW w:w="1260" w:type="dxa"/>
            <w:tcBorders>
              <w:bottom w:val="single" w:sz="4" w:space="0" w:color="auto"/>
            </w:tcBorders>
            <w:vAlign w:val="center"/>
          </w:tcPr>
          <w:p w14:paraId="7F0F800B" w14:textId="008521EB" w:rsidR="00152993" w:rsidRDefault="00AB2982">
            <w:pPr>
              <w:pStyle w:val="Header"/>
            </w:pPr>
            <w:hyperlink r:id="rId8" w:history="1">
              <w:r>
                <w:rPr>
                  <w:rStyle w:val="Hyperlink"/>
                </w:rPr>
                <w:t>122</w:t>
              </w:r>
            </w:hyperlink>
          </w:p>
        </w:tc>
        <w:tc>
          <w:tcPr>
            <w:tcW w:w="1147" w:type="dxa"/>
            <w:tcBorders>
              <w:bottom w:val="single" w:sz="4" w:space="0" w:color="auto"/>
            </w:tcBorders>
            <w:shd w:val="clear" w:color="auto" w:fill="FFFFFF"/>
            <w:vAlign w:val="center"/>
          </w:tcPr>
          <w:p w14:paraId="10B0321D" w14:textId="351CE4B0" w:rsidR="00152993" w:rsidRDefault="00327791">
            <w:pPr>
              <w:pStyle w:val="Header"/>
            </w:pPr>
            <w:r>
              <w:t>PGRR</w:t>
            </w:r>
            <w:r w:rsidR="00152993">
              <w:t xml:space="preserve"> Title</w:t>
            </w:r>
          </w:p>
        </w:tc>
        <w:tc>
          <w:tcPr>
            <w:tcW w:w="6413" w:type="dxa"/>
            <w:tcBorders>
              <w:bottom w:val="single" w:sz="4" w:space="0" w:color="auto"/>
            </w:tcBorders>
            <w:vAlign w:val="center"/>
          </w:tcPr>
          <w:p w14:paraId="527F4FC9" w14:textId="0F377DFE" w:rsidR="00152993" w:rsidRDefault="00880120">
            <w:pPr>
              <w:pStyle w:val="Header"/>
            </w:pPr>
            <w:r w:rsidRPr="00880120">
              <w:t>Reliability Performance Criteria for Loss of Load</w:t>
            </w:r>
          </w:p>
        </w:tc>
      </w:tr>
      <w:tr w:rsidR="00152993" w14:paraId="1AEEE2F4" w14:textId="77777777">
        <w:trPr>
          <w:trHeight w:val="413"/>
        </w:trPr>
        <w:tc>
          <w:tcPr>
            <w:tcW w:w="2880" w:type="dxa"/>
            <w:gridSpan w:val="2"/>
            <w:tcBorders>
              <w:top w:val="nil"/>
              <w:left w:val="nil"/>
              <w:bottom w:val="single" w:sz="4" w:space="0" w:color="auto"/>
              <w:right w:val="nil"/>
            </w:tcBorders>
            <w:vAlign w:val="center"/>
          </w:tcPr>
          <w:p w14:paraId="1071769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BE0677C" w14:textId="77777777" w:rsidR="00152993" w:rsidRDefault="00152993">
            <w:pPr>
              <w:pStyle w:val="NormalArial"/>
            </w:pPr>
          </w:p>
        </w:tc>
      </w:tr>
      <w:tr w:rsidR="00152993" w14:paraId="403BBD9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9857B7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DF43DF" w14:textId="1351F672" w:rsidR="00152993" w:rsidRDefault="00880120">
            <w:pPr>
              <w:pStyle w:val="NormalArial"/>
            </w:pPr>
            <w:r>
              <w:t>May 19, 2025</w:t>
            </w:r>
          </w:p>
        </w:tc>
      </w:tr>
      <w:tr w:rsidR="00152993" w14:paraId="1032FBFF" w14:textId="77777777">
        <w:trPr>
          <w:trHeight w:val="467"/>
        </w:trPr>
        <w:tc>
          <w:tcPr>
            <w:tcW w:w="2880" w:type="dxa"/>
            <w:gridSpan w:val="2"/>
            <w:tcBorders>
              <w:top w:val="single" w:sz="4" w:space="0" w:color="auto"/>
              <w:left w:val="nil"/>
              <w:bottom w:val="nil"/>
              <w:right w:val="nil"/>
            </w:tcBorders>
            <w:shd w:val="clear" w:color="auto" w:fill="FFFFFF"/>
            <w:vAlign w:val="center"/>
          </w:tcPr>
          <w:p w14:paraId="4EE451BF" w14:textId="77777777" w:rsidR="00152993" w:rsidRDefault="00152993">
            <w:pPr>
              <w:pStyle w:val="NormalArial"/>
            </w:pPr>
          </w:p>
        </w:tc>
        <w:tc>
          <w:tcPr>
            <w:tcW w:w="7560" w:type="dxa"/>
            <w:gridSpan w:val="2"/>
            <w:tcBorders>
              <w:top w:val="nil"/>
              <w:left w:val="nil"/>
              <w:bottom w:val="nil"/>
              <w:right w:val="nil"/>
            </w:tcBorders>
            <w:vAlign w:val="center"/>
          </w:tcPr>
          <w:p w14:paraId="2820DFB5" w14:textId="77777777" w:rsidR="00152993" w:rsidRDefault="00152993">
            <w:pPr>
              <w:pStyle w:val="NormalArial"/>
            </w:pPr>
          </w:p>
        </w:tc>
      </w:tr>
      <w:tr w:rsidR="00152993" w14:paraId="2D8DC918" w14:textId="77777777">
        <w:trPr>
          <w:trHeight w:val="440"/>
        </w:trPr>
        <w:tc>
          <w:tcPr>
            <w:tcW w:w="10440" w:type="dxa"/>
            <w:gridSpan w:val="4"/>
            <w:tcBorders>
              <w:top w:val="single" w:sz="4" w:space="0" w:color="auto"/>
            </w:tcBorders>
            <w:shd w:val="clear" w:color="auto" w:fill="FFFFFF"/>
            <w:vAlign w:val="center"/>
          </w:tcPr>
          <w:p w14:paraId="0EFA25EE" w14:textId="77777777" w:rsidR="00152993" w:rsidRDefault="00152993">
            <w:pPr>
              <w:pStyle w:val="Header"/>
              <w:jc w:val="center"/>
            </w:pPr>
            <w:r>
              <w:t>Submitter’s Information</w:t>
            </w:r>
          </w:p>
        </w:tc>
      </w:tr>
      <w:tr w:rsidR="00152993" w14:paraId="522D5679" w14:textId="77777777">
        <w:trPr>
          <w:trHeight w:val="350"/>
        </w:trPr>
        <w:tc>
          <w:tcPr>
            <w:tcW w:w="2880" w:type="dxa"/>
            <w:gridSpan w:val="2"/>
            <w:shd w:val="clear" w:color="auto" w:fill="FFFFFF"/>
            <w:vAlign w:val="center"/>
          </w:tcPr>
          <w:p w14:paraId="336868F3" w14:textId="77777777" w:rsidR="00152993" w:rsidRPr="00EC55B3" w:rsidRDefault="00152993" w:rsidP="00EC55B3">
            <w:pPr>
              <w:pStyle w:val="Header"/>
            </w:pPr>
            <w:r w:rsidRPr="00EC55B3">
              <w:t>Name</w:t>
            </w:r>
          </w:p>
        </w:tc>
        <w:tc>
          <w:tcPr>
            <w:tcW w:w="7560" w:type="dxa"/>
            <w:gridSpan w:val="2"/>
            <w:vAlign w:val="center"/>
          </w:tcPr>
          <w:p w14:paraId="478EF3D7" w14:textId="7D9A4F78" w:rsidR="00152993" w:rsidRDefault="00413AB7">
            <w:pPr>
              <w:pStyle w:val="NormalArial"/>
            </w:pPr>
            <w:r>
              <w:t>John Russ Hubbard</w:t>
            </w:r>
          </w:p>
        </w:tc>
      </w:tr>
      <w:tr w:rsidR="00152993" w14:paraId="192CB1A3" w14:textId="77777777">
        <w:trPr>
          <w:trHeight w:val="350"/>
        </w:trPr>
        <w:tc>
          <w:tcPr>
            <w:tcW w:w="2880" w:type="dxa"/>
            <w:gridSpan w:val="2"/>
            <w:shd w:val="clear" w:color="auto" w:fill="FFFFFF"/>
            <w:vAlign w:val="center"/>
          </w:tcPr>
          <w:p w14:paraId="305B31DB" w14:textId="77777777" w:rsidR="00152993" w:rsidRPr="00EC55B3" w:rsidRDefault="00152993" w:rsidP="00EC55B3">
            <w:pPr>
              <w:pStyle w:val="Header"/>
            </w:pPr>
            <w:r w:rsidRPr="00EC55B3">
              <w:t>E-mail Address</w:t>
            </w:r>
          </w:p>
        </w:tc>
        <w:tc>
          <w:tcPr>
            <w:tcW w:w="7560" w:type="dxa"/>
            <w:gridSpan w:val="2"/>
            <w:vAlign w:val="center"/>
          </w:tcPr>
          <w:p w14:paraId="3594667E" w14:textId="52207E24" w:rsidR="00152993" w:rsidRDefault="00413AB7">
            <w:pPr>
              <w:pStyle w:val="NormalArial"/>
            </w:pPr>
            <w:hyperlink r:id="rId9" w:history="1">
              <w:r w:rsidRPr="006B120F">
                <w:rPr>
                  <w:rStyle w:val="Hyperlink"/>
                </w:rPr>
                <w:t>jhubbard@omm.com</w:t>
              </w:r>
            </w:hyperlink>
            <w:r>
              <w:rPr>
                <w:rStyle w:val="Hyperlink"/>
                <w:color w:val="auto"/>
                <w:u w:val="none"/>
              </w:rPr>
              <w:t xml:space="preserve"> </w:t>
            </w:r>
          </w:p>
        </w:tc>
      </w:tr>
      <w:tr w:rsidR="00152993" w14:paraId="3A9292C8" w14:textId="77777777">
        <w:trPr>
          <w:trHeight w:val="350"/>
        </w:trPr>
        <w:tc>
          <w:tcPr>
            <w:tcW w:w="2880" w:type="dxa"/>
            <w:gridSpan w:val="2"/>
            <w:shd w:val="clear" w:color="auto" w:fill="FFFFFF"/>
            <w:vAlign w:val="center"/>
          </w:tcPr>
          <w:p w14:paraId="62A78717" w14:textId="77777777" w:rsidR="00152993" w:rsidRPr="00EC55B3" w:rsidRDefault="00152993" w:rsidP="00EC55B3">
            <w:pPr>
              <w:pStyle w:val="Header"/>
            </w:pPr>
            <w:r w:rsidRPr="00EC55B3">
              <w:t>Company</w:t>
            </w:r>
          </w:p>
        </w:tc>
        <w:tc>
          <w:tcPr>
            <w:tcW w:w="7560" w:type="dxa"/>
            <w:gridSpan w:val="2"/>
            <w:vAlign w:val="center"/>
          </w:tcPr>
          <w:p w14:paraId="4FF66521" w14:textId="6CC282CE" w:rsidR="00152993" w:rsidRDefault="00413AB7">
            <w:pPr>
              <w:pStyle w:val="NormalArial"/>
            </w:pPr>
            <w:r>
              <w:t>Texas Industrial Energy Consumers (TIEC</w:t>
            </w:r>
            <w:r w:rsidR="00880120">
              <w:t>)</w:t>
            </w:r>
          </w:p>
        </w:tc>
      </w:tr>
      <w:tr w:rsidR="00152993" w14:paraId="00B7D019" w14:textId="77777777">
        <w:trPr>
          <w:trHeight w:val="350"/>
        </w:trPr>
        <w:tc>
          <w:tcPr>
            <w:tcW w:w="2880" w:type="dxa"/>
            <w:gridSpan w:val="2"/>
            <w:shd w:val="clear" w:color="auto" w:fill="FFFFFF"/>
            <w:vAlign w:val="center"/>
          </w:tcPr>
          <w:p w14:paraId="5CBC02F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33CAA8BB" w14:textId="3DFE6DCA" w:rsidR="00152993" w:rsidRDefault="000C1B0C">
            <w:pPr>
              <w:pStyle w:val="NormalArial"/>
            </w:pPr>
            <w:r>
              <w:t>512-964-0415 (John Russ Hubbard)</w:t>
            </w:r>
          </w:p>
        </w:tc>
      </w:tr>
      <w:tr w:rsidR="00075A94" w14:paraId="44D67DE5" w14:textId="77777777">
        <w:trPr>
          <w:trHeight w:val="350"/>
        </w:trPr>
        <w:tc>
          <w:tcPr>
            <w:tcW w:w="2880" w:type="dxa"/>
            <w:gridSpan w:val="2"/>
            <w:tcBorders>
              <w:bottom w:val="single" w:sz="4" w:space="0" w:color="auto"/>
            </w:tcBorders>
            <w:shd w:val="clear" w:color="auto" w:fill="FFFFFF"/>
            <w:vAlign w:val="center"/>
          </w:tcPr>
          <w:p w14:paraId="26B7117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5825FFE3" w14:textId="00E53D6B" w:rsidR="00075A94" w:rsidRDefault="000C1B0C">
            <w:pPr>
              <w:pStyle w:val="NormalArial"/>
            </w:pPr>
            <w:r>
              <w:t>Consumer</w:t>
            </w:r>
            <w:r w:rsidR="002F4CE4">
              <w:t xml:space="preserve"> </w:t>
            </w:r>
          </w:p>
        </w:tc>
      </w:tr>
    </w:tbl>
    <w:p w14:paraId="25636728"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5300B1DB" w14:textId="77777777" w:rsidTr="00B5080A">
        <w:trPr>
          <w:trHeight w:val="422"/>
          <w:jc w:val="center"/>
        </w:trPr>
        <w:tc>
          <w:tcPr>
            <w:tcW w:w="10440" w:type="dxa"/>
            <w:vAlign w:val="center"/>
          </w:tcPr>
          <w:p w14:paraId="71793C06" w14:textId="77777777" w:rsidR="00075A94" w:rsidRPr="00075A94" w:rsidRDefault="00075A94" w:rsidP="00B5080A">
            <w:pPr>
              <w:pStyle w:val="Header"/>
              <w:jc w:val="center"/>
            </w:pPr>
            <w:r w:rsidRPr="00075A94">
              <w:t>Comments</w:t>
            </w:r>
          </w:p>
        </w:tc>
      </w:tr>
    </w:tbl>
    <w:p w14:paraId="7B815FE7" w14:textId="22874415" w:rsidR="00831713" w:rsidRDefault="002F387E" w:rsidP="006238FF">
      <w:pPr>
        <w:pStyle w:val="NormalArial"/>
        <w:spacing w:before="120" w:after="120"/>
        <w:jc w:val="both"/>
      </w:pPr>
      <w:r>
        <w:t xml:space="preserve">Texas Industrial Energy Consumers (TIEC) </w:t>
      </w:r>
      <w:r w:rsidR="00970982">
        <w:t>files these</w:t>
      </w:r>
      <w:r w:rsidR="006C27B9">
        <w:t xml:space="preserve"> comments ahead of the </w:t>
      </w:r>
      <w:r w:rsidR="009B0508">
        <w:t>Planning Working Group</w:t>
      </w:r>
      <w:r w:rsidR="00223B50">
        <w:t xml:space="preserve"> (PLWG) </w:t>
      </w:r>
      <w:r w:rsidR="00867969">
        <w:t xml:space="preserve">meeting </w:t>
      </w:r>
      <w:r w:rsidR="00223B50">
        <w:t>to add to discussion during the meeting on Tuesday, May 2</w:t>
      </w:r>
      <w:r w:rsidR="00B46FD9">
        <w:t>0</w:t>
      </w:r>
      <w:r w:rsidR="00B46FD9" w:rsidRPr="00B46FD9">
        <w:rPr>
          <w:vertAlign w:val="superscript"/>
        </w:rPr>
        <w:t>th</w:t>
      </w:r>
      <w:r w:rsidR="00B46FD9">
        <w:t xml:space="preserve">.  </w:t>
      </w:r>
      <w:r w:rsidR="00C035D1">
        <w:t xml:space="preserve">TIEC understands from </w:t>
      </w:r>
      <w:r w:rsidR="009E34AC">
        <w:t>conversations</w:t>
      </w:r>
      <w:r w:rsidR="00C035D1">
        <w:t xml:space="preserve"> with ERCOT that </w:t>
      </w:r>
      <w:r w:rsidR="00A704CF">
        <w:t>the intent behind PGRR</w:t>
      </w:r>
      <w:r w:rsidR="0051741E">
        <w:t>122</w:t>
      </w:r>
      <w:r w:rsidR="00A704CF">
        <w:t xml:space="preserve"> is to codify a system limitation</w:t>
      </w:r>
      <w:r w:rsidR="0086081B">
        <w:t xml:space="preserve">.  </w:t>
      </w:r>
      <w:r w:rsidR="00EA1C90">
        <w:t>TIEC members depend on a reliable grid</w:t>
      </w:r>
      <w:r w:rsidR="00BB07CB">
        <w:t xml:space="preserve">, and TIEC recognizes that ERCOT needs to </w:t>
      </w:r>
      <w:r w:rsidR="00FB0F94">
        <w:t xml:space="preserve">be aware of </w:t>
      </w:r>
      <w:r w:rsidR="00655C92">
        <w:t>system conditions</w:t>
      </w:r>
      <w:r w:rsidR="00FB0F94">
        <w:t xml:space="preserve"> that could lead to </w:t>
      </w:r>
      <w:r w:rsidR="00655C92">
        <w:t xml:space="preserve">a sharp drop of </w:t>
      </w:r>
      <w:r w:rsidR="00092972">
        <w:t>L</w:t>
      </w:r>
      <w:r w:rsidR="00655C92">
        <w:t xml:space="preserve">oad.  </w:t>
      </w:r>
      <w:r w:rsidR="0086081B">
        <w:t xml:space="preserve">However, it’s </w:t>
      </w:r>
      <w:r w:rsidR="00831713">
        <w:t xml:space="preserve">not clear that hard-coding </w:t>
      </w:r>
      <w:r w:rsidR="007D17CB">
        <w:t>2,600</w:t>
      </w:r>
      <w:r w:rsidR="002B2152">
        <w:t xml:space="preserve"> MW as </w:t>
      </w:r>
      <w:r w:rsidR="0051741E">
        <w:t>a Load loss limit for the Large Load Interconnection Study (LLIS)</w:t>
      </w:r>
      <w:r w:rsidR="00831713">
        <w:t xml:space="preserve"> is the right approach</w:t>
      </w:r>
      <w:r w:rsidR="00DE5EDB">
        <w:t xml:space="preserve">, especially when it’s unclear </w:t>
      </w:r>
      <w:r w:rsidR="00BE5210">
        <w:t>what will happen when the limit is triggered and how it can be resolved</w:t>
      </w:r>
      <w:r w:rsidR="00DE5EDB">
        <w:t>.</w:t>
      </w:r>
    </w:p>
    <w:p w14:paraId="42CE47EA" w14:textId="5A7CECCE" w:rsidR="00231F81" w:rsidRDefault="00237C4E" w:rsidP="006238FF">
      <w:pPr>
        <w:pStyle w:val="NormalArial"/>
        <w:spacing w:before="120" w:after="120"/>
        <w:jc w:val="both"/>
      </w:pPr>
      <w:r>
        <w:t xml:space="preserve">Importantly, </w:t>
      </w:r>
      <w:r w:rsidR="00655C92">
        <w:t xml:space="preserve">as currently drafted, the Load </w:t>
      </w:r>
      <w:r w:rsidR="00BC4D00">
        <w:t>l</w:t>
      </w:r>
      <w:r w:rsidR="00655C92">
        <w:t>oss</w:t>
      </w:r>
      <w:r w:rsidR="004450CB">
        <w:t xml:space="preserve"> limitation </w:t>
      </w:r>
      <w:r w:rsidR="004650FA">
        <w:t xml:space="preserve">will impact </w:t>
      </w:r>
      <w:r w:rsidR="004650FA" w:rsidRPr="00E16297">
        <w:rPr>
          <w:b/>
          <w:bCs/>
          <w:i/>
          <w:iCs/>
        </w:rPr>
        <w:t>any</w:t>
      </w:r>
      <w:r w:rsidR="004650FA">
        <w:t xml:space="preserve"> load subject to LLIS</w:t>
      </w:r>
      <w:r w:rsidR="0051750A">
        <w:t xml:space="preserve">, which includes any new </w:t>
      </w:r>
      <w:r w:rsidR="00092972">
        <w:t>L</w:t>
      </w:r>
      <w:r w:rsidR="0051750A">
        <w:t xml:space="preserve">oad over 75 MW or a modification to </w:t>
      </w:r>
      <w:r w:rsidR="00F10922">
        <w:t xml:space="preserve">an existing facility that increases the peak </w:t>
      </w:r>
      <w:r w:rsidR="00092972">
        <w:t>D</w:t>
      </w:r>
      <w:r w:rsidR="00F10922">
        <w:t xml:space="preserve">emand by 75 MW.  </w:t>
      </w:r>
      <w:r w:rsidR="00246B75">
        <w:t xml:space="preserve">During the LLIS process, ERCOT </w:t>
      </w:r>
      <w:r w:rsidR="00FB7A73">
        <w:t xml:space="preserve">and </w:t>
      </w:r>
      <w:r w:rsidR="00092972">
        <w:t>Transmission Service Providers (</w:t>
      </w:r>
      <w:r w:rsidR="00FB7A73">
        <w:t>TSPs</w:t>
      </w:r>
      <w:r w:rsidR="00092972">
        <w:t>)</w:t>
      </w:r>
      <w:r w:rsidR="00FB7A73">
        <w:t xml:space="preserve"> </w:t>
      </w:r>
      <w:r w:rsidR="00246B75">
        <w:t xml:space="preserve">will </w:t>
      </w:r>
      <w:r w:rsidR="00FB7A73">
        <w:t>model</w:t>
      </w:r>
      <w:r w:rsidR="001C200C">
        <w:t xml:space="preserve"> whether the new </w:t>
      </w:r>
      <w:r w:rsidR="00092972">
        <w:t>L</w:t>
      </w:r>
      <w:r w:rsidR="001C200C">
        <w:t xml:space="preserve">oad </w:t>
      </w:r>
      <w:r w:rsidR="00FB7A73">
        <w:t xml:space="preserve">will cause at least </w:t>
      </w:r>
      <w:r w:rsidR="00ED12AF">
        <w:t>2,600</w:t>
      </w:r>
      <w:r w:rsidR="00FB7A73">
        <w:t xml:space="preserve"> MW to trip</w:t>
      </w:r>
      <w:r w:rsidR="00044C66">
        <w:t xml:space="preserve"> </w:t>
      </w:r>
      <w:r w:rsidR="00F15932">
        <w:t xml:space="preserve">in an </w:t>
      </w:r>
      <w:r w:rsidR="00F15932" w:rsidRPr="00FB7A73">
        <w:t>area</w:t>
      </w:r>
      <w:r w:rsidR="00F15932">
        <w:t xml:space="preserve"> </w:t>
      </w:r>
      <w:r w:rsidR="002B3D8E">
        <w:t>that can be as large as the</w:t>
      </w:r>
      <w:r w:rsidR="000B2CD5">
        <w:t xml:space="preserve"> whole</w:t>
      </w:r>
      <w:r w:rsidR="002B3D8E">
        <w:t xml:space="preserve"> West Load Zone</w:t>
      </w:r>
      <w:r w:rsidR="00922249">
        <w:t xml:space="preserve">.  </w:t>
      </w:r>
      <w:r w:rsidR="009F703D">
        <w:t>If there is a</w:t>
      </w:r>
      <w:r w:rsidR="00DF59E6">
        <w:t xml:space="preserve">n aggregate </w:t>
      </w:r>
      <w:r w:rsidR="009F703D">
        <w:t xml:space="preserve">Load loss event above the limit, </w:t>
      </w:r>
      <w:r w:rsidR="002B3524">
        <w:t xml:space="preserve">the Load </w:t>
      </w:r>
      <w:r w:rsidR="00DF59E6">
        <w:t xml:space="preserve">under study </w:t>
      </w:r>
      <w:r w:rsidR="002B3524">
        <w:t xml:space="preserve">will not be able to move forward in the interconnection process.  </w:t>
      </w:r>
      <w:r w:rsidR="00DF59E6">
        <w:t>Following such a result, i</w:t>
      </w:r>
      <w:r w:rsidR="004B7262">
        <w:t xml:space="preserve">t is unclear </w:t>
      </w:r>
      <w:r w:rsidR="0062288B">
        <w:t>what changes the load will have to make, what information will be conveyed to the load</w:t>
      </w:r>
      <w:r w:rsidR="002F2BDD">
        <w:t xml:space="preserve">, and </w:t>
      </w:r>
      <w:r w:rsidR="00BC387B">
        <w:t xml:space="preserve">whether </w:t>
      </w:r>
      <w:r w:rsidR="003D3076">
        <w:t xml:space="preserve">the load will be able to interconnect at all.  </w:t>
      </w:r>
      <w:r w:rsidR="00231F81">
        <w:t xml:space="preserve">Functionally, this limitation could result in a moratorium on interconnections in an entire </w:t>
      </w:r>
      <w:r w:rsidR="00092972">
        <w:t>L</w:t>
      </w:r>
      <w:r w:rsidR="00231F81">
        <w:t xml:space="preserve">oad </w:t>
      </w:r>
      <w:r w:rsidR="00092972">
        <w:t>Z</w:t>
      </w:r>
      <w:r w:rsidR="00231F81">
        <w:t xml:space="preserve">one.  As such, the implications of what happens if or when the limit is triggered should be thoroughly considered </w:t>
      </w:r>
      <w:r w:rsidR="00231F81">
        <w:rPr>
          <w:b/>
          <w:bCs/>
          <w:i/>
          <w:iCs/>
        </w:rPr>
        <w:t>before</w:t>
      </w:r>
      <w:r w:rsidR="00231F81">
        <w:t xml:space="preserve"> a limit is adopted.</w:t>
      </w:r>
    </w:p>
    <w:p w14:paraId="78B8373A" w14:textId="351313CA" w:rsidR="009E34AC" w:rsidRDefault="009E34AC" w:rsidP="006238FF">
      <w:pPr>
        <w:pStyle w:val="NormalArial"/>
        <w:spacing w:before="120" w:after="120"/>
        <w:jc w:val="both"/>
      </w:pPr>
      <w:r>
        <w:t>Triggering the Load loss limit is also highly dependent on ERCOT’s modeling</w:t>
      </w:r>
      <w:r w:rsidR="00495639">
        <w:t>,</w:t>
      </w:r>
      <w:r w:rsidR="00DF59E6">
        <w:t xml:space="preserve"> which is changing over time,</w:t>
      </w:r>
      <w:r w:rsidR="00495639">
        <w:t xml:space="preserve"> and the </w:t>
      </w:r>
      <w:r w:rsidR="00E13DE6">
        <w:t>scenarios or parameters included</w:t>
      </w:r>
      <w:r w:rsidR="00495639">
        <w:t xml:space="preserve"> in </w:t>
      </w:r>
      <w:r w:rsidR="004F6BFB">
        <w:t>ERCOT’s</w:t>
      </w:r>
      <w:r w:rsidR="00495639">
        <w:t xml:space="preserve"> modeling </w:t>
      </w:r>
      <w:r w:rsidR="0044680C">
        <w:t>are</w:t>
      </w:r>
      <w:r w:rsidR="00495639">
        <w:t xml:space="preserve"> not clear. </w:t>
      </w:r>
      <w:r w:rsidR="006D5888">
        <w:t xml:space="preserve"> </w:t>
      </w:r>
      <w:r w:rsidR="0044680C">
        <w:t>Notably, i</w:t>
      </w:r>
      <w:r w:rsidR="006D5888">
        <w:t xml:space="preserve">nputting new </w:t>
      </w:r>
      <w:r w:rsidR="0056710F">
        <w:t xml:space="preserve">TSP </w:t>
      </w:r>
      <w:r w:rsidR="006D5888">
        <w:t>data, updating the model parameters, and the inclusion or exclusion of certain generat</w:t>
      </w:r>
      <w:r w:rsidR="0056710F">
        <w:t>ion facilities</w:t>
      </w:r>
      <w:r w:rsidR="006D5888">
        <w:t xml:space="preserve"> could </w:t>
      </w:r>
      <w:r w:rsidR="0044680C">
        <w:t xml:space="preserve">all affect the results of whether </w:t>
      </w:r>
      <w:r w:rsidR="00FD7985">
        <w:t xml:space="preserve">the Load loss limit is reached.  </w:t>
      </w:r>
      <w:r w:rsidR="002C3DA9">
        <w:t>This introduces uncertainty for industrial facilities and developers</w:t>
      </w:r>
      <w:r w:rsidR="00EC2D87">
        <w:t xml:space="preserve">.  While </w:t>
      </w:r>
      <w:r w:rsidR="008825A4">
        <w:t xml:space="preserve">entities design their facilities to meet the requirements of each utility, </w:t>
      </w:r>
      <w:r w:rsidR="008825A4">
        <w:lastRenderedPageBreak/>
        <w:t xml:space="preserve">interconnecting entities </w:t>
      </w:r>
      <w:r w:rsidR="00526A11">
        <w:t>do not know what</w:t>
      </w:r>
      <w:r w:rsidR="002C3DA9">
        <w:t xml:space="preserve"> </w:t>
      </w:r>
      <w:r w:rsidR="00593249">
        <w:t xml:space="preserve">conditions the facility will need to ride </w:t>
      </w:r>
      <w:proofErr w:type="gramStart"/>
      <w:r w:rsidR="00593249">
        <w:t xml:space="preserve">through </w:t>
      </w:r>
      <w:r w:rsidR="00526A11">
        <w:t>in</w:t>
      </w:r>
      <w:proofErr w:type="gramEnd"/>
      <w:r w:rsidR="00526A11">
        <w:t xml:space="preserve"> ERCOT’s modeling </w:t>
      </w:r>
      <w:r w:rsidR="00593249">
        <w:t xml:space="preserve">or how external factors could impact </w:t>
      </w:r>
      <w:r w:rsidR="00EC2D87">
        <w:t>the results.</w:t>
      </w:r>
      <w:r w:rsidR="002C3DA9">
        <w:t xml:space="preserve"> </w:t>
      </w:r>
    </w:p>
    <w:p w14:paraId="524ABFD7" w14:textId="52B8165D" w:rsidR="000E67C3" w:rsidRDefault="0043107E" w:rsidP="006238FF">
      <w:pPr>
        <w:pStyle w:val="NormalArial"/>
        <w:spacing w:before="120" w:after="120"/>
        <w:jc w:val="both"/>
      </w:pPr>
      <w:r>
        <w:t xml:space="preserve">TIEC is concerned </w:t>
      </w:r>
      <w:r w:rsidR="00C0789D">
        <w:t>establishing</w:t>
      </w:r>
      <w:r w:rsidR="00867969">
        <w:t xml:space="preserve"> this</w:t>
      </w:r>
      <w:r w:rsidR="000B2CD5">
        <w:t xml:space="preserve"> system limitation will </w:t>
      </w:r>
      <w:r w:rsidR="00C4611F">
        <w:t>negatively</w:t>
      </w:r>
      <w:r w:rsidR="007366A9">
        <w:t xml:space="preserve"> impact </w:t>
      </w:r>
      <w:r w:rsidR="00C4611F">
        <w:t xml:space="preserve">future </w:t>
      </w:r>
      <w:r w:rsidR="007366A9">
        <w:t xml:space="preserve">industrial </w:t>
      </w:r>
      <w:r w:rsidR="00092972">
        <w:t>L</w:t>
      </w:r>
      <w:r w:rsidR="007366A9">
        <w:t xml:space="preserve">oads.  </w:t>
      </w:r>
      <w:r w:rsidR="001E030F">
        <w:t xml:space="preserve">By the time </w:t>
      </w:r>
      <w:r w:rsidR="00204273">
        <w:t>facilities</w:t>
      </w:r>
      <w:r w:rsidR="001E030F">
        <w:t xml:space="preserve"> are going through LLIS, they have </w:t>
      </w:r>
      <w:r w:rsidR="00972A50">
        <w:t xml:space="preserve">invested millions </w:t>
      </w:r>
      <w:r w:rsidR="00DF59E6">
        <w:t xml:space="preserve">of dollars </w:t>
      </w:r>
      <w:r w:rsidR="00972A50">
        <w:t xml:space="preserve">in choosing the right site, negotiating land rights, </w:t>
      </w:r>
      <w:r w:rsidR="00EC792C">
        <w:t xml:space="preserve">designing the facility, etc.  </w:t>
      </w:r>
      <w:r w:rsidR="00887CB0">
        <w:t xml:space="preserve">Site locations are not fungible and often </w:t>
      </w:r>
      <w:r w:rsidR="00DF59E6">
        <w:t xml:space="preserve">are determined based </w:t>
      </w:r>
      <w:r w:rsidR="00887CB0">
        <w:t xml:space="preserve">on proximity to certain resources, </w:t>
      </w:r>
      <w:r w:rsidR="005605CF">
        <w:t xml:space="preserve">pipelines, or other </w:t>
      </w:r>
      <w:r w:rsidR="007B5308">
        <w:t>services</w:t>
      </w:r>
      <w:r w:rsidR="005605CF">
        <w:t xml:space="preserve">.  </w:t>
      </w:r>
      <w:r w:rsidR="005534E0">
        <w:t xml:space="preserve">It will </w:t>
      </w:r>
      <w:r w:rsidR="007E255E">
        <w:t>undermine economic development in this state</w:t>
      </w:r>
      <w:r w:rsidR="00460F0F">
        <w:t xml:space="preserve"> i</w:t>
      </w:r>
      <w:r w:rsidR="00233624">
        <w:t xml:space="preserve">f the Load </w:t>
      </w:r>
      <w:r w:rsidR="00566F67">
        <w:t>l</w:t>
      </w:r>
      <w:r w:rsidR="00233624">
        <w:t xml:space="preserve">oss limit stops industrial </w:t>
      </w:r>
      <w:r w:rsidR="007B5308">
        <w:t>loads from interconnecting</w:t>
      </w:r>
      <w:r w:rsidR="00460F0F">
        <w:t xml:space="preserve"> at their preferred </w:t>
      </w:r>
      <w:r w:rsidR="00DF59E6">
        <w:t xml:space="preserve">(or even required) </w:t>
      </w:r>
      <w:r w:rsidR="00460F0F">
        <w:t>locations.</w:t>
      </w:r>
      <w:r w:rsidR="0049698C">
        <w:t xml:space="preserve">  </w:t>
      </w:r>
    </w:p>
    <w:p w14:paraId="7EFA22BF" w14:textId="2AF0973B" w:rsidR="00F94166" w:rsidRDefault="00414825" w:rsidP="006238FF">
      <w:pPr>
        <w:pStyle w:val="NormalArial"/>
        <w:spacing w:before="120" w:after="120"/>
        <w:jc w:val="both"/>
      </w:pPr>
      <w:r>
        <w:t xml:space="preserve">Additionally, this PGRR could </w:t>
      </w:r>
      <w:r w:rsidR="002145CC">
        <w:t xml:space="preserve">lead to transmission </w:t>
      </w:r>
      <w:proofErr w:type="gramStart"/>
      <w:r w:rsidR="002145CC">
        <w:t>overbuild</w:t>
      </w:r>
      <w:proofErr w:type="gramEnd"/>
      <w:r w:rsidR="00291126">
        <w:t xml:space="preserve"> because the Permian Basin </w:t>
      </w:r>
      <w:r w:rsidR="008F6F3A">
        <w:t>Reliability</w:t>
      </w:r>
      <w:r w:rsidR="00291126">
        <w:t xml:space="preserve"> Plan and the use of 765-</w:t>
      </w:r>
      <w:r w:rsidR="008F6F3A">
        <w:t xml:space="preserve">kV facilities is premised on serving the increased demand of </w:t>
      </w:r>
      <w:r w:rsidR="00106F00">
        <w:t>Large Loads</w:t>
      </w:r>
      <w:r w:rsidR="002145CC">
        <w:t xml:space="preserve">.  </w:t>
      </w:r>
      <w:r w:rsidR="00BD0C81">
        <w:t xml:space="preserve">The PUCT recently authorized </w:t>
      </w:r>
      <w:r w:rsidR="00DA2E9D">
        <w:t xml:space="preserve">the use of 765-kV facilities in the Permian Basin </w:t>
      </w:r>
      <w:r w:rsidR="00AE6625">
        <w:t xml:space="preserve">Reliability Plan </w:t>
      </w:r>
      <w:r w:rsidR="00DA2E9D">
        <w:t>based on the anticipated</w:t>
      </w:r>
      <w:r w:rsidR="00AD7797">
        <w:t xml:space="preserve"> load growth</w:t>
      </w:r>
      <w:r w:rsidR="00106F00">
        <w:t xml:space="preserve"> of Large Loads, including </w:t>
      </w:r>
      <w:r w:rsidR="00364B68">
        <w:t xml:space="preserve">over 7.5 GW of </w:t>
      </w:r>
      <w:r w:rsidR="00E672D4">
        <w:t>load associated with crypto facilities and data centers</w:t>
      </w:r>
      <w:r w:rsidR="00E7593E">
        <w:t>.</w:t>
      </w:r>
      <w:r w:rsidR="00E7593E">
        <w:rPr>
          <w:rStyle w:val="FootnoteReference"/>
        </w:rPr>
        <w:footnoteReference w:id="1"/>
      </w:r>
      <w:r w:rsidR="00E7593E">
        <w:t xml:space="preserve">  </w:t>
      </w:r>
      <w:r w:rsidR="00E7074E">
        <w:t xml:space="preserve">Even if </w:t>
      </w:r>
      <w:r w:rsidR="00E672D4">
        <w:t xml:space="preserve">the Load loss limit only affects power electronic loads, as ERCOT contends, </w:t>
      </w:r>
      <w:r w:rsidR="003405EC">
        <w:t>removing</w:t>
      </w:r>
      <w:r w:rsidR="00E672D4">
        <w:t xml:space="preserve"> </w:t>
      </w:r>
      <w:r w:rsidR="00A63A2C">
        <w:t xml:space="preserve">almost one third of the anticipated load </w:t>
      </w:r>
      <w:r w:rsidR="00BF2FFB">
        <w:t xml:space="preserve">may change the calculus of whether 765-kV facilities are necessary.  </w:t>
      </w:r>
      <w:r w:rsidR="006A2A47">
        <w:t>Furthe</w:t>
      </w:r>
      <w:r w:rsidR="00310041">
        <w:t xml:space="preserve">r, ERCOT’s RTP is similarly based on significant load growth across Texas, </w:t>
      </w:r>
      <w:r w:rsidR="00B8732F">
        <w:t xml:space="preserve">and </w:t>
      </w:r>
      <w:r w:rsidR="00903442">
        <w:t>78</w:t>
      </w:r>
      <w:r w:rsidR="000F5069">
        <w:t xml:space="preserve">% is associated with data </w:t>
      </w:r>
      <w:r w:rsidR="005931BA">
        <w:t xml:space="preserve">centers, </w:t>
      </w:r>
      <w:r w:rsidR="002018E4">
        <w:t>hydrogen</w:t>
      </w:r>
      <w:r w:rsidR="005931BA">
        <w:t xml:space="preserve"> and </w:t>
      </w:r>
      <w:r w:rsidR="002018E4">
        <w:t>hydrogen</w:t>
      </w:r>
      <w:r w:rsidR="005931BA">
        <w:t xml:space="preserve">-related manufacturing, </w:t>
      </w:r>
      <w:r w:rsidR="002018E4">
        <w:t>crypto mining</w:t>
      </w:r>
      <w:r w:rsidR="005931BA">
        <w:t>, and electrification</w:t>
      </w:r>
      <w:r w:rsidR="000F5069">
        <w:t>.</w:t>
      </w:r>
      <w:r w:rsidR="005931BA">
        <w:rPr>
          <w:rStyle w:val="FootnoteReference"/>
        </w:rPr>
        <w:footnoteReference w:id="2"/>
      </w:r>
      <w:r w:rsidR="000F5069">
        <w:t xml:space="preserve">  As such, this underscores the potential rate impact on customers if </w:t>
      </w:r>
      <w:r w:rsidR="0097796F">
        <w:t>TSPs are sizing facilities to meet ERCOT’s forecasted peak demand that may not materialize because of a moratorium on interconnections associated with the Load loss limit.</w:t>
      </w:r>
    </w:p>
    <w:p w14:paraId="0A802157" w14:textId="71663304" w:rsidR="00867969" w:rsidRDefault="00867969" w:rsidP="00867969">
      <w:pPr>
        <w:pStyle w:val="NormalArial"/>
        <w:spacing w:before="120" w:after="120"/>
        <w:jc w:val="both"/>
      </w:pPr>
      <w:r>
        <w:t xml:space="preserve">Further, ERCOT’s recent </w:t>
      </w:r>
      <w:r w:rsidR="007736B9">
        <w:t xml:space="preserve">draft </w:t>
      </w:r>
      <w:r>
        <w:t xml:space="preserve">comments </w:t>
      </w:r>
      <w:r w:rsidR="007736B9">
        <w:t xml:space="preserve">narrowing </w:t>
      </w:r>
      <w:r>
        <w:t xml:space="preserve">the Load loss limit to </w:t>
      </w:r>
      <w:r w:rsidR="007736B9">
        <w:t xml:space="preserve">only being considered in </w:t>
      </w:r>
      <w:r>
        <w:t xml:space="preserve">the LLIS process will not lead to effective solutions.  As described above, the Load loss limit will prohibit </w:t>
      </w:r>
      <w:r w:rsidR="007736B9">
        <w:t xml:space="preserve">new customer </w:t>
      </w:r>
      <w:r>
        <w:t xml:space="preserve">interconnections that cause </w:t>
      </w:r>
      <w:r w:rsidR="007736B9">
        <w:t xml:space="preserve">an aggregate </w:t>
      </w:r>
      <w:r>
        <w:t xml:space="preserve">Load loss to </w:t>
      </w:r>
      <w:r w:rsidR="007736B9">
        <w:t>exceed</w:t>
      </w:r>
      <w:r>
        <w:t xml:space="preserve"> 2,600 MW unless the interconnecting entity adjusts the design of its facility.  By only considering the limit as a part of LLIS, ERCOT’s comments impose </w:t>
      </w:r>
      <w:r w:rsidR="007736B9">
        <w:t xml:space="preserve">these new </w:t>
      </w:r>
      <w:r>
        <w:t xml:space="preserve">requirements on one interconnecting entity </w:t>
      </w:r>
      <w:r w:rsidR="007736B9">
        <w:t xml:space="preserve">at a time </w:t>
      </w:r>
      <w:r>
        <w:t>and ignore broader system solutions that could be more cost-effective.</w:t>
      </w:r>
      <w:r w:rsidRPr="00795DE8">
        <w:t xml:space="preserve"> </w:t>
      </w:r>
      <w:r>
        <w:t xml:space="preserve"> This is because if the cost is directly imposed on one customer, that customer will always take the smallest, least cost</w:t>
      </w:r>
      <w:r w:rsidR="005740F3">
        <w:t>ly</w:t>
      </w:r>
      <w:r>
        <w:t xml:space="preserve"> solution.  For example, if a 100 MW industrial facility had 10 MW of sensitive load that tripped offline causing the amount of Load loss to increase from 2,591 MW to 2,601 MW, the industrial facility would likely be prohibited from interconnecting unless it added equipment to cause its load to ride through.  In this example, the industrial facility would likely install just enough equipment to ensure it avoided causing</w:t>
      </w:r>
      <w:r w:rsidR="00542A56">
        <w:t xml:space="preserve"> at least</w:t>
      </w:r>
      <w:r>
        <w:t xml:space="preserve"> </w:t>
      </w:r>
      <w:r w:rsidR="00B80ED5">
        <w:t>2</w:t>
      </w:r>
      <w:r>
        <w:t xml:space="preserve"> MW of Load loss</w:t>
      </w:r>
      <w:r w:rsidR="00B80ED5">
        <w:t xml:space="preserve">, rather than installing equipment that </w:t>
      </w:r>
      <w:r w:rsidR="007736B9">
        <w:t xml:space="preserve">would </w:t>
      </w:r>
      <w:r w:rsidR="00542A56">
        <w:t>further reduce Load loss</w:t>
      </w:r>
      <w:r w:rsidR="00D615AC">
        <w:t xml:space="preserve"> below 2,600 MW</w:t>
      </w:r>
      <w:r w:rsidR="00542A56">
        <w:t xml:space="preserve">.  </w:t>
      </w:r>
      <w:r>
        <w:t xml:space="preserve">While this </w:t>
      </w:r>
      <w:r w:rsidR="007736B9">
        <w:lastRenderedPageBreak/>
        <w:t xml:space="preserve">solution </w:t>
      </w:r>
      <w:r>
        <w:t xml:space="preserve">would allow the system to operate within ERCOT’s parameters, it may not be the most efficient solution.  </w:t>
      </w:r>
      <w:r w:rsidR="00D615AC">
        <w:t>Instead, t</w:t>
      </w:r>
      <w:r>
        <w:t xml:space="preserve">here could be broader transmission </w:t>
      </w:r>
      <w:r w:rsidR="007736B9">
        <w:t xml:space="preserve">improvements </w:t>
      </w:r>
      <w:r>
        <w:t xml:space="preserve">that could benefit the nearby area and significantly reduce Load losses.  </w:t>
      </w:r>
      <w:r w:rsidR="00D615AC">
        <w:t>As this hypothetical demonstrates</w:t>
      </w:r>
      <w:r>
        <w:t xml:space="preserve">, when the Load Loss limit is only viewed in the context of LLIS, it overlooks solutions that could benefit the broader system.  </w:t>
      </w:r>
    </w:p>
    <w:p w14:paraId="60D78599" w14:textId="5324C9A8" w:rsidR="00276D63" w:rsidRDefault="00F94166" w:rsidP="006238FF">
      <w:pPr>
        <w:pStyle w:val="NormalArial"/>
        <w:spacing w:before="120" w:after="120"/>
        <w:jc w:val="both"/>
      </w:pPr>
      <w:r>
        <w:t xml:space="preserve">Although TIEC believes there must be more analysis </w:t>
      </w:r>
      <w:r w:rsidR="00D456AF">
        <w:t xml:space="preserve">and discussion before the Load loss limit is adopted, there </w:t>
      </w:r>
      <w:r w:rsidR="00276D63">
        <w:t>could be adjustments that would lessen the potential ramifications</w:t>
      </w:r>
      <w:r w:rsidR="00D615AC">
        <w:t xml:space="preserve"> of PGRR122</w:t>
      </w:r>
      <w:r w:rsidR="00276D63">
        <w:t>:</w:t>
      </w:r>
    </w:p>
    <w:p w14:paraId="614CB3C2" w14:textId="35897A9C" w:rsidR="00F94166" w:rsidRDefault="00E83941" w:rsidP="006238FF">
      <w:pPr>
        <w:pStyle w:val="NormalArial"/>
        <w:numPr>
          <w:ilvl w:val="0"/>
          <w:numId w:val="20"/>
        </w:numPr>
        <w:spacing w:before="120" w:after="120"/>
        <w:jc w:val="both"/>
      </w:pPr>
      <w:r w:rsidRPr="00E8640B">
        <w:rPr>
          <w:b/>
          <w:bCs/>
        </w:rPr>
        <w:t>Visibility</w:t>
      </w:r>
      <w:r w:rsidR="00480AF0" w:rsidRPr="00E8640B">
        <w:rPr>
          <w:b/>
          <w:bCs/>
        </w:rPr>
        <w:t xml:space="preserve"> </w:t>
      </w:r>
      <w:r w:rsidRPr="00E8640B">
        <w:rPr>
          <w:b/>
          <w:bCs/>
        </w:rPr>
        <w:t xml:space="preserve">into </w:t>
      </w:r>
      <w:r w:rsidR="00E8640B" w:rsidRPr="00E8640B">
        <w:rPr>
          <w:b/>
          <w:bCs/>
        </w:rPr>
        <w:t>M</w:t>
      </w:r>
      <w:r w:rsidRPr="00E8640B">
        <w:rPr>
          <w:b/>
          <w:bCs/>
        </w:rPr>
        <w:t xml:space="preserve">odeling </w:t>
      </w:r>
      <w:r w:rsidR="00E8640B" w:rsidRPr="00E8640B">
        <w:rPr>
          <w:b/>
          <w:bCs/>
        </w:rPr>
        <w:t>P</w:t>
      </w:r>
      <w:r w:rsidRPr="00E8640B">
        <w:rPr>
          <w:b/>
          <w:bCs/>
        </w:rPr>
        <w:t>arameters</w:t>
      </w:r>
      <w:r>
        <w:t xml:space="preserve">.  </w:t>
      </w:r>
      <w:r w:rsidR="00E8640B">
        <w:t>ERCOT has stated that the Load loss limit will only impact loads that trip in ERCOT and the TSP’s models.  If</w:t>
      </w:r>
      <w:r w:rsidR="00C7007B">
        <w:t xml:space="preserve"> ERCOT </w:t>
      </w:r>
      <w:r w:rsidR="00196AAE">
        <w:t>w</w:t>
      </w:r>
      <w:r w:rsidR="00C7007B">
        <w:t xml:space="preserve">ould codify or publish the parameters of its modeling, </w:t>
      </w:r>
      <w:r w:rsidR="008924E4">
        <w:t xml:space="preserve">developers could design their facilities </w:t>
      </w:r>
      <w:r w:rsidR="00962D68">
        <w:t xml:space="preserve">accordingly.  </w:t>
      </w:r>
      <w:r w:rsidR="00615C84">
        <w:t xml:space="preserve">This would </w:t>
      </w:r>
      <w:r w:rsidR="00BD1695">
        <w:t xml:space="preserve">help give loads more certainty that future developments would not be impacted.  </w:t>
      </w:r>
      <w:r w:rsidR="00962D68">
        <w:t xml:space="preserve">Notably, </w:t>
      </w:r>
      <w:r w:rsidR="003E01B3">
        <w:t xml:space="preserve">TIEC does not support </w:t>
      </w:r>
      <w:r w:rsidR="00156850">
        <w:t xml:space="preserve">reviving </w:t>
      </w:r>
      <w:r w:rsidR="002B64D5">
        <w:t>the voltage ride through requirements in NPRR1191 and PGRR111</w:t>
      </w:r>
      <w:r w:rsidR="004923D1">
        <w:t xml:space="preserve"> because </w:t>
      </w:r>
      <w:r w:rsidR="005572F2">
        <w:t xml:space="preserve">ERCOT does not have authority to </w:t>
      </w:r>
      <w:r w:rsidR="003A6726">
        <w:t xml:space="preserve">directly </w:t>
      </w:r>
      <w:r w:rsidR="005572F2">
        <w:t xml:space="preserve">impose requirements </w:t>
      </w:r>
      <w:r w:rsidR="003A6726">
        <w:t xml:space="preserve">on retail customers and the proposal in PGRR111 </w:t>
      </w:r>
      <w:r w:rsidR="000264BE">
        <w:t>presented technical, feasibility and cost issues for businesses.</w:t>
      </w:r>
    </w:p>
    <w:p w14:paraId="61E61D6E" w14:textId="31945F1C" w:rsidR="004923D1" w:rsidRDefault="00156850" w:rsidP="00092972">
      <w:pPr>
        <w:pStyle w:val="NormalArial"/>
        <w:numPr>
          <w:ilvl w:val="0"/>
          <w:numId w:val="20"/>
        </w:numPr>
        <w:spacing w:before="120" w:after="120"/>
        <w:jc w:val="both"/>
      </w:pPr>
      <w:r>
        <w:rPr>
          <w:b/>
          <w:bCs/>
        </w:rPr>
        <w:t>Requiring TSP Solutions</w:t>
      </w:r>
      <w:r>
        <w:t xml:space="preserve">.  </w:t>
      </w:r>
      <w:r w:rsidRPr="00801FA4">
        <w:t xml:space="preserve">As described above, one of the challenges with </w:t>
      </w:r>
      <w:r w:rsidR="00577E0E" w:rsidRPr="00801FA4">
        <w:t>PGRR</w:t>
      </w:r>
      <w:r w:rsidR="003A3840" w:rsidRPr="00801FA4">
        <w:t>122</w:t>
      </w:r>
      <w:r w:rsidR="00577E0E" w:rsidRPr="00801FA4">
        <w:t xml:space="preserve"> is that it </w:t>
      </w:r>
      <w:r w:rsidR="003A3840" w:rsidRPr="00801FA4">
        <w:t>may put a moratorium on interconnections</w:t>
      </w:r>
      <w:r w:rsidR="003A3840">
        <w:t xml:space="preserve"> because </w:t>
      </w:r>
      <w:r w:rsidR="009F0426">
        <w:t>the limitation would not be imposed on all planning studies</w:t>
      </w:r>
      <w:r w:rsidR="007A26B1">
        <w:t xml:space="preserve">.  If the </w:t>
      </w:r>
      <w:r w:rsidR="001B6530">
        <w:t>limitation</w:t>
      </w:r>
      <w:r w:rsidR="007A26B1">
        <w:t xml:space="preserve"> is only viewed </w:t>
      </w:r>
      <w:r w:rsidR="009F3A00">
        <w:t xml:space="preserve">from the perspective of a Large Load interconnection request, </w:t>
      </w:r>
      <w:r w:rsidR="00703515">
        <w:t>ERCOT and the TSP may not consider solutions that could have a broader</w:t>
      </w:r>
      <w:r w:rsidR="00615C84">
        <w:t xml:space="preserve"> system-wide benefit</w:t>
      </w:r>
      <w:r w:rsidR="001B6530">
        <w:t xml:space="preserve"> and mitigate the </w:t>
      </w:r>
      <w:r w:rsidR="00A96CA7">
        <w:t>Load losses in the region</w:t>
      </w:r>
      <w:r w:rsidR="00615C84">
        <w:t xml:space="preserve">.  </w:t>
      </w:r>
      <w:r w:rsidR="007A26B1">
        <w:t xml:space="preserve">As such, TIEC believes there should be language requiring the TSP to </w:t>
      </w:r>
      <w:r w:rsidR="00A96CA7">
        <w:t xml:space="preserve">provide the interconnecting entity with </w:t>
      </w:r>
      <w:r w:rsidR="00411E66">
        <w:t>potential transmission solutions if the Load loss limit is triggered.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EBE802E" w14:textId="77777777" w:rsidTr="00B5080A">
        <w:trPr>
          <w:trHeight w:val="350"/>
        </w:trPr>
        <w:tc>
          <w:tcPr>
            <w:tcW w:w="10440" w:type="dxa"/>
            <w:tcBorders>
              <w:bottom w:val="single" w:sz="4" w:space="0" w:color="auto"/>
            </w:tcBorders>
            <w:shd w:val="clear" w:color="auto" w:fill="FFFFFF"/>
            <w:vAlign w:val="center"/>
          </w:tcPr>
          <w:p w14:paraId="49A4B4F2" w14:textId="77777777" w:rsidR="00BD7258" w:rsidRDefault="00BD7258" w:rsidP="00B5080A">
            <w:pPr>
              <w:pStyle w:val="Header"/>
              <w:jc w:val="center"/>
            </w:pPr>
            <w:r>
              <w:t>Revised Cover Page Language</w:t>
            </w:r>
          </w:p>
        </w:tc>
      </w:tr>
    </w:tbl>
    <w:p w14:paraId="576C3AB4" w14:textId="45C9DF29" w:rsidR="00152993" w:rsidRDefault="00201A24" w:rsidP="00201A2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01A24" w14:paraId="7FD45AAE" w14:textId="77777777" w:rsidTr="007A23A8">
        <w:trPr>
          <w:trHeight w:val="350"/>
        </w:trPr>
        <w:tc>
          <w:tcPr>
            <w:tcW w:w="10440" w:type="dxa"/>
            <w:tcBorders>
              <w:bottom w:val="single" w:sz="4" w:space="0" w:color="auto"/>
            </w:tcBorders>
            <w:shd w:val="clear" w:color="auto" w:fill="FFFFFF"/>
            <w:vAlign w:val="center"/>
          </w:tcPr>
          <w:p w14:paraId="4FA81FAF" w14:textId="77777777" w:rsidR="00201A24" w:rsidRDefault="00201A24" w:rsidP="007A23A8">
            <w:pPr>
              <w:pStyle w:val="Header"/>
              <w:jc w:val="center"/>
            </w:pPr>
            <w:r>
              <w:t>Revised Proposed Protocol Language</w:t>
            </w:r>
          </w:p>
        </w:tc>
      </w:tr>
    </w:tbl>
    <w:p w14:paraId="379BDEDE" w14:textId="77777777" w:rsidR="0019621C" w:rsidRDefault="0019621C" w:rsidP="0019621C">
      <w:pPr>
        <w:pStyle w:val="NormalArial"/>
        <w:spacing w:before="120" w:after="120"/>
      </w:pPr>
      <w:r>
        <w:t>None</w:t>
      </w:r>
    </w:p>
    <w:p w14:paraId="175F05C9" w14:textId="70AF1133" w:rsidR="00286FFA" w:rsidRPr="00286FFA" w:rsidRDefault="00286FFA" w:rsidP="00286FFA">
      <w:pPr>
        <w:rPr>
          <w:vanish/>
        </w:rPr>
      </w:pPr>
    </w:p>
    <w:sectPr w:rsidR="00286FFA" w:rsidRPr="00286FFA"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FFC9" w14:textId="77777777" w:rsidR="00A03A19" w:rsidRDefault="00A03A19">
      <w:r>
        <w:separator/>
      </w:r>
    </w:p>
  </w:endnote>
  <w:endnote w:type="continuationSeparator" w:id="0">
    <w:p w14:paraId="77F7C5A7" w14:textId="77777777" w:rsidR="00A03A19" w:rsidRDefault="00A0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453F" w14:textId="3D74719F"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8B26F9">
      <w:rPr>
        <w:rFonts w:ascii="Arial" w:hAnsi="Arial"/>
        <w:noProof/>
        <w:sz w:val="18"/>
      </w:rPr>
      <w:t>122PGRR-08 TIEC Comments 051925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2DB559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E8C6" w14:textId="77777777" w:rsidR="00A03A19" w:rsidRDefault="00A03A19">
      <w:r>
        <w:separator/>
      </w:r>
    </w:p>
  </w:footnote>
  <w:footnote w:type="continuationSeparator" w:id="0">
    <w:p w14:paraId="00806768" w14:textId="77777777" w:rsidR="00A03A19" w:rsidRDefault="00A03A19">
      <w:r>
        <w:continuationSeparator/>
      </w:r>
    </w:p>
  </w:footnote>
  <w:footnote w:id="1">
    <w:p w14:paraId="60AF64D2" w14:textId="3F1AF270" w:rsidR="00E7593E" w:rsidRPr="00E7593E" w:rsidRDefault="00E7593E">
      <w:pPr>
        <w:pStyle w:val="FootnoteText"/>
      </w:pPr>
      <w:r>
        <w:rPr>
          <w:rStyle w:val="FootnoteReference"/>
        </w:rPr>
        <w:footnoteRef/>
      </w:r>
      <w:r>
        <w:t xml:space="preserve">  </w:t>
      </w:r>
      <w:r>
        <w:rPr>
          <w:i/>
          <w:iCs/>
        </w:rPr>
        <w:t xml:space="preserve">ERCOT Permian Basin Reliability Plan Study </w:t>
      </w:r>
      <w:r>
        <w:t>at 9</w:t>
      </w:r>
      <w:r w:rsidR="007814E6">
        <w:t xml:space="preserve">-10 (July 2024) (available at:  </w:t>
      </w:r>
      <w:hyperlink r:id="rId1" w:history="1">
        <w:r w:rsidR="007814E6" w:rsidRPr="001D28D5">
          <w:rPr>
            <w:rStyle w:val="Hyperlink"/>
          </w:rPr>
          <w:t>https://interchange.puc.texas.gov/Documents/55718_17_1414013.PDF</w:t>
        </w:r>
      </w:hyperlink>
      <w:r w:rsidR="007814E6">
        <w:t>) (showing that 11,695 MW are associated with non</w:t>
      </w:r>
      <w:r w:rsidR="00AB4068">
        <w:t xml:space="preserve">-oil </w:t>
      </w:r>
      <w:r w:rsidR="00E7074E">
        <w:t>and</w:t>
      </w:r>
      <w:r w:rsidR="00AB4068">
        <w:t xml:space="preserve"> gas load and </w:t>
      </w:r>
      <w:r w:rsidR="00E7074E">
        <w:t>65% of the non-oil and gas load is associated with crypto facilities and data centers).</w:t>
      </w:r>
      <w:r w:rsidR="007814E6">
        <w:t xml:space="preserve"> </w:t>
      </w:r>
      <w:r>
        <w:t xml:space="preserve"> </w:t>
      </w:r>
      <w:r w:rsidR="007814E6">
        <w:t xml:space="preserve"> </w:t>
      </w:r>
    </w:p>
  </w:footnote>
  <w:footnote w:id="2">
    <w:p w14:paraId="4827B672" w14:textId="3ED5CBA4" w:rsidR="005931BA" w:rsidRPr="007D3C6C" w:rsidRDefault="005931BA">
      <w:pPr>
        <w:pStyle w:val="FootnoteText"/>
      </w:pPr>
      <w:r>
        <w:rPr>
          <w:rStyle w:val="FootnoteReference"/>
        </w:rPr>
        <w:footnoteRef/>
      </w:r>
      <w:r>
        <w:t xml:space="preserve"> </w:t>
      </w:r>
      <w:r w:rsidR="005E175A">
        <w:t xml:space="preserve">Peak load in 2024 was 85.5 GW, so large load growth of 50 GW is 78% of total load growth of 64.5 GW.  </w:t>
      </w:r>
      <w:r w:rsidR="005E175A">
        <w:rPr>
          <w:i/>
          <w:iCs/>
        </w:rPr>
        <w:t xml:space="preserve">See </w:t>
      </w:r>
      <w:r w:rsidR="003E49D4">
        <w:t xml:space="preserve">ERCOT, </w:t>
      </w:r>
      <w:r w:rsidR="003E49D4">
        <w:rPr>
          <w:i/>
          <w:iCs/>
        </w:rPr>
        <w:t xml:space="preserve">2024 Regional Transmission Plan </w:t>
      </w:r>
      <w:r w:rsidR="007D3C6C">
        <w:rPr>
          <w:i/>
          <w:iCs/>
        </w:rPr>
        <w:t>345-kV Plan and Texas 765-kV Strategic Transmission Expansion Plan Comparison</w:t>
      </w:r>
      <w:r w:rsidR="007D3C6C">
        <w:t xml:space="preserve"> at ii</w:t>
      </w:r>
      <w:r w:rsidR="001755D7">
        <w:t xml:space="preserve"> (January 2025) (available at:</w:t>
      </w:r>
      <w:r w:rsidR="005E175A">
        <w:t xml:space="preserve"> </w:t>
      </w:r>
      <w:hyperlink r:id="rId2" w:history="1">
        <w:r w:rsidR="002018E4" w:rsidRPr="00FB3782">
          <w:rPr>
            <w:rStyle w:val="Hyperlink"/>
          </w:rPr>
          <w:t>https://www.ercot.com/files/docs/2025/01/27/2024-regional-transmission-plan-rtp-345-kv-plan-and-texas-765-kv-strategic-transmission-expans.pdf</w:t>
        </w:r>
      </w:hyperlink>
      <w:r w:rsidR="001755D7">
        <w:t>) (explaining that ERCOT projects 150 GW of peak load in 2030, of which 50 GW is from large load growth</w:t>
      </w:r>
      <w:r w:rsidR="005E175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AADF" w14:textId="2FB9418C" w:rsidR="00EE6681" w:rsidRDefault="00327791">
    <w:pPr>
      <w:pStyle w:val="Header"/>
      <w:jc w:val="center"/>
      <w:rPr>
        <w:sz w:val="32"/>
      </w:rPr>
    </w:pPr>
    <w:r>
      <w:rPr>
        <w:sz w:val="32"/>
      </w:rPr>
      <w:t>PGRR</w:t>
    </w:r>
    <w:r w:rsidR="00EE6681">
      <w:rPr>
        <w:sz w:val="32"/>
      </w:rPr>
      <w:t xml:space="preserve"> Comments</w:t>
    </w:r>
  </w:p>
  <w:p w14:paraId="1CC10F9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C355D"/>
    <w:multiLevelType w:val="hybridMultilevel"/>
    <w:tmpl w:val="C1E2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F71E3"/>
    <w:multiLevelType w:val="hybridMultilevel"/>
    <w:tmpl w:val="ADEE04B2"/>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9435C"/>
    <w:multiLevelType w:val="hybridMultilevel"/>
    <w:tmpl w:val="A9AA4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87652"/>
    <w:multiLevelType w:val="hybridMultilevel"/>
    <w:tmpl w:val="CD20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9"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89516">
    <w:abstractNumId w:val="0"/>
  </w:num>
  <w:num w:numId="2" w16cid:durableId="141508370">
    <w:abstractNumId w:val="17"/>
  </w:num>
  <w:num w:numId="3" w16cid:durableId="1144851581">
    <w:abstractNumId w:val="11"/>
  </w:num>
  <w:num w:numId="4" w16cid:durableId="1037895211">
    <w:abstractNumId w:val="1"/>
  </w:num>
  <w:num w:numId="5" w16cid:durableId="1110052642">
    <w:abstractNumId w:val="4"/>
  </w:num>
  <w:num w:numId="6" w16cid:durableId="755057426">
    <w:abstractNumId w:val="12"/>
  </w:num>
  <w:num w:numId="7" w16cid:durableId="1081414035">
    <w:abstractNumId w:val="15"/>
  </w:num>
  <w:num w:numId="8" w16cid:durableId="1922912840">
    <w:abstractNumId w:val="16"/>
  </w:num>
  <w:num w:numId="9" w16cid:durableId="1529368304">
    <w:abstractNumId w:val="5"/>
  </w:num>
  <w:num w:numId="10" w16cid:durableId="60757856">
    <w:abstractNumId w:val="13"/>
  </w:num>
  <w:num w:numId="11" w16cid:durableId="1714231784">
    <w:abstractNumId w:val="2"/>
  </w:num>
  <w:num w:numId="12" w16cid:durableId="2121795898">
    <w:abstractNumId w:val="18"/>
  </w:num>
  <w:num w:numId="13" w16cid:durableId="865873637">
    <w:abstractNumId w:val="10"/>
  </w:num>
  <w:num w:numId="14" w16cid:durableId="1097560582">
    <w:abstractNumId w:val="3"/>
  </w:num>
  <w:num w:numId="15" w16cid:durableId="285504948">
    <w:abstractNumId w:val="6"/>
  </w:num>
  <w:num w:numId="16" w16cid:durableId="1422533472">
    <w:abstractNumId w:val="19"/>
  </w:num>
  <w:num w:numId="17" w16cid:durableId="1493183138">
    <w:abstractNumId w:val="9"/>
  </w:num>
  <w:num w:numId="18" w16cid:durableId="946891078">
    <w:abstractNumId w:val="7"/>
  </w:num>
  <w:num w:numId="19" w16cid:durableId="913322436">
    <w:abstractNumId w:val="14"/>
  </w:num>
  <w:num w:numId="20" w16cid:durableId="764112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1BAF"/>
    <w:rsid w:val="000264BE"/>
    <w:rsid w:val="00033A7B"/>
    <w:rsid w:val="00037668"/>
    <w:rsid w:val="00044C66"/>
    <w:rsid w:val="0004594D"/>
    <w:rsid w:val="0004780E"/>
    <w:rsid w:val="00056624"/>
    <w:rsid w:val="0005770B"/>
    <w:rsid w:val="00074D2E"/>
    <w:rsid w:val="00075A94"/>
    <w:rsid w:val="00092972"/>
    <w:rsid w:val="000A0086"/>
    <w:rsid w:val="000A04E8"/>
    <w:rsid w:val="000A6A90"/>
    <w:rsid w:val="000B0C49"/>
    <w:rsid w:val="000B2CD5"/>
    <w:rsid w:val="000B5994"/>
    <w:rsid w:val="000B6A2B"/>
    <w:rsid w:val="000C1B0C"/>
    <w:rsid w:val="000C3EFC"/>
    <w:rsid w:val="000D7BE2"/>
    <w:rsid w:val="000E67C3"/>
    <w:rsid w:val="000F31DE"/>
    <w:rsid w:val="000F5069"/>
    <w:rsid w:val="00106F00"/>
    <w:rsid w:val="00132855"/>
    <w:rsid w:val="00132FBA"/>
    <w:rsid w:val="00140E9A"/>
    <w:rsid w:val="00140FB7"/>
    <w:rsid w:val="0014486F"/>
    <w:rsid w:val="00151C41"/>
    <w:rsid w:val="00152993"/>
    <w:rsid w:val="00156850"/>
    <w:rsid w:val="00161D66"/>
    <w:rsid w:val="00170297"/>
    <w:rsid w:val="00172B07"/>
    <w:rsid w:val="001755D7"/>
    <w:rsid w:val="0019621C"/>
    <w:rsid w:val="001969AC"/>
    <w:rsid w:val="00196AAE"/>
    <w:rsid w:val="001A227D"/>
    <w:rsid w:val="001A4663"/>
    <w:rsid w:val="001B6530"/>
    <w:rsid w:val="001C200C"/>
    <w:rsid w:val="001C6159"/>
    <w:rsid w:val="001D5D4E"/>
    <w:rsid w:val="001D69E2"/>
    <w:rsid w:val="001E030F"/>
    <w:rsid w:val="001E1C5E"/>
    <w:rsid w:val="001E2032"/>
    <w:rsid w:val="001E5DEC"/>
    <w:rsid w:val="001E6C13"/>
    <w:rsid w:val="001F0868"/>
    <w:rsid w:val="001F49F0"/>
    <w:rsid w:val="002007BE"/>
    <w:rsid w:val="00201837"/>
    <w:rsid w:val="002018E4"/>
    <w:rsid w:val="00201A24"/>
    <w:rsid w:val="00204273"/>
    <w:rsid w:val="00210E89"/>
    <w:rsid w:val="002145CC"/>
    <w:rsid w:val="00223B50"/>
    <w:rsid w:val="00231F81"/>
    <w:rsid w:val="00233624"/>
    <w:rsid w:val="00237001"/>
    <w:rsid w:val="00237C4E"/>
    <w:rsid w:val="00240364"/>
    <w:rsid w:val="00246B75"/>
    <w:rsid w:val="002534F1"/>
    <w:rsid w:val="00262823"/>
    <w:rsid w:val="00267A24"/>
    <w:rsid w:val="002706A8"/>
    <w:rsid w:val="00273401"/>
    <w:rsid w:val="00276D63"/>
    <w:rsid w:val="00286FFA"/>
    <w:rsid w:val="002906DF"/>
    <w:rsid w:val="00291126"/>
    <w:rsid w:val="002967E6"/>
    <w:rsid w:val="002A2D9B"/>
    <w:rsid w:val="002B2152"/>
    <w:rsid w:val="002B3524"/>
    <w:rsid w:val="002B3D8E"/>
    <w:rsid w:val="002B64D5"/>
    <w:rsid w:val="002B763B"/>
    <w:rsid w:val="002C3DA9"/>
    <w:rsid w:val="002C3FE7"/>
    <w:rsid w:val="002D54A1"/>
    <w:rsid w:val="002E0AB0"/>
    <w:rsid w:val="002F2BDD"/>
    <w:rsid w:val="002F387E"/>
    <w:rsid w:val="002F4CE4"/>
    <w:rsid w:val="003010C0"/>
    <w:rsid w:val="00303136"/>
    <w:rsid w:val="003034DB"/>
    <w:rsid w:val="00306A43"/>
    <w:rsid w:val="00310041"/>
    <w:rsid w:val="003173BD"/>
    <w:rsid w:val="00327791"/>
    <w:rsid w:val="00332A97"/>
    <w:rsid w:val="003405EC"/>
    <w:rsid w:val="003427C9"/>
    <w:rsid w:val="003507BE"/>
    <w:rsid w:val="00350C00"/>
    <w:rsid w:val="0035556C"/>
    <w:rsid w:val="00361895"/>
    <w:rsid w:val="00364B68"/>
    <w:rsid w:val="00366113"/>
    <w:rsid w:val="00384844"/>
    <w:rsid w:val="003A3840"/>
    <w:rsid w:val="003A5FC8"/>
    <w:rsid w:val="003A6726"/>
    <w:rsid w:val="003B1081"/>
    <w:rsid w:val="003C270C"/>
    <w:rsid w:val="003C33C4"/>
    <w:rsid w:val="003D0994"/>
    <w:rsid w:val="003D228D"/>
    <w:rsid w:val="003D3076"/>
    <w:rsid w:val="003E01B3"/>
    <w:rsid w:val="003E49D4"/>
    <w:rsid w:val="003F2F77"/>
    <w:rsid w:val="00402066"/>
    <w:rsid w:val="00404787"/>
    <w:rsid w:val="00411E66"/>
    <w:rsid w:val="00412569"/>
    <w:rsid w:val="004128C7"/>
    <w:rsid w:val="00413AB7"/>
    <w:rsid w:val="00414825"/>
    <w:rsid w:val="00423824"/>
    <w:rsid w:val="0043107E"/>
    <w:rsid w:val="0043567D"/>
    <w:rsid w:val="00443569"/>
    <w:rsid w:val="004450CB"/>
    <w:rsid w:val="0044680C"/>
    <w:rsid w:val="00457AE7"/>
    <w:rsid w:val="00460F0F"/>
    <w:rsid w:val="00461C88"/>
    <w:rsid w:val="004650FA"/>
    <w:rsid w:val="004701BB"/>
    <w:rsid w:val="00474FC2"/>
    <w:rsid w:val="00480AF0"/>
    <w:rsid w:val="004923D1"/>
    <w:rsid w:val="00495639"/>
    <w:rsid w:val="0049698C"/>
    <w:rsid w:val="00497066"/>
    <w:rsid w:val="004A216B"/>
    <w:rsid w:val="004B7262"/>
    <w:rsid w:val="004B7B90"/>
    <w:rsid w:val="004C0BAC"/>
    <w:rsid w:val="004D1EDC"/>
    <w:rsid w:val="004D69D3"/>
    <w:rsid w:val="004E2C19"/>
    <w:rsid w:val="004E46C1"/>
    <w:rsid w:val="004F6BFB"/>
    <w:rsid w:val="00500058"/>
    <w:rsid w:val="0050217E"/>
    <w:rsid w:val="00502C12"/>
    <w:rsid w:val="0051534C"/>
    <w:rsid w:val="0051741E"/>
    <w:rsid w:val="0051750A"/>
    <w:rsid w:val="00526A11"/>
    <w:rsid w:val="00530685"/>
    <w:rsid w:val="005323AE"/>
    <w:rsid w:val="005337CF"/>
    <w:rsid w:val="00533FA9"/>
    <w:rsid w:val="0053678B"/>
    <w:rsid w:val="0053682C"/>
    <w:rsid w:val="00542A56"/>
    <w:rsid w:val="00550E63"/>
    <w:rsid w:val="00551AE8"/>
    <w:rsid w:val="00552131"/>
    <w:rsid w:val="0055225B"/>
    <w:rsid w:val="005534E0"/>
    <w:rsid w:val="005572F2"/>
    <w:rsid w:val="00560442"/>
    <w:rsid w:val="005605CF"/>
    <w:rsid w:val="00566F67"/>
    <w:rsid w:val="0056710F"/>
    <w:rsid w:val="005740F3"/>
    <w:rsid w:val="005779D4"/>
    <w:rsid w:val="00577E0E"/>
    <w:rsid w:val="00585E8D"/>
    <w:rsid w:val="005931BA"/>
    <w:rsid w:val="00593249"/>
    <w:rsid w:val="005A22D7"/>
    <w:rsid w:val="005A66FB"/>
    <w:rsid w:val="005B11C6"/>
    <w:rsid w:val="005C7967"/>
    <w:rsid w:val="005D01FF"/>
    <w:rsid w:val="005D284C"/>
    <w:rsid w:val="005E175A"/>
    <w:rsid w:val="005F4258"/>
    <w:rsid w:val="00603AEA"/>
    <w:rsid w:val="00604512"/>
    <w:rsid w:val="00606DCB"/>
    <w:rsid w:val="00615C84"/>
    <w:rsid w:val="0062288B"/>
    <w:rsid w:val="006238FF"/>
    <w:rsid w:val="006306CA"/>
    <w:rsid w:val="00633E23"/>
    <w:rsid w:val="006557DF"/>
    <w:rsid w:val="00655C92"/>
    <w:rsid w:val="006715C3"/>
    <w:rsid w:val="00673B94"/>
    <w:rsid w:val="0067624B"/>
    <w:rsid w:val="00680AC6"/>
    <w:rsid w:val="00682269"/>
    <w:rsid w:val="006835D8"/>
    <w:rsid w:val="00690C53"/>
    <w:rsid w:val="00692DD9"/>
    <w:rsid w:val="00693547"/>
    <w:rsid w:val="006A2A47"/>
    <w:rsid w:val="006C27B9"/>
    <w:rsid w:val="006C316E"/>
    <w:rsid w:val="006D0F7C"/>
    <w:rsid w:val="006D3344"/>
    <w:rsid w:val="006D5888"/>
    <w:rsid w:val="006D741D"/>
    <w:rsid w:val="0070178B"/>
    <w:rsid w:val="00703515"/>
    <w:rsid w:val="00704C63"/>
    <w:rsid w:val="0070502D"/>
    <w:rsid w:val="0071526C"/>
    <w:rsid w:val="007269C4"/>
    <w:rsid w:val="007366A9"/>
    <w:rsid w:val="0074209E"/>
    <w:rsid w:val="00771C71"/>
    <w:rsid w:val="007736B9"/>
    <w:rsid w:val="007814E6"/>
    <w:rsid w:val="00782753"/>
    <w:rsid w:val="007936F3"/>
    <w:rsid w:val="00795DE8"/>
    <w:rsid w:val="007A26B1"/>
    <w:rsid w:val="007B34AF"/>
    <w:rsid w:val="007B5308"/>
    <w:rsid w:val="007D17CB"/>
    <w:rsid w:val="007D3C6C"/>
    <w:rsid w:val="007E255E"/>
    <w:rsid w:val="007E39D2"/>
    <w:rsid w:val="007F2CA8"/>
    <w:rsid w:val="007F35C6"/>
    <w:rsid w:val="007F7161"/>
    <w:rsid w:val="00801FA4"/>
    <w:rsid w:val="00831713"/>
    <w:rsid w:val="0083502F"/>
    <w:rsid w:val="0085559E"/>
    <w:rsid w:val="0085591D"/>
    <w:rsid w:val="00860599"/>
    <w:rsid w:val="0086081B"/>
    <w:rsid w:val="00867969"/>
    <w:rsid w:val="00880120"/>
    <w:rsid w:val="008825A4"/>
    <w:rsid w:val="0088785B"/>
    <w:rsid w:val="00887CB0"/>
    <w:rsid w:val="008924E4"/>
    <w:rsid w:val="008968C5"/>
    <w:rsid w:val="00896B1B"/>
    <w:rsid w:val="008A4683"/>
    <w:rsid w:val="008B26F9"/>
    <w:rsid w:val="008B429C"/>
    <w:rsid w:val="008C6BDC"/>
    <w:rsid w:val="008D4CF7"/>
    <w:rsid w:val="008E559E"/>
    <w:rsid w:val="008E7495"/>
    <w:rsid w:val="008F6F3A"/>
    <w:rsid w:val="00902C95"/>
    <w:rsid w:val="00903442"/>
    <w:rsid w:val="00907265"/>
    <w:rsid w:val="00916080"/>
    <w:rsid w:val="00921A68"/>
    <w:rsid w:val="00922249"/>
    <w:rsid w:val="0092600E"/>
    <w:rsid w:val="00933B51"/>
    <w:rsid w:val="00940252"/>
    <w:rsid w:val="009512B0"/>
    <w:rsid w:val="00954731"/>
    <w:rsid w:val="00962D68"/>
    <w:rsid w:val="00970982"/>
    <w:rsid w:val="00972A50"/>
    <w:rsid w:val="0097796F"/>
    <w:rsid w:val="00991427"/>
    <w:rsid w:val="009A2964"/>
    <w:rsid w:val="009B0508"/>
    <w:rsid w:val="009B5287"/>
    <w:rsid w:val="009E34AC"/>
    <w:rsid w:val="009E664A"/>
    <w:rsid w:val="009F0426"/>
    <w:rsid w:val="009F3A00"/>
    <w:rsid w:val="009F50EC"/>
    <w:rsid w:val="009F703D"/>
    <w:rsid w:val="00A015C4"/>
    <w:rsid w:val="00A03A19"/>
    <w:rsid w:val="00A060B1"/>
    <w:rsid w:val="00A06612"/>
    <w:rsid w:val="00A07D58"/>
    <w:rsid w:val="00A1193C"/>
    <w:rsid w:val="00A15172"/>
    <w:rsid w:val="00A30C54"/>
    <w:rsid w:val="00A46FD6"/>
    <w:rsid w:val="00A553BA"/>
    <w:rsid w:val="00A62626"/>
    <w:rsid w:val="00A63A2C"/>
    <w:rsid w:val="00A65A86"/>
    <w:rsid w:val="00A704CF"/>
    <w:rsid w:val="00A750AE"/>
    <w:rsid w:val="00A813FF"/>
    <w:rsid w:val="00A82894"/>
    <w:rsid w:val="00A94333"/>
    <w:rsid w:val="00A96CA7"/>
    <w:rsid w:val="00A97C4D"/>
    <w:rsid w:val="00AA3F48"/>
    <w:rsid w:val="00AA6968"/>
    <w:rsid w:val="00AA7A7F"/>
    <w:rsid w:val="00AB19AA"/>
    <w:rsid w:val="00AB2982"/>
    <w:rsid w:val="00AB3FCF"/>
    <w:rsid w:val="00AB4068"/>
    <w:rsid w:val="00AC4570"/>
    <w:rsid w:val="00AC54F0"/>
    <w:rsid w:val="00AD36C3"/>
    <w:rsid w:val="00AD7797"/>
    <w:rsid w:val="00AE4885"/>
    <w:rsid w:val="00AE6625"/>
    <w:rsid w:val="00AF63B0"/>
    <w:rsid w:val="00B1025B"/>
    <w:rsid w:val="00B21D8B"/>
    <w:rsid w:val="00B279F3"/>
    <w:rsid w:val="00B3057F"/>
    <w:rsid w:val="00B327CD"/>
    <w:rsid w:val="00B32C42"/>
    <w:rsid w:val="00B35D5E"/>
    <w:rsid w:val="00B41A96"/>
    <w:rsid w:val="00B46FD9"/>
    <w:rsid w:val="00B502E4"/>
    <w:rsid w:val="00B5080A"/>
    <w:rsid w:val="00B56F8F"/>
    <w:rsid w:val="00B60512"/>
    <w:rsid w:val="00B80ED5"/>
    <w:rsid w:val="00B8732F"/>
    <w:rsid w:val="00B943AE"/>
    <w:rsid w:val="00BA0FCF"/>
    <w:rsid w:val="00BA2510"/>
    <w:rsid w:val="00BB07CB"/>
    <w:rsid w:val="00BC387B"/>
    <w:rsid w:val="00BC4D00"/>
    <w:rsid w:val="00BD0C81"/>
    <w:rsid w:val="00BD1695"/>
    <w:rsid w:val="00BD59B9"/>
    <w:rsid w:val="00BD7258"/>
    <w:rsid w:val="00BE0FDF"/>
    <w:rsid w:val="00BE5210"/>
    <w:rsid w:val="00BF2FFB"/>
    <w:rsid w:val="00BF47BD"/>
    <w:rsid w:val="00C00406"/>
    <w:rsid w:val="00C035D1"/>
    <w:rsid w:val="00C0598D"/>
    <w:rsid w:val="00C0789D"/>
    <w:rsid w:val="00C11956"/>
    <w:rsid w:val="00C24BF0"/>
    <w:rsid w:val="00C25D31"/>
    <w:rsid w:val="00C4611F"/>
    <w:rsid w:val="00C469DF"/>
    <w:rsid w:val="00C47DAF"/>
    <w:rsid w:val="00C52BFF"/>
    <w:rsid w:val="00C602E5"/>
    <w:rsid w:val="00C7007B"/>
    <w:rsid w:val="00C748FD"/>
    <w:rsid w:val="00C90DFB"/>
    <w:rsid w:val="00CA0139"/>
    <w:rsid w:val="00CA2B1C"/>
    <w:rsid w:val="00CC15C9"/>
    <w:rsid w:val="00CE1005"/>
    <w:rsid w:val="00D04598"/>
    <w:rsid w:val="00D21E33"/>
    <w:rsid w:val="00D239F7"/>
    <w:rsid w:val="00D312C3"/>
    <w:rsid w:val="00D31871"/>
    <w:rsid w:val="00D4046E"/>
    <w:rsid w:val="00D4099F"/>
    <w:rsid w:val="00D4362F"/>
    <w:rsid w:val="00D456AF"/>
    <w:rsid w:val="00D51761"/>
    <w:rsid w:val="00D615AC"/>
    <w:rsid w:val="00D62E70"/>
    <w:rsid w:val="00D779A6"/>
    <w:rsid w:val="00D80FA9"/>
    <w:rsid w:val="00D86467"/>
    <w:rsid w:val="00D86BC4"/>
    <w:rsid w:val="00DA2E9D"/>
    <w:rsid w:val="00DB5BB8"/>
    <w:rsid w:val="00DC1033"/>
    <w:rsid w:val="00DD4739"/>
    <w:rsid w:val="00DD4EE7"/>
    <w:rsid w:val="00DE5EDB"/>
    <w:rsid w:val="00DE5F33"/>
    <w:rsid w:val="00DF59E6"/>
    <w:rsid w:val="00E05ABD"/>
    <w:rsid w:val="00E07B54"/>
    <w:rsid w:val="00E11F78"/>
    <w:rsid w:val="00E1336E"/>
    <w:rsid w:val="00E13DE6"/>
    <w:rsid w:val="00E16297"/>
    <w:rsid w:val="00E251EA"/>
    <w:rsid w:val="00E36209"/>
    <w:rsid w:val="00E4615D"/>
    <w:rsid w:val="00E46950"/>
    <w:rsid w:val="00E54E0A"/>
    <w:rsid w:val="00E621E1"/>
    <w:rsid w:val="00E672D4"/>
    <w:rsid w:val="00E7074E"/>
    <w:rsid w:val="00E7593E"/>
    <w:rsid w:val="00E83941"/>
    <w:rsid w:val="00E8640B"/>
    <w:rsid w:val="00EA1C90"/>
    <w:rsid w:val="00EC2D87"/>
    <w:rsid w:val="00EC55B3"/>
    <w:rsid w:val="00EC792C"/>
    <w:rsid w:val="00EC7BDE"/>
    <w:rsid w:val="00ED12AF"/>
    <w:rsid w:val="00ED20F9"/>
    <w:rsid w:val="00ED2C58"/>
    <w:rsid w:val="00EE5202"/>
    <w:rsid w:val="00EE6681"/>
    <w:rsid w:val="00EF0484"/>
    <w:rsid w:val="00EF6304"/>
    <w:rsid w:val="00F0427C"/>
    <w:rsid w:val="00F10922"/>
    <w:rsid w:val="00F15932"/>
    <w:rsid w:val="00F4168E"/>
    <w:rsid w:val="00F43BD6"/>
    <w:rsid w:val="00F55B26"/>
    <w:rsid w:val="00F720AB"/>
    <w:rsid w:val="00F72A9A"/>
    <w:rsid w:val="00F92350"/>
    <w:rsid w:val="00F94166"/>
    <w:rsid w:val="00F95FA0"/>
    <w:rsid w:val="00F96FB2"/>
    <w:rsid w:val="00FB0F94"/>
    <w:rsid w:val="00FB51D8"/>
    <w:rsid w:val="00FB717C"/>
    <w:rsid w:val="00FB7A73"/>
    <w:rsid w:val="00FD08E8"/>
    <w:rsid w:val="00FD50BC"/>
    <w:rsid w:val="00FD7985"/>
    <w:rsid w:val="00FE30F9"/>
    <w:rsid w:val="00FF082A"/>
    <w:rsid w:val="00FF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D0B4A"/>
  <w15:chartTrackingRefBased/>
  <w15:docId w15:val="{164D8850-0859-4E07-AFEB-27A2494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967E6"/>
    <w:rPr>
      <w:color w:val="605E5C"/>
      <w:shd w:val="clear" w:color="auto" w:fill="E1DFDD"/>
    </w:rPr>
  </w:style>
  <w:style w:type="paragraph" w:styleId="Revision">
    <w:name w:val="Revision"/>
    <w:hidden/>
    <w:uiPriority w:val="99"/>
    <w:semiHidden/>
    <w:rsid w:val="00A060B1"/>
    <w:rPr>
      <w:sz w:val="24"/>
      <w:szCs w:val="24"/>
    </w:rPr>
  </w:style>
  <w:style w:type="paragraph" w:styleId="FootnoteText">
    <w:name w:val="footnote text"/>
    <w:basedOn w:val="Normal"/>
    <w:link w:val="FootnoteTextChar"/>
    <w:rsid w:val="002F4CE4"/>
    <w:rPr>
      <w:sz w:val="20"/>
      <w:szCs w:val="20"/>
    </w:rPr>
  </w:style>
  <w:style w:type="character" w:customStyle="1" w:styleId="FootnoteTextChar">
    <w:name w:val="Footnote Text Char"/>
    <w:basedOn w:val="DefaultParagraphFont"/>
    <w:link w:val="FootnoteText"/>
    <w:rsid w:val="002F4CE4"/>
  </w:style>
  <w:style w:type="character" w:styleId="FootnoteReference">
    <w:name w:val="footnote reference"/>
    <w:rsid w:val="002F4CE4"/>
    <w:rPr>
      <w:vertAlign w:val="superscript"/>
    </w:rPr>
  </w:style>
  <w:style w:type="table" w:customStyle="1" w:styleId="BoxedLanguage">
    <w:name w:val="Boxed Language"/>
    <w:basedOn w:val="TableNormal"/>
    <w:rsid w:val="003507B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3507BE"/>
    <w:pPr>
      <w:numPr>
        <w:numId w:val="4"/>
      </w:numPr>
      <w:tabs>
        <w:tab w:val="clear" w:pos="360"/>
        <w:tab w:val="num" w:pos="432"/>
      </w:tabs>
      <w:spacing w:after="180"/>
      <w:ind w:left="432" w:hanging="432"/>
    </w:pPr>
    <w:rPr>
      <w:szCs w:val="20"/>
    </w:rPr>
  </w:style>
  <w:style w:type="paragraph" w:customStyle="1" w:styleId="Formula">
    <w:name w:val="Formula"/>
    <w:basedOn w:val="Normal"/>
    <w:autoRedefine/>
    <w:rsid w:val="003507BE"/>
    <w:pPr>
      <w:tabs>
        <w:tab w:val="left" w:pos="2340"/>
        <w:tab w:val="left" w:pos="3420"/>
      </w:tabs>
      <w:spacing w:after="240"/>
      <w:ind w:left="3420" w:hanging="2700"/>
    </w:pPr>
    <w:rPr>
      <w:bCs/>
    </w:rPr>
  </w:style>
  <w:style w:type="paragraph" w:customStyle="1" w:styleId="FormulaBold">
    <w:name w:val="Formula Bold"/>
    <w:basedOn w:val="Normal"/>
    <w:autoRedefine/>
    <w:rsid w:val="003507BE"/>
    <w:pPr>
      <w:tabs>
        <w:tab w:val="left" w:pos="2340"/>
        <w:tab w:val="left" w:pos="3420"/>
      </w:tabs>
      <w:spacing w:after="240"/>
      <w:ind w:left="3420" w:hanging="2700"/>
    </w:pPr>
    <w:rPr>
      <w:b/>
      <w:bCs/>
    </w:rPr>
  </w:style>
  <w:style w:type="table" w:customStyle="1" w:styleId="FormulaVariableTable">
    <w:name w:val="Formula Variable Table"/>
    <w:basedOn w:val="TableNormal"/>
    <w:rsid w:val="003507B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3507BE"/>
    <w:pPr>
      <w:numPr>
        <w:ilvl w:val="0"/>
        <w:numId w:val="0"/>
      </w:numPr>
      <w:tabs>
        <w:tab w:val="left" w:pos="900"/>
      </w:tabs>
      <w:ind w:left="900" w:hanging="900"/>
    </w:pPr>
  </w:style>
  <w:style w:type="paragraph" w:customStyle="1" w:styleId="H3">
    <w:name w:val="H3"/>
    <w:basedOn w:val="Heading3"/>
    <w:next w:val="BodyText"/>
    <w:link w:val="H3Char"/>
    <w:rsid w:val="003507BE"/>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3507BE"/>
    <w:pPr>
      <w:numPr>
        <w:ilvl w:val="0"/>
        <w:numId w:val="0"/>
      </w:numPr>
      <w:tabs>
        <w:tab w:val="left" w:pos="1260"/>
      </w:tabs>
      <w:spacing w:before="240"/>
      <w:ind w:left="1260" w:hanging="1260"/>
    </w:pPr>
  </w:style>
  <w:style w:type="paragraph" w:customStyle="1" w:styleId="H5">
    <w:name w:val="H5"/>
    <w:basedOn w:val="Heading5"/>
    <w:next w:val="BodyText"/>
    <w:rsid w:val="003507BE"/>
    <w:pPr>
      <w:keepNext/>
      <w:tabs>
        <w:tab w:val="left" w:pos="1620"/>
      </w:tabs>
      <w:spacing w:after="240"/>
      <w:ind w:left="1620" w:hanging="1620"/>
    </w:pPr>
    <w:rPr>
      <w:bCs/>
      <w:iCs/>
      <w:sz w:val="24"/>
      <w:szCs w:val="26"/>
    </w:rPr>
  </w:style>
  <w:style w:type="paragraph" w:customStyle="1" w:styleId="H6">
    <w:name w:val="H6"/>
    <w:basedOn w:val="Heading6"/>
    <w:next w:val="BodyText"/>
    <w:rsid w:val="003507BE"/>
    <w:pPr>
      <w:keepNext/>
      <w:tabs>
        <w:tab w:val="left" w:pos="1800"/>
      </w:tabs>
      <w:spacing w:after="240"/>
      <w:ind w:left="1800" w:hanging="1800"/>
    </w:pPr>
    <w:rPr>
      <w:bCs/>
      <w:sz w:val="24"/>
      <w:szCs w:val="22"/>
    </w:rPr>
  </w:style>
  <w:style w:type="paragraph" w:customStyle="1" w:styleId="H7">
    <w:name w:val="H7"/>
    <w:basedOn w:val="Heading7"/>
    <w:next w:val="BodyText"/>
    <w:rsid w:val="003507BE"/>
    <w:pPr>
      <w:keepNext/>
      <w:tabs>
        <w:tab w:val="left" w:pos="1980"/>
      </w:tabs>
      <w:spacing w:after="240"/>
      <w:ind w:left="1980" w:hanging="1980"/>
    </w:pPr>
    <w:rPr>
      <w:b/>
      <w:i/>
      <w:szCs w:val="24"/>
    </w:rPr>
  </w:style>
  <w:style w:type="paragraph" w:customStyle="1" w:styleId="H8">
    <w:name w:val="H8"/>
    <w:basedOn w:val="Heading8"/>
    <w:next w:val="BodyText"/>
    <w:rsid w:val="003507BE"/>
    <w:pPr>
      <w:keepNext/>
      <w:tabs>
        <w:tab w:val="left" w:pos="2160"/>
      </w:tabs>
      <w:spacing w:after="240"/>
      <w:ind w:left="2160" w:hanging="2160"/>
    </w:pPr>
    <w:rPr>
      <w:b/>
      <w:i w:val="0"/>
      <w:iCs/>
      <w:szCs w:val="24"/>
    </w:rPr>
  </w:style>
  <w:style w:type="paragraph" w:customStyle="1" w:styleId="H9">
    <w:name w:val="H9"/>
    <w:basedOn w:val="Heading9"/>
    <w:next w:val="BodyText"/>
    <w:rsid w:val="003507BE"/>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3507BE"/>
    <w:pPr>
      <w:keepNext/>
      <w:spacing w:before="240" w:after="240"/>
    </w:pPr>
    <w:rPr>
      <w:b/>
      <w:iCs/>
      <w:szCs w:val="20"/>
    </w:rPr>
  </w:style>
  <w:style w:type="paragraph" w:customStyle="1" w:styleId="Instructions">
    <w:name w:val="Instructions"/>
    <w:basedOn w:val="BodyText"/>
    <w:rsid w:val="003507BE"/>
    <w:pPr>
      <w:spacing w:before="0" w:after="240"/>
    </w:pPr>
    <w:rPr>
      <w:b/>
      <w:i/>
      <w:iCs/>
    </w:rPr>
  </w:style>
  <w:style w:type="paragraph" w:styleId="List">
    <w:name w:val="List"/>
    <w:aliases w:val=" Char2 Char Char Char Char, Char2 Char"/>
    <w:basedOn w:val="Normal"/>
    <w:link w:val="ListChar"/>
    <w:rsid w:val="003507BE"/>
    <w:pPr>
      <w:spacing w:after="240"/>
      <w:ind w:left="720" w:hanging="720"/>
    </w:pPr>
    <w:rPr>
      <w:szCs w:val="20"/>
    </w:rPr>
  </w:style>
  <w:style w:type="paragraph" w:styleId="List2">
    <w:name w:val="List 2"/>
    <w:aliases w:val=" Char2,Char2 Char Char"/>
    <w:basedOn w:val="Normal"/>
    <w:link w:val="List2Char"/>
    <w:rsid w:val="003507BE"/>
    <w:pPr>
      <w:spacing w:after="240"/>
      <w:ind w:left="1440" w:hanging="720"/>
    </w:pPr>
    <w:rPr>
      <w:szCs w:val="20"/>
    </w:rPr>
  </w:style>
  <w:style w:type="paragraph" w:styleId="List3">
    <w:name w:val="List 3"/>
    <w:basedOn w:val="Normal"/>
    <w:rsid w:val="003507BE"/>
    <w:pPr>
      <w:spacing w:after="240"/>
      <w:ind w:left="2160" w:hanging="720"/>
    </w:pPr>
    <w:rPr>
      <w:szCs w:val="20"/>
    </w:rPr>
  </w:style>
  <w:style w:type="paragraph" w:customStyle="1" w:styleId="ListIntroduction">
    <w:name w:val="List Introduction"/>
    <w:basedOn w:val="BodyText"/>
    <w:rsid w:val="003507BE"/>
    <w:pPr>
      <w:keepNext/>
      <w:spacing w:before="0" w:after="240"/>
    </w:pPr>
    <w:rPr>
      <w:iCs/>
      <w:szCs w:val="20"/>
    </w:rPr>
  </w:style>
  <w:style w:type="paragraph" w:customStyle="1" w:styleId="ListSub">
    <w:name w:val="List Sub"/>
    <w:basedOn w:val="List"/>
    <w:rsid w:val="003507BE"/>
    <w:pPr>
      <w:ind w:firstLine="0"/>
    </w:pPr>
  </w:style>
  <w:style w:type="character" w:styleId="PageNumber">
    <w:name w:val="page number"/>
    <w:basedOn w:val="DefaultParagraphFont"/>
    <w:rsid w:val="003507BE"/>
  </w:style>
  <w:style w:type="paragraph" w:customStyle="1" w:styleId="Spaceafterbox">
    <w:name w:val="Space after box"/>
    <w:basedOn w:val="Normal"/>
    <w:rsid w:val="003507BE"/>
    <w:rPr>
      <w:szCs w:val="20"/>
    </w:rPr>
  </w:style>
  <w:style w:type="paragraph" w:customStyle="1" w:styleId="TableBody">
    <w:name w:val="Table Body"/>
    <w:basedOn w:val="BodyText"/>
    <w:rsid w:val="003507BE"/>
    <w:pPr>
      <w:spacing w:before="0" w:after="60"/>
    </w:pPr>
    <w:rPr>
      <w:iCs/>
      <w:sz w:val="20"/>
      <w:szCs w:val="20"/>
    </w:rPr>
  </w:style>
  <w:style w:type="paragraph" w:customStyle="1" w:styleId="TableBullet">
    <w:name w:val="Table Bullet"/>
    <w:basedOn w:val="TableBody"/>
    <w:rsid w:val="003507BE"/>
    <w:pPr>
      <w:numPr>
        <w:numId w:val="5"/>
      </w:numPr>
      <w:ind w:left="0" w:firstLine="0"/>
    </w:pPr>
  </w:style>
  <w:style w:type="paragraph" w:customStyle="1" w:styleId="TableHead">
    <w:name w:val="Table Head"/>
    <w:basedOn w:val="BodyText"/>
    <w:rsid w:val="003507BE"/>
    <w:pPr>
      <w:spacing w:before="0" w:after="240"/>
    </w:pPr>
    <w:rPr>
      <w:b/>
      <w:iCs/>
      <w:sz w:val="20"/>
      <w:szCs w:val="20"/>
    </w:rPr>
  </w:style>
  <w:style w:type="paragraph" w:styleId="TOC1">
    <w:name w:val="toc 1"/>
    <w:basedOn w:val="Normal"/>
    <w:next w:val="Normal"/>
    <w:autoRedefine/>
    <w:rsid w:val="003507BE"/>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3507BE"/>
    <w:pPr>
      <w:tabs>
        <w:tab w:val="left" w:pos="1260"/>
        <w:tab w:val="right" w:leader="dot" w:pos="9360"/>
      </w:tabs>
      <w:ind w:left="1260" w:right="720" w:hanging="720"/>
    </w:pPr>
    <w:rPr>
      <w:sz w:val="20"/>
      <w:szCs w:val="20"/>
    </w:rPr>
  </w:style>
  <w:style w:type="paragraph" w:styleId="TOC3">
    <w:name w:val="toc 3"/>
    <w:basedOn w:val="Normal"/>
    <w:next w:val="Normal"/>
    <w:autoRedefine/>
    <w:rsid w:val="003507BE"/>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3507BE"/>
    <w:pPr>
      <w:tabs>
        <w:tab w:val="left" w:pos="2700"/>
        <w:tab w:val="right" w:leader="dot" w:pos="9360"/>
      </w:tabs>
      <w:ind w:left="2700" w:right="720" w:hanging="1080"/>
    </w:pPr>
    <w:rPr>
      <w:sz w:val="18"/>
      <w:szCs w:val="18"/>
    </w:rPr>
  </w:style>
  <w:style w:type="paragraph" w:styleId="TOC5">
    <w:name w:val="toc 5"/>
    <w:basedOn w:val="Normal"/>
    <w:next w:val="Normal"/>
    <w:autoRedefine/>
    <w:rsid w:val="003507BE"/>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3507BE"/>
    <w:pPr>
      <w:tabs>
        <w:tab w:val="left" w:pos="4500"/>
        <w:tab w:val="right" w:leader="dot" w:pos="9360"/>
      </w:tabs>
      <w:ind w:left="4500" w:right="720" w:hanging="1440"/>
    </w:pPr>
    <w:rPr>
      <w:sz w:val="18"/>
      <w:szCs w:val="18"/>
    </w:rPr>
  </w:style>
  <w:style w:type="paragraph" w:styleId="TOC7">
    <w:name w:val="toc 7"/>
    <w:basedOn w:val="Normal"/>
    <w:next w:val="Normal"/>
    <w:autoRedefine/>
    <w:rsid w:val="003507BE"/>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3507BE"/>
    <w:pPr>
      <w:ind w:left="1680"/>
    </w:pPr>
    <w:rPr>
      <w:sz w:val="18"/>
      <w:szCs w:val="18"/>
    </w:rPr>
  </w:style>
  <w:style w:type="paragraph" w:styleId="TOC9">
    <w:name w:val="toc 9"/>
    <w:basedOn w:val="Normal"/>
    <w:next w:val="Normal"/>
    <w:autoRedefine/>
    <w:rsid w:val="003507BE"/>
    <w:pPr>
      <w:ind w:left="1920"/>
    </w:pPr>
    <w:rPr>
      <w:sz w:val="18"/>
      <w:szCs w:val="18"/>
    </w:rPr>
  </w:style>
  <w:style w:type="paragraph" w:customStyle="1" w:styleId="VariableDefinition">
    <w:name w:val="Variable Definition"/>
    <w:basedOn w:val="BodyTextIndent"/>
    <w:rsid w:val="003507BE"/>
    <w:pPr>
      <w:tabs>
        <w:tab w:val="left" w:pos="2160"/>
      </w:tabs>
      <w:spacing w:before="0" w:after="240"/>
      <w:ind w:left="2160" w:hanging="1440"/>
      <w:contextualSpacing/>
    </w:pPr>
    <w:rPr>
      <w:iCs/>
      <w:szCs w:val="20"/>
    </w:rPr>
  </w:style>
  <w:style w:type="table" w:customStyle="1" w:styleId="VariableTable">
    <w:name w:val="Variable Table"/>
    <w:basedOn w:val="TableNormal"/>
    <w:rsid w:val="003507BE"/>
    <w:tblPr/>
  </w:style>
  <w:style w:type="character" w:customStyle="1" w:styleId="NormalArialChar">
    <w:name w:val="Normal+Arial Char"/>
    <w:link w:val="NormalArial"/>
    <w:rsid w:val="003507BE"/>
    <w:rPr>
      <w:rFonts w:ascii="Arial" w:hAnsi="Arial"/>
      <w:sz w:val="24"/>
      <w:szCs w:val="24"/>
    </w:rPr>
  </w:style>
  <w:style w:type="character" w:styleId="FollowedHyperlink">
    <w:name w:val="FollowedHyperlink"/>
    <w:rsid w:val="003507BE"/>
    <w:rPr>
      <w:color w:val="800080"/>
      <w:u w:val="single"/>
    </w:rPr>
  </w:style>
  <w:style w:type="paragraph" w:styleId="NormalWeb">
    <w:name w:val="Normal (Web)"/>
    <w:basedOn w:val="Normal"/>
    <w:uiPriority w:val="99"/>
    <w:unhideWhenUsed/>
    <w:rsid w:val="003507BE"/>
    <w:pPr>
      <w:spacing w:before="100" w:beforeAutospacing="1" w:after="100" w:afterAutospacing="1"/>
    </w:pPr>
  </w:style>
  <w:style w:type="character" w:customStyle="1" w:styleId="ListChar">
    <w:name w:val="List Char"/>
    <w:aliases w:val=" Char2 Char Char Char Char Char, Char2 Char Char"/>
    <w:link w:val="List"/>
    <w:rsid w:val="003507BE"/>
    <w:rPr>
      <w:sz w:val="24"/>
    </w:rPr>
  </w:style>
  <w:style w:type="paragraph" w:styleId="ListParagraph">
    <w:name w:val="List Paragraph"/>
    <w:basedOn w:val="Normal"/>
    <w:uiPriority w:val="34"/>
    <w:qFormat/>
    <w:rsid w:val="003507BE"/>
    <w:pPr>
      <w:ind w:left="720"/>
      <w:contextualSpacing/>
    </w:pPr>
  </w:style>
  <w:style w:type="character" w:styleId="PlaceholderText">
    <w:name w:val="Placeholder Text"/>
    <w:uiPriority w:val="99"/>
    <w:semiHidden/>
    <w:rsid w:val="003507BE"/>
    <w:rPr>
      <w:color w:val="666666"/>
    </w:rPr>
  </w:style>
  <w:style w:type="character" w:customStyle="1" w:styleId="CommentTextChar">
    <w:name w:val="Comment Text Char"/>
    <w:basedOn w:val="DefaultParagraphFont"/>
    <w:link w:val="CommentText"/>
    <w:rsid w:val="003507BE"/>
  </w:style>
  <w:style w:type="character" w:customStyle="1" w:styleId="List2Char">
    <w:name w:val="List 2 Char"/>
    <w:aliases w:val=" Char2 Char1,Char2 Char Char Char"/>
    <w:link w:val="List2"/>
    <w:rsid w:val="003507BE"/>
    <w:rPr>
      <w:sz w:val="24"/>
    </w:rPr>
  </w:style>
  <w:style w:type="paragraph" w:customStyle="1" w:styleId="BodyTextNumberedChar">
    <w:name w:val="Body Text Numbered Char"/>
    <w:basedOn w:val="BodyText"/>
    <w:link w:val="BodyTextNumberedCharChar"/>
    <w:rsid w:val="003507BE"/>
    <w:pPr>
      <w:spacing w:before="0" w:after="240"/>
      <w:ind w:left="720" w:hanging="720"/>
    </w:pPr>
    <w:rPr>
      <w:szCs w:val="20"/>
    </w:rPr>
  </w:style>
  <w:style w:type="character" w:customStyle="1" w:styleId="BodyTextNumberedCharChar">
    <w:name w:val="Body Text Numbered Char Char"/>
    <w:link w:val="BodyTextNumberedChar"/>
    <w:rsid w:val="003507BE"/>
    <w:rPr>
      <w:sz w:val="24"/>
    </w:rPr>
  </w:style>
  <w:style w:type="character" w:customStyle="1" w:styleId="H3Char">
    <w:name w:val="H3 Char"/>
    <w:link w:val="H3"/>
    <w:rsid w:val="003507BE"/>
    <w:rPr>
      <w:b/>
      <w:bCs/>
      <w:i/>
      <w:sz w:val="24"/>
    </w:rPr>
  </w:style>
  <w:style w:type="character" w:customStyle="1" w:styleId="HeaderChar">
    <w:name w:val="Header Char"/>
    <w:link w:val="Header"/>
    <w:rsid w:val="003507BE"/>
    <w:rPr>
      <w:rFonts w:ascii="Arial" w:hAnsi="Arial"/>
      <w:b/>
      <w:bCs/>
      <w:sz w:val="24"/>
      <w:szCs w:val="24"/>
    </w:rPr>
  </w:style>
  <w:style w:type="character" w:customStyle="1" w:styleId="normaltextrun">
    <w:name w:val="normaltextrun"/>
    <w:basedOn w:val="DefaultParagraphFont"/>
    <w:rsid w:val="003507BE"/>
  </w:style>
  <w:style w:type="character" w:customStyle="1" w:styleId="eop">
    <w:name w:val="eop"/>
    <w:basedOn w:val="DefaultParagraphFont"/>
    <w:rsid w:val="0035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465909">
      <w:bodyDiv w:val="1"/>
      <w:marLeft w:val="0"/>
      <w:marRight w:val="0"/>
      <w:marTop w:val="0"/>
      <w:marBottom w:val="0"/>
      <w:divBdr>
        <w:top w:val="none" w:sz="0" w:space="0" w:color="auto"/>
        <w:left w:val="none" w:sz="0" w:space="0" w:color="auto"/>
        <w:bottom w:val="none" w:sz="0" w:space="0" w:color="auto"/>
        <w:right w:val="none" w:sz="0" w:space="0" w:color="auto"/>
      </w:divBdr>
    </w:div>
    <w:div w:id="98967570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hubbard@omm.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rcot.com/files/docs/2025/01/27/2024-regional-transmission-plan-rtp-345-kv-plan-and-texas-765-kv-strategic-transmission-expans.pdf" TargetMode="External"/><Relationship Id="rId1" Type="http://schemas.openxmlformats.org/officeDocument/2006/relationships/hyperlink" Target="https://interchange.puc.texas.gov/Documents/55718_17_1414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F68AB-EA54-4684-8D4F-69AAECB708A4}">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1177</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7603</CharactersWithSpaces>
  <SharedDoc>false</SharedDoc>
  <HLinks>
    <vt:vector size="6" baseType="variant">
      <vt:variant>
        <vt:i4>5636196</vt:i4>
      </vt:variant>
      <vt:variant>
        <vt:i4>0</vt:i4>
      </vt:variant>
      <vt:variant>
        <vt:i4>0</vt:i4>
      </vt:variant>
      <vt:variant>
        <vt:i4>5</vt:i4>
      </vt:variant>
      <vt:variant>
        <vt:lpwstr>mailto:eric@goffpolicy.com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3</cp:revision>
  <cp:lastPrinted>2001-06-20T16:28:00Z</cp:lastPrinted>
  <dcterms:created xsi:type="dcterms:W3CDTF">2025-05-19T16:59:00Z</dcterms:created>
  <dcterms:modified xsi:type="dcterms:W3CDTF">2025-05-19T17:00:00Z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2025-03-25T17:26:33Z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d0e5ec60-e05a-4919-b412-6c64856a7d94</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